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1AC3E" w14:textId="77777777" w:rsidR="002E605E" w:rsidRPr="00150CD2" w:rsidRDefault="002E605E" w:rsidP="00A24C89">
      <w:pPr>
        <w:pStyle w:val="EYBodytextwithoutparaspace"/>
        <w:rPr>
          <w:rFonts w:cs="Arial"/>
        </w:rPr>
      </w:pPr>
      <w:bookmarkStart w:id="0" w:name="_GoBack"/>
      <w:bookmarkEnd w:id="0"/>
    </w:p>
    <w:p w14:paraId="25BF9EEB" w14:textId="6990F91D" w:rsidR="00E61771" w:rsidRPr="00150CD2" w:rsidRDefault="00F0150E" w:rsidP="00A24C89">
      <w:pPr>
        <w:pStyle w:val="EYBodytextwithoutparaspace"/>
        <w:rPr>
          <w:rFonts w:cs="Arial"/>
        </w:rPr>
      </w:pPr>
      <w:r w:rsidRPr="00150CD2">
        <w:rPr>
          <w:rFonts w:cs="Arial"/>
          <w:noProof/>
          <w:lang w:eastAsia="en-AU"/>
        </w:rPr>
        <mc:AlternateContent>
          <mc:Choice Requires="wps">
            <w:drawing>
              <wp:anchor distT="0" distB="0" distL="114300" distR="114300" simplePos="0" relativeHeight="251658240" behindDoc="0" locked="1" layoutInCell="1" allowOverlap="1" wp14:anchorId="2B7CC2F4" wp14:editId="5889F231">
                <wp:simplePos x="0" y="0"/>
                <wp:positionH relativeFrom="page">
                  <wp:posOffset>771525</wp:posOffset>
                </wp:positionH>
                <wp:positionV relativeFrom="page">
                  <wp:posOffset>1752600</wp:posOffset>
                </wp:positionV>
                <wp:extent cx="4219575" cy="3940810"/>
                <wp:effectExtent l="0" t="0" r="9525" b="254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94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5DBD" w14:textId="77777777" w:rsidR="002D52CF" w:rsidRPr="00336432" w:rsidRDefault="002D52CF" w:rsidP="0006029A">
                            <w:pPr>
                              <w:pStyle w:val="EYCoverTitle"/>
                              <w:spacing w:line="240" w:lineRule="auto"/>
                              <w:rPr>
                                <w:rFonts w:ascii="Arial" w:hAnsi="Arial" w:cs="Arial"/>
                                <w:b/>
                                <w:bCs/>
                              </w:rPr>
                            </w:pPr>
                            <w:r w:rsidRPr="00336432">
                              <w:rPr>
                                <w:rFonts w:ascii="Arial" w:hAnsi="Arial" w:cs="Arial"/>
                                <w:b/>
                                <w:bCs/>
                              </w:rPr>
                              <w:t>Ministry of Health</w:t>
                            </w:r>
                          </w:p>
                          <w:p w14:paraId="07440666" w14:textId="76B4912C" w:rsidR="002D52CF" w:rsidRPr="00150CD2" w:rsidRDefault="002D52CF" w:rsidP="0006029A">
                            <w:pPr>
                              <w:pStyle w:val="EYCoverTitle"/>
                              <w:spacing w:line="240" w:lineRule="auto"/>
                              <w:rPr>
                                <w:rFonts w:ascii="Arial" w:hAnsi="Arial" w:cs="Arial"/>
                                <w:sz w:val="28"/>
                                <w:szCs w:val="24"/>
                              </w:rPr>
                            </w:pPr>
                            <w:r w:rsidRPr="00336432">
                              <w:rPr>
                                <w:rFonts w:ascii="Arial" w:hAnsi="Arial" w:cs="Arial"/>
                                <w:b/>
                                <w:bCs/>
                              </w:rPr>
                              <w:t>Disability Directorate</w:t>
                            </w:r>
                            <w:r w:rsidRPr="00150CD2">
                              <w:rPr>
                                <w:rFonts w:ascii="Arial" w:hAnsi="Arial" w:cs="Arial"/>
                              </w:rPr>
                              <w:br/>
                            </w:r>
                            <w:r w:rsidRPr="00150CD2">
                              <w:rPr>
                                <w:rFonts w:ascii="Arial" w:hAnsi="Arial" w:cs="Arial"/>
                              </w:rPr>
                              <w:br/>
                            </w:r>
                            <w:r w:rsidRPr="00150CD2">
                              <w:rPr>
                                <w:rFonts w:ascii="Arial" w:hAnsi="Arial" w:cs="Arial"/>
                                <w:sz w:val="28"/>
                                <w:szCs w:val="24"/>
                              </w:rPr>
                              <w:br/>
                            </w:r>
                          </w:p>
                          <w:p w14:paraId="7AE232A6" w14:textId="35BE96D6" w:rsidR="002D52CF" w:rsidRPr="00336432" w:rsidRDefault="002D52CF" w:rsidP="0006029A">
                            <w:pPr>
                              <w:pStyle w:val="EYCoverTitle"/>
                              <w:spacing w:line="240" w:lineRule="auto"/>
                              <w:rPr>
                                <w:rFonts w:ascii="Arial" w:hAnsi="Arial" w:cs="Arial"/>
                                <w:b/>
                                <w:bCs/>
                                <w:sz w:val="32"/>
                                <w:szCs w:val="32"/>
                              </w:rPr>
                            </w:pPr>
                            <w:r w:rsidRPr="00336432">
                              <w:rPr>
                                <w:rFonts w:ascii="Arial" w:hAnsi="Arial" w:cs="Arial"/>
                                <w:b/>
                                <w:bCs/>
                                <w:sz w:val="32"/>
                                <w:szCs w:val="32"/>
                              </w:rPr>
                              <w:t xml:space="preserve">Wellbeing and service contact outcomes </w:t>
                            </w:r>
                            <w:r w:rsidRPr="00336432">
                              <w:rPr>
                                <w:rFonts w:ascii="Arial" w:hAnsi="Arial" w:cs="Arial"/>
                                <w:b/>
                                <w:bCs/>
                                <w:sz w:val="32"/>
                                <w:szCs w:val="32"/>
                              </w:rPr>
                              <w:br/>
                              <w:t xml:space="preserve">for disabled people: </w:t>
                            </w:r>
                            <w:r w:rsidRPr="00336432">
                              <w:rPr>
                                <w:rFonts w:ascii="Arial" w:hAnsi="Arial" w:cs="Arial"/>
                                <w:b/>
                                <w:bCs/>
                                <w:sz w:val="32"/>
                                <w:szCs w:val="32"/>
                              </w:rPr>
                              <w:br/>
                              <w:t>MidCentral region and New Zealand</w:t>
                            </w:r>
                          </w:p>
                          <w:p w14:paraId="1C36F1CB" w14:textId="77777777" w:rsidR="002D52CF" w:rsidRPr="00150CD2" w:rsidRDefault="002D52CF" w:rsidP="002A0FB3">
                            <w:pPr>
                              <w:pStyle w:val="EYCoverDate"/>
                              <w:rPr>
                                <w:rFonts w:cs="Arial"/>
                              </w:rPr>
                            </w:pPr>
                          </w:p>
                          <w:p w14:paraId="29FAE80E" w14:textId="3C5A5440" w:rsidR="002D52CF" w:rsidRPr="00150CD2" w:rsidRDefault="002D52CF" w:rsidP="002A0FB3">
                            <w:pPr>
                              <w:pStyle w:val="EYCoverDate"/>
                              <w:rPr>
                                <w:rFonts w:cs="Arial"/>
                                <w:sz w:val="36"/>
                              </w:rPr>
                            </w:pPr>
                            <w:r w:rsidRPr="00150CD2">
                              <w:rPr>
                                <w:rFonts w:cs="Arial"/>
                              </w:rPr>
                              <w:t>August 2020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7CC2F4" id="_x0000_t202" coordsize="21600,21600" o:spt="202" path="m,l,21600r21600,l21600,xe">
                <v:stroke joinstyle="miter"/>
                <v:path gradientshapeok="t" o:connecttype="rect"/>
              </v:shapetype>
              <v:shape id="Text Box 2" o:spid="_x0000_s1026" type="#_x0000_t202" style="position:absolute;margin-left:60.75pt;margin-top:138pt;width:332.25pt;height:31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" filled="f" stroked="f">
                <v:textbox inset="0,0,0,0">
                  <w:txbxContent>
                    <w:p w14:paraId="46C05DBD" w14:textId="77777777" w:rsidR="002D52CF" w:rsidRPr="00336432" w:rsidRDefault="002D52CF" w:rsidP="0006029A">
                      <w:pPr>
                        <w:pStyle w:val="EYCoverTitle"/>
                        <w:spacing w:line="240" w:lineRule="auto"/>
                        <w:rPr>
                          <w:rFonts w:ascii="Arial" w:hAnsi="Arial" w:cs="Arial"/>
                          <w:b/>
                          <w:bCs/>
                        </w:rPr>
                      </w:pPr>
                      <w:r w:rsidRPr="00336432">
                        <w:rPr>
                          <w:rFonts w:ascii="Arial" w:hAnsi="Arial" w:cs="Arial"/>
                          <w:b/>
                          <w:bCs/>
                        </w:rPr>
                        <w:t>Ministry of Health</w:t>
                      </w:r>
                    </w:p>
                    <w:p w14:paraId="07440666" w14:textId="76B4912C" w:rsidR="002D52CF" w:rsidRPr="00150CD2" w:rsidRDefault="002D52CF" w:rsidP="0006029A">
                      <w:pPr>
                        <w:pStyle w:val="EYCoverTitle"/>
                        <w:spacing w:line="240" w:lineRule="auto"/>
                        <w:rPr>
                          <w:rFonts w:ascii="Arial" w:hAnsi="Arial" w:cs="Arial"/>
                          <w:sz w:val="28"/>
                          <w:szCs w:val="24"/>
                        </w:rPr>
                      </w:pPr>
                      <w:r w:rsidRPr="00336432">
                        <w:rPr>
                          <w:rFonts w:ascii="Arial" w:hAnsi="Arial" w:cs="Arial"/>
                          <w:b/>
                          <w:bCs/>
                        </w:rPr>
                        <w:t>Disability Directorate</w:t>
                      </w:r>
                      <w:r w:rsidRPr="00150CD2">
                        <w:rPr>
                          <w:rFonts w:ascii="Arial" w:hAnsi="Arial" w:cs="Arial"/>
                        </w:rPr>
                        <w:br/>
                      </w:r>
                      <w:r w:rsidRPr="00150CD2">
                        <w:rPr>
                          <w:rFonts w:ascii="Arial" w:hAnsi="Arial" w:cs="Arial"/>
                        </w:rPr>
                        <w:br/>
                      </w:r>
                      <w:r w:rsidRPr="00150CD2">
                        <w:rPr>
                          <w:rFonts w:ascii="Arial" w:hAnsi="Arial" w:cs="Arial"/>
                          <w:sz w:val="28"/>
                          <w:szCs w:val="24"/>
                        </w:rPr>
                        <w:br/>
                      </w:r>
                    </w:p>
                    <w:p w14:paraId="7AE232A6" w14:textId="35BE96D6" w:rsidR="002D52CF" w:rsidRPr="00336432" w:rsidRDefault="002D52CF" w:rsidP="0006029A">
                      <w:pPr>
                        <w:pStyle w:val="EYCoverTitle"/>
                        <w:spacing w:line="240" w:lineRule="auto"/>
                        <w:rPr>
                          <w:rFonts w:ascii="Arial" w:hAnsi="Arial" w:cs="Arial"/>
                          <w:b/>
                          <w:bCs/>
                          <w:sz w:val="32"/>
                          <w:szCs w:val="32"/>
                        </w:rPr>
                      </w:pPr>
                      <w:r w:rsidRPr="00336432">
                        <w:rPr>
                          <w:rFonts w:ascii="Arial" w:hAnsi="Arial" w:cs="Arial"/>
                          <w:b/>
                          <w:bCs/>
                          <w:sz w:val="32"/>
                          <w:szCs w:val="32"/>
                        </w:rPr>
                        <w:t xml:space="preserve">Wellbeing and service contact outcomes </w:t>
                      </w:r>
                      <w:r w:rsidRPr="00336432">
                        <w:rPr>
                          <w:rFonts w:ascii="Arial" w:hAnsi="Arial" w:cs="Arial"/>
                          <w:b/>
                          <w:bCs/>
                          <w:sz w:val="32"/>
                          <w:szCs w:val="32"/>
                        </w:rPr>
                        <w:br/>
                        <w:t xml:space="preserve">for disabled people: </w:t>
                      </w:r>
                      <w:r w:rsidRPr="00336432">
                        <w:rPr>
                          <w:rFonts w:ascii="Arial" w:hAnsi="Arial" w:cs="Arial"/>
                          <w:b/>
                          <w:bCs/>
                          <w:sz w:val="32"/>
                          <w:szCs w:val="32"/>
                        </w:rPr>
                        <w:br/>
                        <w:t>MidCentral region and New Zealand</w:t>
                      </w:r>
                    </w:p>
                    <w:p w14:paraId="1C36F1CB" w14:textId="77777777" w:rsidR="002D52CF" w:rsidRPr="00150CD2" w:rsidRDefault="002D52CF" w:rsidP="002A0FB3">
                      <w:pPr>
                        <w:pStyle w:val="EYCoverDate"/>
                        <w:rPr>
                          <w:rFonts w:cs="Arial"/>
                        </w:rPr>
                      </w:pPr>
                    </w:p>
                    <w:p w14:paraId="29FAE80E" w14:textId="3C5A5440" w:rsidR="002D52CF" w:rsidRPr="00150CD2" w:rsidRDefault="002D52CF" w:rsidP="002A0FB3">
                      <w:pPr>
                        <w:pStyle w:val="EYCoverDate"/>
                        <w:rPr>
                          <w:rFonts w:cs="Arial"/>
                          <w:sz w:val="36"/>
                        </w:rPr>
                      </w:pPr>
                      <w:r w:rsidRPr="00150CD2">
                        <w:rPr>
                          <w:rFonts w:cs="Arial"/>
                        </w:rPr>
                        <w:t>August 2020</w:t>
                      </w:r>
                    </w:p>
                  </w:txbxContent>
                </v:textbox>
                <w10:wrap anchorx="page" anchory="page"/>
                <w10:anchorlock/>
              </v:shape>
            </w:pict>
          </mc:Fallback>
        </mc:AlternateContent>
      </w:r>
    </w:p>
    <w:p w14:paraId="73DB6446" w14:textId="77777777" w:rsidR="00E61771" w:rsidRPr="00150CD2" w:rsidRDefault="00E61771" w:rsidP="00E61771">
      <w:pPr>
        <w:rPr>
          <w:rFonts w:cs="Arial"/>
        </w:rPr>
      </w:pPr>
    </w:p>
    <w:p w14:paraId="7BDAFF63" w14:textId="77777777" w:rsidR="00E61771" w:rsidRPr="00150CD2" w:rsidRDefault="00E61771" w:rsidP="00E61771">
      <w:pPr>
        <w:rPr>
          <w:rFonts w:cs="Arial"/>
        </w:rPr>
      </w:pPr>
    </w:p>
    <w:p w14:paraId="443D578A" w14:textId="77777777" w:rsidR="00E61771" w:rsidRPr="00150CD2" w:rsidRDefault="00E61771" w:rsidP="00E61771">
      <w:pPr>
        <w:rPr>
          <w:rFonts w:cs="Arial"/>
        </w:rPr>
      </w:pPr>
    </w:p>
    <w:p w14:paraId="348136A4" w14:textId="77777777" w:rsidR="00E61771" w:rsidRPr="00150CD2" w:rsidRDefault="00E61771" w:rsidP="00E61771">
      <w:pPr>
        <w:rPr>
          <w:rFonts w:cs="Arial"/>
        </w:rPr>
      </w:pPr>
    </w:p>
    <w:p w14:paraId="6E434748" w14:textId="77777777" w:rsidR="00E61771" w:rsidRPr="00150CD2" w:rsidRDefault="00E61771" w:rsidP="00E61771">
      <w:pPr>
        <w:rPr>
          <w:rFonts w:cs="Arial"/>
        </w:rPr>
      </w:pPr>
    </w:p>
    <w:p w14:paraId="2E1908DD" w14:textId="77777777" w:rsidR="00E61771" w:rsidRPr="00150CD2" w:rsidRDefault="00E61771" w:rsidP="00E61771">
      <w:pPr>
        <w:rPr>
          <w:rFonts w:cs="Arial"/>
        </w:rPr>
      </w:pPr>
    </w:p>
    <w:p w14:paraId="6EC2C439" w14:textId="77777777" w:rsidR="00E61771" w:rsidRPr="00150CD2" w:rsidRDefault="00E61771" w:rsidP="00E61771">
      <w:pPr>
        <w:rPr>
          <w:rFonts w:cs="Arial"/>
        </w:rPr>
      </w:pPr>
    </w:p>
    <w:p w14:paraId="1E394F32" w14:textId="77777777" w:rsidR="00E61771" w:rsidRPr="00150CD2" w:rsidRDefault="00E61771" w:rsidP="00E61771">
      <w:pPr>
        <w:rPr>
          <w:rFonts w:cs="Arial"/>
        </w:rPr>
      </w:pPr>
    </w:p>
    <w:p w14:paraId="6D9747CA" w14:textId="77777777" w:rsidR="00E61771" w:rsidRPr="00150CD2" w:rsidRDefault="00E61771" w:rsidP="00E61771">
      <w:pPr>
        <w:rPr>
          <w:rFonts w:cs="Arial"/>
        </w:rPr>
      </w:pPr>
    </w:p>
    <w:p w14:paraId="17571E2E" w14:textId="77777777" w:rsidR="00E61771" w:rsidRPr="00150CD2" w:rsidRDefault="00E61771" w:rsidP="00E61771">
      <w:pPr>
        <w:rPr>
          <w:rFonts w:cs="Arial"/>
        </w:rPr>
      </w:pPr>
    </w:p>
    <w:p w14:paraId="61B05933" w14:textId="77777777" w:rsidR="00E61771" w:rsidRPr="00150CD2" w:rsidRDefault="00E61771" w:rsidP="00E61771">
      <w:pPr>
        <w:rPr>
          <w:rFonts w:cs="Arial"/>
        </w:rPr>
      </w:pPr>
    </w:p>
    <w:p w14:paraId="4CE0BB7A" w14:textId="77777777" w:rsidR="00E61771" w:rsidRPr="00150CD2" w:rsidRDefault="00E61771" w:rsidP="00E61771">
      <w:pPr>
        <w:rPr>
          <w:rFonts w:cs="Arial"/>
        </w:rPr>
      </w:pPr>
    </w:p>
    <w:p w14:paraId="61E72CEF" w14:textId="77777777" w:rsidR="00E61771" w:rsidRPr="00150CD2" w:rsidRDefault="00E61771" w:rsidP="00E61771">
      <w:pPr>
        <w:rPr>
          <w:rFonts w:cs="Arial"/>
        </w:rPr>
      </w:pPr>
    </w:p>
    <w:p w14:paraId="14246CE3" w14:textId="77777777" w:rsidR="00E61771" w:rsidRPr="00150CD2" w:rsidRDefault="00E61771" w:rsidP="00E61771">
      <w:pPr>
        <w:rPr>
          <w:rFonts w:cs="Arial"/>
        </w:rPr>
      </w:pPr>
    </w:p>
    <w:p w14:paraId="35EF9076" w14:textId="77777777" w:rsidR="00E61771" w:rsidRPr="00150CD2" w:rsidRDefault="00E61771" w:rsidP="00E61771">
      <w:pPr>
        <w:rPr>
          <w:rFonts w:cs="Arial"/>
        </w:rPr>
      </w:pPr>
    </w:p>
    <w:p w14:paraId="21A9C284" w14:textId="77777777" w:rsidR="00E61771" w:rsidRPr="00150CD2" w:rsidRDefault="00E61771" w:rsidP="00E61771">
      <w:pPr>
        <w:rPr>
          <w:rFonts w:cs="Arial"/>
        </w:rPr>
      </w:pPr>
    </w:p>
    <w:p w14:paraId="4D7217CC" w14:textId="77777777" w:rsidR="00E61771" w:rsidRPr="00150CD2" w:rsidRDefault="00E61771" w:rsidP="00E61771">
      <w:pPr>
        <w:rPr>
          <w:rFonts w:cs="Arial"/>
        </w:rPr>
      </w:pPr>
    </w:p>
    <w:p w14:paraId="20F1CCB9" w14:textId="77777777" w:rsidR="00E61771" w:rsidRPr="00150CD2" w:rsidRDefault="00E61771" w:rsidP="00E61771">
      <w:pPr>
        <w:rPr>
          <w:rFonts w:cs="Arial"/>
        </w:rPr>
      </w:pPr>
    </w:p>
    <w:p w14:paraId="1269C42D" w14:textId="77777777" w:rsidR="00E61771" w:rsidRPr="00150CD2" w:rsidRDefault="00E61771" w:rsidP="00E61771">
      <w:pPr>
        <w:rPr>
          <w:rFonts w:cs="Arial"/>
        </w:rPr>
      </w:pPr>
    </w:p>
    <w:p w14:paraId="1A206892" w14:textId="77777777" w:rsidR="00E61771" w:rsidRPr="00150CD2" w:rsidRDefault="00E61771" w:rsidP="00E61771">
      <w:pPr>
        <w:rPr>
          <w:rFonts w:cs="Arial"/>
        </w:rPr>
      </w:pPr>
    </w:p>
    <w:p w14:paraId="20ED851C" w14:textId="77777777" w:rsidR="00E61771" w:rsidRPr="00150CD2" w:rsidRDefault="00E61771" w:rsidP="00E61771">
      <w:pPr>
        <w:rPr>
          <w:rFonts w:cs="Arial"/>
        </w:rPr>
      </w:pPr>
    </w:p>
    <w:p w14:paraId="662B6AFD" w14:textId="77777777" w:rsidR="00E61771" w:rsidRPr="00150CD2" w:rsidRDefault="00E61771" w:rsidP="00E61771">
      <w:pPr>
        <w:rPr>
          <w:rFonts w:cs="Arial"/>
        </w:rPr>
      </w:pPr>
    </w:p>
    <w:p w14:paraId="626B96D5" w14:textId="77777777" w:rsidR="00E61771" w:rsidRPr="00150CD2" w:rsidRDefault="00E61771" w:rsidP="00E61771">
      <w:pPr>
        <w:rPr>
          <w:rFonts w:cs="Arial"/>
        </w:rPr>
      </w:pPr>
    </w:p>
    <w:p w14:paraId="3FFB33ED" w14:textId="77777777" w:rsidR="00E61771" w:rsidRPr="00150CD2" w:rsidRDefault="00E61771" w:rsidP="00E61771">
      <w:pPr>
        <w:rPr>
          <w:rFonts w:cs="Arial"/>
        </w:rPr>
      </w:pPr>
    </w:p>
    <w:p w14:paraId="684D1307" w14:textId="77777777" w:rsidR="00E61771" w:rsidRPr="00150CD2" w:rsidRDefault="00E61771" w:rsidP="00E61771">
      <w:pPr>
        <w:rPr>
          <w:rFonts w:cs="Arial"/>
        </w:rPr>
      </w:pPr>
    </w:p>
    <w:p w14:paraId="7C9403B2" w14:textId="77777777" w:rsidR="00E61771" w:rsidRPr="00150CD2" w:rsidRDefault="00E61771" w:rsidP="00E61771">
      <w:pPr>
        <w:rPr>
          <w:rFonts w:cs="Arial"/>
        </w:rPr>
      </w:pPr>
    </w:p>
    <w:p w14:paraId="2D930428" w14:textId="77777777" w:rsidR="00E61771" w:rsidRPr="00150CD2" w:rsidRDefault="00E61771" w:rsidP="00E61771">
      <w:pPr>
        <w:rPr>
          <w:rFonts w:cs="Arial"/>
        </w:rPr>
      </w:pPr>
    </w:p>
    <w:p w14:paraId="0BD5C525" w14:textId="77777777" w:rsidR="00E61771" w:rsidRPr="00150CD2" w:rsidRDefault="00E61771" w:rsidP="00E61771">
      <w:pPr>
        <w:rPr>
          <w:rFonts w:cs="Arial"/>
        </w:rPr>
      </w:pPr>
    </w:p>
    <w:p w14:paraId="7F153C65" w14:textId="79C1EE81" w:rsidR="00E61771" w:rsidRPr="00150CD2" w:rsidRDefault="00E61771" w:rsidP="00E61771">
      <w:pPr>
        <w:tabs>
          <w:tab w:val="left" w:pos="4200"/>
        </w:tabs>
        <w:rPr>
          <w:rFonts w:cs="Arial"/>
        </w:rPr>
      </w:pPr>
      <w:r w:rsidRPr="00150CD2">
        <w:rPr>
          <w:rFonts w:cs="Arial"/>
        </w:rPr>
        <w:tab/>
      </w:r>
    </w:p>
    <w:p w14:paraId="3D28093C" w14:textId="43F71A8A" w:rsidR="007B258A" w:rsidRPr="00150CD2" w:rsidRDefault="00E61771" w:rsidP="00E61771">
      <w:pPr>
        <w:tabs>
          <w:tab w:val="left" w:pos="4200"/>
        </w:tabs>
        <w:rPr>
          <w:rFonts w:cs="Arial"/>
        </w:rPr>
        <w:sectPr w:rsidR="007B258A" w:rsidRPr="00150CD2" w:rsidSect="004579B3">
          <w:headerReference w:type="default" r:id="rId11"/>
          <w:headerReference w:type="first" r:id="rId12"/>
          <w:pgSz w:w="11909" w:h="16834" w:code="9"/>
          <w:pgMar w:top="1440" w:right="1440" w:bottom="1440" w:left="1440" w:header="720" w:footer="720" w:gutter="0"/>
          <w:cols w:space="720"/>
          <w:docGrid w:linePitch="360"/>
        </w:sectPr>
      </w:pPr>
      <w:r w:rsidRPr="00150CD2">
        <w:rPr>
          <w:rFonts w:cs="Arial"/>
        </w:rPr>
        <w:tab/>
      </w:r>
    </w:p>
    <w:p w14:paraId="35D15849" w14:textId="3BE638F4" w:rsidR="00462542" w:rsidRPr="00184038" w:rsidRDefault="00462542" w:rsidP="00184038">
      <w:pPr>
        <w:pStyle w:val="EYContents"/>
      </w:pPr>
      <w:r w:rsidRPr="00184038">
        <w:lastRenderedPageBreak/>
        <w:t>Acknowledgements</w:t>
      </w:r>
    </w:p>
    <w:p w14:paraId="0A23B1D9" w14:textId="11EB2D94" w:rsidR="00462542" w:rsidRPr="00150CD2" w:rsidRDefault="004A4E8C" w:rsidP="00462542">
      <w:pPr>
        <w:pStyle w:val="EYBodytextwithparaspace"/>
        <w:rPr>
          <w:rFonts w:cs="Arial"/>
        </w:rPr>
      </w:pPr>
      <w:r w:rsidRPr="00150CD2">
        <w:rPr>
          <w:rFonts w:cs="Arial"/>
        </w:rPr>
        <w:t xml:space="preserve">The authors would like to thank representatives from the Ministry of Health and the Advisory Group who </w:t>
      </w:r>
      <w:r w:rsidR="005500AB" w:rsidRPr="00150CD2">
        <w:rPr>
          <w:rFonts w:cs="Arial"/>
        </w:rPr>
        <w:t xml:space="preserve">assisted with </w:t>
      </w:r>
      <w:r w:rsidRPr="00150CD2">
        <w:rPr>
          <w:rFonts w:cs="Arial"/>
        </w:rPr>
        <w:t xml:space="preserve">peer review </w:t>
      </w:r>
      <w:r w:rsidR="005500AB" w:rsidRPr="00150CD2">
        <w:rPr>
          <w:rFonts w:cs="Arial"/>
        </w:rPr>
        <w:t>for this report</w:t>
      </w:r>
      <w:r w:rsidRPr="00150CD2">
        <w:rPr>
          <w:rFonts w:cs="Arial"/>
        </w:rPr>
        <w:t xml:space="preserve">, </w:t>
      </w:r>
      <w:r w:rsidR="005500AB" w:rsidRPr="00150CD2">
        <w:rPr>
          <w:rFonts w:cs="Arial"/>
        </w:rPr>
        <w:t xml:space="preserve">and many others who provided peer review comments on </w:t>
      </w:r>
      <w:r w:rsidRPr="00150CD2">
        <w:rPr>
          <w:rFonts w:cs="Arial"/>
        </w:rPr>
        <w:t>specific sections</w:t>
      </w:r>
      <w:r w:rsidR="005500AB" w:rsidRPr="00150CD2">
        <w:rPr>
          <w:rFonts w:cs="Arial"/>
        </w:rPr>
        <w:t xml:space="preserve"> or advice supporting the analysis.</w:t>
      </w:r>
    </w:p>
    <w:p w14:paraId="633CBA47" w14:textId="2BC312DB" w:rsidR="004A4E8C" w:rsidRPr="00150CD2" w:rsidRDefault="004A4E8C" w:rsidP="00462542">
      <w:pPr>
        <w:pStyle w:val="EYBodytextwithparaspace"/>
        <w:rPr>
          <w:rFonts w:cs="Arial"/>
        </w:rPr>
      </w:pPr>
    </w:p>
    <w:p w14:paraId="0E38365F" w14:textId="31328F21" w:rsidR="004A4E8C" w:rsidRPr="00184038" w:rsidRDefault="004A4E8C" w:rsidP="00184038">
      <w:pPr>
        <w:pStyle w:val="EYContents"/>
      </w:pPr>
      <w:r w:rsidRPr="00150CD2">
        <w:br/>
      </w:r>
      <w:r w:rsidRPr="00184038">
        <w:t>Statistics NZ disclaimer</w:t>
      </w:r>
    </w:p>
    <w:p w14:paraId="1D8A927C" w14:textId="77777777" w:rsidR="004A4E8C" w:rsidRPr="00150CD2" w:rsidRDefault="004A4E8C" w:rsidP="004A4E8C">
      <w:pPr>
        <w:pStyle w:val="EYBodytextwithparaspace"/>
        <w:spacing w:after="120"/>
        <w:rPr>
          <w:rFonts w:cs="Arial"/>
        </w:rPr>
      </w:pPr>
      <w:r w:rsidRPr="00150CD2">
        <w:rPr>
          <w:rFonts w:cs="Arial"/>
        </w:rPr>
        <w:t xml:space="preserve">The results in this document are not official statistics, they have been created for research purposes from the Integrated Data Infrastructure (IDI), managed by Statistics New Zealand. </w:t>
      </w:r>
    </w:p>
    <w:p w14:paraId="68226CD2" w14:textId="77777777" w:rsidR="004A4E8C" w:rsidRPr="00150CD2" w:rsidRDefault="004A4E8C" w:rsidP="004A4E8C">
      <w:pPr>
        <w:pStyle w:val="EYBodytextwithparaspace"/>
        <w:spacing w:after="120"/>
        <w:rPr>
          <w:rFonts w:cs="Arial"/>
        </w:rPr>
      </w:pPr>
      <w:r w:rsidRPr="00150CD2">
        <w:rPr>
          <w:rFonts w:cs="Arial"/>
        </w:rPr>
        <w:t xml:space="preserve">The opinions, findings, recommendations, and conclusions expressed in this document are those of the author(s), not Statistics NZ. </w:t>
      </w:r>
    </w:p>
    <w:p w14:paraId="0BB5A2F6" w14:textId="77777777" w:rsidR="004A4E8C" w:rsidRPr="00150CD2" w:rsidRDefault="004A4E8C" w:rsidP="004A4E8C">
      <w:pPr>
        <w:pStyle w:val="EYBodytextwithparaspace"/>
        <w:spacing w:after="120"/>
        <w:rPr>
          <w:rFonts w:cs="Arial"/>
        </w:rPr>
      </w:pPr>
      <w:r w:rsidRPr="00150CD2">
        <w:rPr>
          <w:rFonts w:cs="Arial"/>
        </w:rPr>
        <w:t xml:space="preserve">Access to the anonymised data used in this study was provided by Statistics NZ in accordance with security and confidentiality provisions of the Statistics Act 1975. Only people authorised by the Statistics Act 1975 are allowed to see data about a particular person, household, business, or organisation, and the results in this document have been confidentialised to protect these groups from identification. </w:t>
      </w:r>
    </w:p>
    <w:p w14:paraId="523975B5" w14:textId="77777777" w:rsidR="004A4E8C" w:rsidRPr="00150CD2" w:rsidRDefault="004A4E8C" w:rsidP="004A4E8C">
      <w:pPr>
        <w:pStyle w:val="EYBodytextwithparaspace"/>
        <w:spacing w:after="120"/>
        <w:rPr>
          <w:rFonts w:cs="Arial"/>
        </w:rPr>
      </w:pPr>
      <w:r w:rsidRPr="00150CD2">
        <w:rPr>
          <w:rFonts w:cs="Arial"/>
        </w:rPr>
        <w:t xml:space="preserve">Careful consideration has been given to the privacy, security, and confidentiality issues associated with using administrative and survey data in the IDI. Further detail can be found in the Privacy impact assessment for the Integrated Data Infrastructure available from </w:t>
      </w:r>
    </w:p>
    <w:p w14:paraId="01657F64" w14:textId="77777777" w:rsidR="004A4E8C" w:rsidRPr="00150CD2" w:rsidRDefault="004A4E8C" w:rsidP="004A4E8C">
      <w:pPr>
        <w:pStyle w:val="EYBodytextwithparaspace"/>
        <w:spacing w:after="120"/>
        <w:rPr>
          <w:rFonts w:cs="Arial"/>
        </w:rPr>
      </w:pPr>
      <w:r w:rsidRPr="00150CD2">
        <w:rPr>
          <w:rFonts w:cs="Arial"/>
        </w:rPr>
        <w:t>The results are based in part on tax data supplied by Inland Revenue to Statistics NZ under the Tax Administration Act 1994. This tax data must be used only for statistical purposes, and no individual information may be published or disclosed in any other form, or provided to Inland Revenue for administrative or regulatory purposes.</w:t>
      </w:r>
    </w:p>
    <w:p w14:paraId="75B725F6" w14:textId="5B067F38" w:rsidR="004A4E8C" w:rsidRPr="00150CD2" w:rsidRDefault="004A4E8C" w:rsidP="004A4E8C">
      <w:pPr>
        <w:pStyle w:val="EYBodytextwithparaspace"/>
        <w:spacing w:after="120"/>
        <w:rPr>
          <w:rFonts w:cs="Arial"/>
        </w:rPr>
      </w:pPr>
      <w:r w:rsidRPr="00150CD2">
        <w:rPr>
          <w:rFonts w:cs="Arial"/>
        </w:rPr>
        <w:t>Any person who has had access to the unit record data has certified that they have been shown, have read, and have understood section 81 of the Tax Administration Act 1994, which relates to secrecy. Any discussion of data limitations or weaknesses is in the context of using the IDI for statistical purposes, and is not related to the data’s ability to support Inland Revenue’s core operational requirements.</w:t>
      </w:r>
    </w:p>
    <w:p w14:paraId="6DE6A512" w14:textId="77777777" w:rsidR="00462542" w:rsidRPr="00150CD2" w:rsidRDefault="00462542">
      <w:pPr>
        <w:autoSpaceDE/>
        <w:autoSpaceDN/>
        <w:adjustRightInd/>
        <w:rPr>
          <w:rFonts w:cs="Arial"/>
          <w:color w:val="808080"/>
          <w:sz w:val="28"/>
          <w:szCs w:val="24"/>
        </w:rPr>
      </w:pPr>
      <w:r w:rsidRPr="00150CD2">
        <w:rPr>
          <w:rFonts w:cs="Arial"/>
        </w:rPr>
        <w:br w:type="page"/>
      </w:r>
    </w:p>
    <w:p w14:paraId="43405438" w14:textId="3EC676FC" w:rsidR="00967875" w:rsidRPr="00184038" w:rsidRDefault="00967875" w:rsidP="00184038">
      <w:pPr>
        <w:pStyle w:val="EYContents"/>
      </w:pPr>
      <w:r w:rsidRPr="00184038">
        <w:lastRenderedPageBreak/>
        <w:t xml:space="preserve">Table of </w:t>
      </w:r>
      <w:r w:rsidR="00331881" w:rsidRPr="00184038">
        <w:t>c</w:t>
      </w:r>
      <w:r w:rsidRPr="00184038">
        <w:t>ontents</w:t>
      </w:r>
    </w:p>
    <w:p w14:paraId="4264A65D" w14:textId="415B7A88" w:rsidR="00336432" w:rsidRPr="00336432" w:rsidRDefault="003D5D16">
      <w:pPr>
        <w:pStyle w:val="TOC1"/>
        <w:rPr>
          <w:rFonts w:eastAsiaTheme="minorEastAsia"/>
          <w:sz w:val="22"/>
          <w:szCs w:val="22"/>
          <w:lang w:eastAsia="en-AU"/>
        </w:rPr>
      </w:pPr>
      <w:r w:rsidRPr="00336432">
        <w:fldChar w:fldCharType="begin"/>
      </w:r>
      <w:r w:rsidR="00967875" w:rsidRPr="00336432">
        <w:instrText xml:space="preserve"> TOC \h \z \t "EY Heading 1,1,EY Heading 2,2,EY </w:instrText>
      </w:r>
      <w:r w:rsidR="00067ABF" w:rsidRPr="00336432">
        <w:instrText>Appendix</w:instrText>
      </w:r>
      <w:r w:rsidR="00967875" w:rsidRPr="00336432">
        <w:instrText>,</w:instrText>
      </w:r>
      <w:r w:rsidR="00067ABF" w:rsidRPr="00336432">
        <w:instrText>1</w:instrText>
      </w:r>
      <w:r w:rsidR="00967875" w:rsidRPr="00336432">
        <w:instrText xml:space="preserve">" </w:instrText>
      </w:r>
      <w:r w:rsidRPr="00336432">
        <w:fldChar w:fldCharType="separate"/>
      </w:r>
      <w:hyperlink w:anchor="_Toc48752344" w:history="1">
        <w:r w:rsidR="00336432" w:rsidRPr="00336432">
          <w:rPr>
            <w:rStyle w:val="Hyperlink"/>
            <w:rFonts w:ascii="Arial" w:hAnsi="Arial"/>
          </w:rPr>
          <w:t>1.</w:t>
        </w:r>
        <w:r w:rsidR="00336432" w:rsidRPr="00336432">
          <w:rPr>
            <w:rFonts w:eastAsiaTheme="minorEastAsia"/>
            <w:sz w:val="22"/>
            <w:szCs w:val="22"/>
            <w:lang w:eastAsia="en-AU"/>
          </w:rPr>
          <w:tab/>
        </w:r>
        <w:r w:rsidR="00336432" w:rsidRPr="00336432">
          <w:rPr>
            <w:rStyle w:val="Hyperlink"/>
            <w:rFonts w:ascii="Arial" w:hAnsi="Arial"/>
          </w:rPr>
          <w:t>Executive summary</w:t>
        </w:r>
        <w:r w:rsidR="00336432" w:rsidRPr="00336432">
          <w:rPr>
            <w:webHidden/>
          </w:rPr>
          <w:tab/>
        </w:r>
        <w:r w:rsidR="00336432" w:rsidRPr="00336432">
          <w:rPr>
            <w:webHidden/>
          </w:rPr>
          <w:fldChar w:fldCharType="begin"/>
        </w:r>
        <w:r w:rsidR="00336432" w:rsidRPr="00336432">
          <w:rPr>
            <w:webHidden/>
          </w:rPr>
          <w:instrText xml:space="preserve"> PAGEREF _Toc48752344 \h </w:instrText>
        </w:r>
        <w:r w:rsidR="00336432" w:rsidRPr="00336432">
          <w:rPr>
            <w:webHidden/>
          </w:rPr>
        </w:r>
        <w:r w:rsidR="00336432" w:rsidRPr="00336432">
          <w:rPr>
            <w:webHidden/>
          </w:rPr>
          <w:fldChar w:fldCharType="separate"/>
        </w:r>
        <w:r w:rsidR="00336432">
          <w:rPr>
            <w:webHidden/>
          </w:rPr>
          <w:t>3</w:t>
        </w:r>
        <w:r w:rsidR="00336432" w:rsidRPr="00336432">
          <w:rPr>
            <w:webHidden/>
          </w:rPr>
          <w:fldChar w:fldCharType="end"/>
        </w:r>
      </w:hyperlink>
    </w:p>
    <w:p w14:paraId="2A4F287C" w14:textId="43A48902" w:rsidR="00336432" w:rsidRPr="00336432" w:rsidRDefault="008E1625">
      <w:pPr>
        <w:pStyle w:val="TOC2"/>
        <w:rPr>
          <w:rFonts w:eastAsiaTheme="minorEastAsia"/>
          <w:szCs w:val="22"/>
          <w:lang w:eastAsia="en-AU"/>
        </w:rPr>
      </w:pPr>
      <w:hyperlink w:anchor="_Toc48752345" w:history="1">
        <w:r w:rsidR="00336432" w:rsidRPr="00336432">
          <w:rPr>
            <w:rStyle w:val="Hyperlink"/>
            <w:rFonts w:ascii="Arial" w:hAnsi="Arial"/>
          </w:rPr>
          <w:t>1.1</w:t>
        </w:r>
        <w:r w:rsidR="00336432" w:rsidRPr="00336432">
          <w:rPr>
            <w:rFonts w:eastAsiaTheme="minorEastAsia"/>
            <w:szCs w:val="22"/>
            <w:lang w:eastAsia="en-AU"/>
          </w:rPr>
          <w:tab/>
        </w:r>
        <w:r w:rsidR="00336432" w:rsidRPr="00336432">
          <w:rPr>
            <w:rStyle w:val="Hyperlink"/>
            <w:rFonts w:ascii="Arial" w:hAnsi="Arial"/>
          </w:rPr>
          <w:t>Approach</w:t>
        </w:r>
        <w:r w:rsidR="00336432" w:rsidRPr="00336432">
          <w:rPr>
            <w:webHidden/>
          </w:rPr>
          <w:tab/>
        </w:r>
        <w:r w:rsidR="00336432" w:rsidRPr="00336432">
          <w:rPr>
            <w:webHidden/>
          </w:rPr>
          <w:fldChar w:fldCharType="begin"/>
        </w:r>
        <w:r w:rsidR="00336432" w:rsidRPr="00336432">
          <w:rPr>
            <w:webHidden/>
          </w:rPr>
          <w:instrText xml:space="preserve"> PAGEREF _Toc48752345 \h </w:instrText>
        </w:r>
        <w:r w:rsidR="00336432" w:rsidRPr="00336432">
          <w:rPr>
            <w:webHidden/>
          </w:rPr>
        </w:r>
        <w:r w:rsidR="00336432" w:rsidRPr="00336432">
          <w:rPr>
            <w:webHidden/>
          </w:rPr>
          <w:fldChar w:fldCharType="separate"/>
        </w:r>
        <w:r w:rsidR="00336432">
          <w:rPr>
            <w:webHidden/>
          </w:rPr>
          <w:t>4</w:t>
        </w:r>
        <w:r w:rsidR="00336432" w:rsidRPr="00336432">
          <w:rPr>
            <w:webHidden/>
          </w:rPr>
          <w:fldChar w:fldCharType="end"/>
        </w:r>
      </w:hyperlink>
    </w:p>
    <w:p w14:paraId="39D0E9B3" w14:textId="2FD3607C" w:rsidR="00336432" w:rsidRPr="00336432" w:rsidRDefault="008E1625">
      <w:pPr>
        <w:pStyle w:val="TOC2"/>
        <w:rPr>
          <w:rFonts w:eastAsiaTheme="minorEastAsia"/>
          <w:szCs w:val="22"/>
          <w:lang w:eastAsia="en-AU"/>
        </w:rPr>
      </w:pPr>
      <w:hyperlink w:anchor="_Toc48752346" w:history="1">
        <w:r w:rsidR="00336432" w:rsidRPr="00336432">
          <w:rPr>
            <w:rStyle w:val="Hyperlink"/>
            <w:rFonts w:ascii="Arial" w:hAnsi="Arial"/>
          </w:rPr>
          <w:t>1.2</w:t>
        </w:r>
        <w:r w:rsidR="00336432" w:rsidRPr="00336432">
          <w:rPr>
            <w:rFonts w:eastAsiaTheme="minorEastAsia"/>
            <w:szCs w:val="22"/>
            <w:lang w:eastAsia="en-AU"/>
          </w:rPr>
          <w:tab/>
        </w:r>
        <w:r w:rsidR="00336432" w:rsidRPr="00336432">
          <w:rPr>
            <w:rStyle w:val="Hyperlink"/>
            <w:rFonts w:ascii="Arial" w:hAnsi="Arial"/>
          </w:rPr>
          <w:t>Key findings from analysis</w:t>
        </w:r>
        <w:r w:rsidR="00336432" w:rsidRPr="00336432">
          <w:rPr>
            <w:webHidden/>
          </w:rPr>
          <w:tab/>
        </w:r>
        <w:r w:rsidR="00336432" w:rsidRPr="00336432">
          <w:rPr>
            <w:webHidden/>
          </w:rPr>
          <w:fldChar w:fldCharType="begin"/>
        </w:r>
        <w:r w:rsidR="00336432" w:rsidRPr="00336432">
          <w:rPr>
            <w:webHidden/>
          </w:rPr>
          <w:instrText xml:space="preserve"> PAGEREF _Toc48752346 \h </w:instrText>
        </w:r>
        <w:r w:rsidR="00336432" w:rsidRPr="00336432">
          <w:rPr>
            <w:webHidden/>
          </w:rPr>
        </w:r>
        <w:r w:rsidR="00336432" w:rsidRPr="00336432">
          <w:rPr>
            <w:webHidden/>
          </w:rPr>
          <w:fldChar w:fldCharType="separate"/>
        </w:r>
        <w:r w:rsidR="00336432">
          <w:rPr>
            <w:webHidden/>
          </w:rPr>
          <w:t>4</w:t>
        </w:r>
        <w:r w:rsidR="00336432" w:rsidRPr="00336432">
          <w:rPr>
            <w:webHidden/>
          </w:rPr>
          <w:fldChar w:fldCharType="end"/>
        </w:r>
      </w:hyperlink>
    </w:p>
    <w:p w14:paraId="1EA24AE7" w14:textId="5A906E77" w:rsidR="00336432" w:rsidRPr="00336432" w:rsidRDefault="008E1625">
      <w:pPr>
        <w:pStyle w:val="TOC2"/>
        <w:rPr>
          <w:rFonts w:eastAsiaTheme="minorEastAsia"/>
          <w:szCs w:val="22"/>
          <w:lang w:eastAsia="en-AU"/>
        </w:rPr>
      </w:pPr>
      <w:hyperlink w:anchor="_Toc48752347" w:history="1">
        <w:r w:rsidR="00336432" w:rsidRPr="00336432">
          <w:rPr>
            <w:rStyle w:val="Hyperlink"/>
            <w:rFonts w:ascii="Arial" w:hAnsi="Arial"/>
          </w:rPr>
          <w:t>1.3</w:t>
        </w:r>
        <w:r w:rsidR="00336432" w:rsidRPr="00336432">
          <w:rPr>
            <w:rFonts w:eastAsiaTheme="minorEastAsia"/>
            <w:szCs w:val="22"/>
            <w:lang w:eastAsia="en-AU"/>
          </w:rPr>
          <w:tab/>
        </w:r>
        <w:r w:rsidR="00336432" w:rsidRPr="00336432">
          <w:rPr>
            <w:rStyle w:val="Hyperlink"/>
            <w:rFonts w:ascii="Arial" w:hAnsi="Arial"/>
          </w:rPr>
          <w:t>A guide to this report</w:t>
        </w:r>
        <w:r w:rsidR="00336432" w:rsidRPr="00336432">
          <w:rPr>
            <w:webHidden/>
          </w:rPr>
          <w:tab/>
        </w:r>
        <w:r w:rsidR="00336432" w:rsidRPr="00336432">
          <w:rPr>
            <w:webHidden/>
          </w:rPr>
          <w:fldChar w:fldCharType="begin"/>
        </w:r>
        <w:r w:rsidR="00336432" w:rsidRPr="00336432">
          <w:rPr>
            <w:webHidden/>
          </w:rPr>
          <w:instrText xml:space="preserve"> PAGEREF _Toc48752347 \h </w:instrText>
        </w:r>
        <w:r w:rsidR="00336432" w:rsidRPr="00336432">
          <w:rPr>
            <w:webHidden/>
          </w:rPr>
        </w:r>
        <w:r w:rsidR="00336432" w:rsidRPr="00336432">
          <w:rPr>
            <w:webHidden/>
          </w:rPr>
          <w:fldChar w:fldCharType="separate"/>
        </w:r>
        <w:r w:rsidR="00336432">
          <w:rPr>
            <w:webHidden/>
          </w:rPr>
          <w:t>7</w:t>
        </w:r>
        <w:r w:rsidR="00336432" w:rsidRPr="00336432">
          <w:rPr>
            <w:webHidden/>
          </w:rPr>
          <w:fldChar w:fldCharType="end"/>
        </w:r>
      </w:hyperlink>
    </w:p>
    <w:p w14:paraId="53202F59" w14:textId="51587A62" w:rsidR="00336432" w:rsidRPr="00336432" w:rsidRDefault="008E1625">
      <w:pPr>
        <w:pStyle w:val="TOC2"/>
        <w:rPr>
          <w:rFonts w:eastAsiaTheme="minorEastAsia"/>
          <w:szCs w:val="22"/>
          <w:lang w:eastAsia="en-AU"/>
        </w:rPr>
      </w:pPr>
      <w:hyperlink w:anchor="_Toc48752348" w:history="1">
        <w:r w:rsidR="00336432" w:rsidRPr="00336432">
          <w:rPr>
            <w:rStyle w:val="Hyperlink"/>
            <w:rFonts w:ascii="Arial" w:hAnsi="Arial"/>
          </w:rPr>
          <w:t>1.4</w:t>
        </w:r>
        <w:r w:rsidR="00336432" w:rsidRPr="00336432">
          <w:rPr>
            <w:rFonts w:eastAsiaTheme="minorEastAsia"/>
            <w:szCs w:val="22"/>
            <w:lang w:eastAsia="en-AU"/>
          </w:rPr>
          <w:tab/>
        </w:r>
        <w:r w:rsidR="00336432" w:rsidRPr="00336432">
          <w:rPr>
            <w:rStyle w:val="Hyperlink"/>
            <w:rFonts w:ascii="Arial" w:hAnsi="Arial"/>
          </w:rPr>
          <w:t>Limitations and future areas for investigation</w:t>
        </w:r>
        <w:r w:rsidR="00336432" w:rsidRPr="00336432">
          <w:rPr>
            <w:webHidden/>
          </w:rPr>
          <w:tab/>
        </w:r>
        <w:r w:rsidR="00336432" w:rsidRPr="00336432">
          <w:rPr>
            <w:webHidden/>
          </w:rPr>
          <w:fldChar w:fldCharType="begin"/>
        </w:r>
        <w:r w:rsidR="00336432" w:rsidRPr="00336432">
          <w:rPr>
            <w:webHidden/>
          </w:rPr>
          <w:instrText xml:space="preserve"> PAGEREF _Toc48752348 \h </w:instrText>
        </w:r>
        <w:r w:rsidR="00336432" w:rsidRPr="00336432">
          <w:rPr>
            <w:webHidden/>
          </w:rPr>
        </w:r>
        <w:r w:rsidR="00336432" w:rsidRPr="00336432">
          <w:rPr>
            <w:webHidden/>
          </w:rPr>
          <w:fldChar w:fldCharType="separate"/>
        </w:r>
        <w:r w:rsidR="00336432">
          <w:rPr>
            <w:webHidden/>
          </w:rPr>
          <w:t>7</w:t>
        </w:r>
        <w:r w:rsidR="00336432" w:rsidRPr="00336432">
          <w:rPr>
            <w:webHidden/>
          </w:rPr>
          <w:fldChar w:fldCharType="end"/>
        </w:r>
      </w:hyperlink>
    </w:p>
    <w:p w14:paraId="14C5425A" w14:textId="42A7BC95" w:rsidR="00336432" w:rsidRPr="00336432" w:rsidRDefault="008E1625">
      <w:pPr>
        <w:pStyle w:val="TOC1"/>
        <w:rPr>
          <w:rFonts w:eastAsiaTheme="minorEastAsia"/>
          <w:sz w:val="22"/>
          <w:szCs w:val="22"/>
          <w:lang w:eastAsia="en-AU"/>
        </w:rPr>
      </w:pPr>
      <w:hyperlink w:anchor="_Toc48752349" w:history="1">
        <w:r w:rsidR="00336432" w:rsidRPr="00336432">
          <w:rPr>
            <w:rStyle w:val="Hyperlink"/>
            <w:rFonts w:ascii="Arial" w:hAnsi="Arial"/>
          </w:rPr>
          <w:t>2.</w:t>
        </w:r>
        <w:r w:rsidR="00336432" w:rsidRPr="00336432">
          <w:rPr>
            <w:rFonts w:eastAsiaTheme="minorEastAsia"/>
            <w:sz w:val="22"/>
            <w:szCs w:val="22"/>
            <w:lang w:eastAsia="en-AU"/>
          </w:rPr>
          <w:tab/>
        </w:r>
        <w:r w:rsidR="00336432" w:rsidRPr="00336432">
          <w:rPr>
            <w:rStyle w:val="Hyperlink"/>
            <w:rFonts w:ascii="Arial" w:hAnsi="Arial"/>
          </w:rPr>
          <w:t>Introduction</w:t>
        </w:r>
        <w:r w:rsidR="00336432" w:rsidRPr="00336432">
          <w:rPr>
            <w:webHidden/>
          </w:rPr>
          <w:tab/>
        </w:r>
        <w:r w:rsidR="00336432" w:rsidRPr="00336432">
          <w:rPr>
            <w:webHidden/>
          </w:rPr>
          <w:fldChar w:fldCharType="begin"/>
        </w:r>
        <w:r w:rsidR="00336432" w:rsidRPr="00336432">
          <w:rPr>
            <w:webHidden/>
          </w:rPr>
          <w:instrText xml:space="preserve"> PAGEREF _Toc48752349 \h </w:instrText>
        </w:r>
        <w:r w:rsidR="00336432" w:rsidRPr="00336432">
          <w:rPr>
            <w:webHidden/>
          </w:rPr>
        </w:r>
        <w:r w:rsidR="00336432" w:rsidRPr="00336432">
          <w:rPr>
            <w:webHidden/>
          </w:rPr>
          <w:fldChar w:fldCharType="separate"/>
        </w:r>
        <w:r w:rsidR="00336432">
          <w:rPr>
            <w:webHidden/>
          </w:rPr>
          <w:t>9</w:t>
        </w:r>
        <w:r w:rsidR="00336432" w:rsidRPr="00336432">
          <w:rPr>
            <w:webHidden/>
          </w:rPr>
          <w:fldChar w:fldCharType="end"/>
        </w:r>
      </w:hyperlink>
    </w:p>
    <w:p w14:paraId="6E8F2214" w14:textId="1FAA2AD2" w:rsidR="00336432" w:rsidRPr="00336432" w:rsidRDefault="008E1625">
      <w:pPr>
        <w:pStyle w:val="TOC2"/>
        <w:rPr>
          <w:rFonts w:eastAsiaTheme="minorEastAsia"/>
          <w:szCs w:val="22"/>
          <w:lang w:eastAsia="en-AU"/>
        </w:rPr>
      </w:pPr>
      <w:hyperlink w:anchor="_Toc48752350" w:history="1">
        <w:r w:rsidR="00336432" w:rsidRPr="00336432">
          <w:rPr>
            <w:rStyle w:val="Hyperlink"/>
            <w:rFonts w:ascii="Arial" w:hAnsi="Arial"/>
          </w:rPr>
          <w:t>2.1</w:t>
        </w:r>
        <w:r w:rsidR="00336432" w:rsidRPr="00336432">
          <w:rPr>
            <w:rFonts w:eastAsiaTheme="minorEastAsia"/>
            <w:szCs w:val="22"/>
            <w:lang w:eastAsia="en-AU"/>
          </w:rPr>
          <w:tab/>
        </w:r>
        <w:r w:rsidR="00336432" w:rsidRPr="00336432">
          <w:rPr>
            <w:rStyle w:val="Hyperlink"/>
            <w:rFonts w:ascii="Arial" w:hAnsi="Arial"/>
          </w:rPr>
          <w:t>Background</w:t>
        </w:r>
        <w:r w:rsidR="00336432" w:rsidRPr="00336432">
          <w:rPr>
            <w:webHidden/>
          </w:rPr>
          <w:tab/>
        </w:r>
        <w:r w:rsidR="00336432" w:rsidRPr="00336432">
          <w:rPr>
            <w:webHidden/>
          </w:rPr>
          <w:fldChar w:fldCharType="begin"/>
        </w:r>
        <w:r w:rsidR="00336432" w:rsidRPr="00336432">
          <w:rPr>
            <w:webHidden/>
          </w:rPr>
          <w:instrText xml:space="preserve"> PAGEREF _Toc48752350 \h </w:instrText>
        </w:r>
        <w:r w:rsidR="00336432" w:rsidRPr="00336432">
          <w:rPr>
            <w:webHidden/>
          </w:rPr>
        </w:r>
        <w:r w:rsidR="00336432" w:rsidRPr="00336432">
          <w:rPr>
            <w:webHidden/>
          </w:rPr>
          <w:fldChar w:fldCharType="separate"/>
        </w:r>
        <w:r w:rsidR="00336432">
          <w:rPr>
            <w:webHidden/>
          </w:rPr>
          <w:t>9</w:t>
        </w:r>
        <w:r w:rsidR="00336432" w:rsidRPr="00336432">
          <w:rPr>
            <w:webHidden/>
          </w:rPr>
          <w:fldChar w:fldCharType="end"/>
        </w:r>
      </w:hyperlink>
    </w:p>
    <w:p w14:paraId="041B39A1" w14:textId="5C79C6C5" w:rsidR="00336432" w:rsidRPr="00336432" w:rsidRDefault="008E1625">
      <w:pPr>
        <w:pStyle w:val="TOC2"/>
        <w:rPr>
          <w:rFonts w:eastAsiaTheme="minorEastAsia"/>
          <w:szCs w:val="22"/>
          <w:lang w:eastAsia="en-AU"/>
        </w:rPr>
      </w:pPr>
      <w:hyperlink w:anchor="_Toc48752351" w:history="1">
        <w:r w:rsidR="00336432" w:rsidRPr="00336432">
          <w:rPr>
            <w:rStyle w:val="Hyperlink"/>
            <w:rFonts w:ascii="Arial" w:hAnsi="Arial"/>
          </w:rPr>
          <w:t>2.2</w:t>
        </w:r>
        <w:r w:rsidR="00336432" w:rsidRPr="00336432">
          <w:rPr>
            <w:rFonts w:eastAsiaTheme="minorEastAsia"/>
            <w:szCs w:val="22"/>
            <w:lang w:eastAsia="en-AU"/>
          </w:rPr>
          <w:tab/>
        </w:r>
        <w:r w:rsidR="00336432" w:rsidRPr="00336432">
          <w:rPr>
            <w:rStyle w:val="Hyperlink"/>
            <w:rFonts w:ascii="Arial" w:hAnsi="Arial"/>
          </w:rPr>
          <w:t>Purpose</w:t>
        </w:r>
        <w:r w:rsidR="00336432" w:rsidRPr="00336432">
          <w:rPr>
            <w:webHidden/>
          </w:rPr>
          <w:tab/>
        </w:r>
        <w:r w:rsidR="00336432" w:rsidRPr="00336432">
          <w:rPr>
            <w:webHidden/>
          </w:rPr>
          <w:fldChar w:fldCharType="begin"/>
        </w:r>
        <w:r w:rsidR="00336432" w:rsidRPr="00336432">
          <w:rPr>
            <w:webHidden/>
          </w:rPr>
          <w:instrText xml:space="preserve"> PAGEREF _Toc48752351 \h </w:instrText>
        </w:r>
        <w:r w:rsidR="00336432" w:rsidRPr="00336432">
          <w:rPr>
            <w:webHidden/>
          </w:rPr>
        </w:r>
        <w:r w:rsidR="00336432" w:rsidRPr="00336432">
          <w:rPr>
            <w:webHidden/>
          </w:rPr>
          <w:fldChar w:fldCharType="separate"/>
        </w:r>
        <w:r w:rsidR="00336432">
          <w:rPr>
            <w:webHidden/>
          </w:rPr>
          <w:t>11</w:t>
        </w:r>
        <w:r w:rsidR="00336432" w:rsidRPr="00336432">
          <w:rPr>
            <w:webHidden/>
          </w:rPr>
          <w:fldChar w:fldCharType="end"/>
        </w:r>
      </w:hyperlink>
    </w:p>
    <w:p w14:paraId="237E7962" w14:textId="02C1054C" w:rsidR="00336432" w:rsidRPr="00336432" w:rsidRDefault="008E1625">
      <w:pPr>
        <w:pStyle w:val="TOC1"/>
        <w:rPr>
          <w:rFonts w:eastAsiaTheme="minorEastAsia"/>
          <w:sz w:val="22"/>
          <w:szCs w:val="22"/>
          <w:lang w:eastAsia="en-AU"/>
        </w:rPr>
      </w:pPr>
      <w:hyperlink w:anchor="_Toc48752352" w:history="1">
        <w:r w:rsidR="00336432" w:rsidRPr="00336432">
          <w:rPr>
            <w:rStyle w:val="Hyperlink"/>
            <w:rFonts w:ascii="Arial" w:hAnsi="Arial"/>
          </w:rPr>
          <w:t>3.</w:t>
        </w:r>
        <w:r w:rsidR="00336432" w:rsidRPr="00336432">
          <w:rPr>
            <w:rFonts w:eastAsiaTheme="minorEastAsia"/>
            <w:sz w:val="22"/>
            <w:szCs w:val="22"/>
            <w:lang w:eastAsia="en-AU"/>
          </w:rPr>
          <w:tab/>
        </w:r>
        <w:r w:rsidR="00336432" w:rsidRPr="00336432">
          <w:rPr>
            <w:rStyle w:val="Hyperlink"/>
            <w:rFonts w:ascii="Arial" w:hAnsi="Arial"/>
          </w:rPr>
          <w:t>Data sources and assessment criteria</w:t>
        </w:r>
        <w:r w:rsidR="00336432" w:rsidRPr="00336432">
          <w:rPr>
            <w:webHidden/>
          </w:rPr>
          <w:tab/>
        </w:r>
        <w:r w:rsidR="00336432" w:rsidRPr="00336432">
          <w:rPr>
            <w:webHidden/>
          </w:rPr>
          <w:fldChar w:fldCharType="begin"/>
        </w:r>
        <w:r w:rsidR="00336432" w:rsidRPr="00336432">
          <w:rPr>
            <w:webHidden/>
          </w:rPr>
          <w:instrText xml:space="preserve"> PAGEREF _Toc48752352 \h </w:instrText>
        </w:r>
        <w:r w:rsidR="00336432" w:rsidRPr="00336432">
          <w:rPr>
            <w:webHidden/>
          </w:rPr>
        </w:r>
        <w:r w:rsidR="00336432" w:rsidRPr="00336432">
          <w:rPr>
            <w:webHidden/>
          </w:rPr>
          <w:fldChar w:fldCharType="separate"/>
        </w:r>
        <w:r w:rsidR="00336432">
          <w:rPr>
            <w:webHidden/>
          </w:rPr>
          <w:t>12</w:t>
        </w:r>
        <w:r w:rsidR="00336432" w:rsidRPr="00336432">
          <w:rPr>
            <w:webHidden/>
          </w:rPr>
          <w:fldChar w:fldCharType="end"/>
        </w:r>
      </w:hyperlink>
    </w:p>
    <w:p w14:paraId="4603584D" w14:textId="6DF0C936" w:rsidR="00336432" w:rsidRPr="00336432" w:rsidRDefault="008E1625">
      <w:pPr>
        <w:pStyle w:val="TOC2"/>
        <w:rPr>
          <w:rFonts w:eastAsiaTheme="minorEastAsia"/>
          <w:szCs w:val="22"/>
          <w:lang w:eastAsia="en-AU"/>
        </w:rPr>
      </w:pPr>
      <w:hyperlink w:anchor="_Toc48752353" w:history="1">
        <w:r w:rsidR="00336432" w:rsidRPr="00336432">
          <w:rPr>
            <w:rStyle w:val="Hyperlink"/>
            <w:rFonts w:ascii="Arial" w:hAnsi="Arial"/>
          </w:rPr>
          <w:t>3.1</w:t>
        </w:r>
        <w:r w:rsidR="00336432" w:rsidRPr="00336432">
          <w:rPr>
            <w:rFonts w:eastAsiaTheme="minorEastAsia"/>
            <w:szCs w:val="22"/>
            <w:lang w:eastAsia="en-AU"/>
          </w:rPr>
          <w:tab/>
        </w:r>
        <w:r w:rsidR="00336432" w:rsidRPr="00336432">
          <w:rPr>
            <w:rStyle w:val="Hyperlink"/>
            <w:rFonts w:ascii="Arial" w:hAnsi="Arial"/>
          </w:rPr>
          <w:t>Data sources available</w:t>
        </w:r>
        <w:r w:rsidR="00336432" w:rsidRPr="00336432">
          <w:rPr>
            <w:webHidden/>
          </w:rPr>
          <w:tab/>
        </w:r>
        <w:r w:rsidR="00336432" w:rsidRPr="00336432">
          <w:rPr>
            <w:webHidden/>
          </w:rPr>
          <w:fldChar w:fldCharType="begin"/>
        </w:r>
        <w:r w:rsidR="00336432" w:rsidRPr="00336432">
          <w:rPr>
            <w:webHidden/>
          </w:rPr>
          <w:instrText xml:space="preserve"> PAGEREF _Toc48752353 \h </w:instrText>
        </w:r>
        <w:r w:rsidR="00336432" w:rsidRPr="00336432">
          <w:rPr>
            <w:webHidden/>
          </w:rPr>
        </w:r>
        <w:r w:rsidR="00336432" w:rsidRPr="00336432">
          <w:rPr>
            <w:webHidden/>
          </w:rPr>
          <w:fldChar w:fldCharType="separate"/>
        </w:r>
        <w:r w:rsidR="00336432">
          <w:rPr>
            <w:webHidden/>
          </w:rPr>
          <w:t>12</w:t>
        </w:r>
        <w:r w:rsidR="00336432" w:rsidRPr="00336432">
          <w:rPr>
            <w:webHidden/>
          </w:rPr>
          <w:fldChar w:fldCharType="end"/>
        </w:r>
      </w:hyperlink>
    </w:p>
    <w:p w14:paraId="095F688E" w14:textId="207058F0" w:rsidR="00336432" w:rsidRPr="00336432" w:rsidRDefault="008E1625">
      <w:pPr>
        <w:pStyle w:val="TOC2"/>
        <w:rPr>
          <w:rFonts w:eastAsiaTheme="minorEastAsia"/>
          <w:szCs w:val="22"/>
          <w:lang w:eastAsia="en-AU"/>
        </w:rPr>
      </w:pPr>
      <w:hyperlink w:anchor="_Toc48752354" w:history="1">
        <w:r w:rsidR="00336432" w:rsidRPr="00336432">
          <w:rPr>
            <w:rStyle w:val="Hyperlink"/>
            <w:rFonts w:ascii="Arial" w:hAnsi="Arial"/>
          </w:rPr>
          <w:t>3.2</w:t>
        </w:r>
        <w:r w:rsidR="00336432" w:rsidRPr="00336432">
          <w:rPr>
            <w:rFonts w:eastAsiaTheme="minorEastAsia"/>
            <w:szCs w:val="22"/>
            <w:lang w:eastAsia="en-AU"/>
          </w:rPr>
          <w:tab/>
        </w:r>
        <w:r w:rsidR="00336432" w:rsidRPr="00336432">
          <w:rPr>
            <w:rStyle w:val="Hyperlink"/>
            <w:rFonts w:ascii="Arial" w:hAnsi="Arial"/>
          </w:rPr>
          <w:t>Outcome indicator assessment criteria</w:t>
        </w:r>
        <w:r w:rsidR="00336432" w:rsidRPr="00336432">
          <w:rPr>
            <w:webHidden/>
          </w:rPr>
          <w:tab/>
        </w:r>
        <w:r w:rsidR="00336432" w:rsidRPr="00336432">
          <w:rPr>
            <w:webHidden/>
          </w:rPr>
          <w:fldChar w:fldCharType="begin"/>
        </w:r>
        <w:r w:rsidR="00336432" w:rsidRPr="00336432">
          <w:rPr>
            <w:webHidden/>
          </w:rPr>
          <w:instrText xml:space="preserve"> PAGEREF _Toc48752354 \h </w:instrText>
        </w:r>
        <w:r w:rsidR="00336432" w:rsidRPr="00336432">
          <w:rPr>
            <w:webHidden/>
          </w:rPr>
        </w:r>
        <w:r w:rsidR="00336432" w:rsidRPr="00336432">
          <w:rPr>
            <w:webHidden/>
          </w:rPr>
          <w:fldChar w:fldCharType="separate"/>
        </w:r>
        <w:r w:rsidR="00336432">
          <w:rPr>
            <w:webHidden/>
          </w:rPr>
          <w:t>13</w:t>
        </w:r>
        <w:r w:rsidR="00336432" w:rsidRPr="00336432">
          <w:rPr>
            <w:webHidden/>
          </w:rPr>
          <w:fldChar w:fldCharType="end"/>
        </w:r>
      </w:hyperlink>
    </w:p>
    <w:p w14:paraId="2C3AB640" w14:textId="48E0A70A" w:rsidR="00336432" w:rsidRPr="00336432" w:rsidRDefault="008E1625">
      <w:pPr>
        <w:pStyle w:val="TOC2"/>
        <w:rPr>
          <w:rFonts w:eastAsiaTheme="minorEastAsia"/>
          <w:szCs w:val="22"/>
          <w:lang w:eastAsia="en-AU"/>
        </w:rPr>
      </w:pPr>
      <w:hyperlink w:anchor="_Toc48752355" w:history="1">
        <w:r w:rsidR="00336432" w:rsidRPr="00336432">
          <w:rPr>
            <w:rStyle w:val="Hyperlink"/>
            <w:rFonts w:ascii="Arial" w:hAnsi="Arial"/>
          </w:rPr>
          <w:t>3.3</w:t>
        </w:r>
        <w:r w:rsidR="00336432" w:rsidRPr="00336432">
          <w:rPr>
            <w:rFonts w:eastAsiaTheme="minorEastAsia"/>
            <w:szCs w:val="22"/>
            <w:lang w:eastAsia="en-AU"/>
          </w:rPr>
          <w:tab/>
        </w:r>
        <w:r w:rsidR="00336432" w:rsidRPr="00336432">
          <w:rPr>
            <w:rStyle w:val="Hyperlink"/>
            <w:rFonts w:ascii="Arial" w:hAnsi="Arial"/>
          </w:rPr>
          <w:t>Population groups of interest</w:t>
        </w:r>
        <w:r w:rsidR="00336432" w:rsidRPr="00336432">
          <w:rPr>
            <w:webHidden/>
          </w:rPr>
          <w:tab/>
        </w:r>
        <w:r w:rsidR="00336432" w:rsidRPr="00336432">
          <w:rPr>
            <w:webHidden/>
          </w:rPr>
          <w:fldChar w:fldCharType="begin"/>
        </w:r>
        <w:r w:rsidR="00336432" w:rsidRPr="00336432">
          <w:rPr>
            <w:webHidden/>
          </w:rPr>
          <w:instrText xml:space="preserve"> PAGEREF _Toc48752355 \h </w:instrText>
        </w:r>
        <w:r w:rsidR="00336432" w:rsidRPr="00336432">
          <w:rPr>
            <w:webHidden/>
          </w:rPr>
        </w:r>
        <w:r w:rsidR="00336432" w:rsidRPr="00336432">
          <w:rPr>
            <w:webHidden/>
          </w:rPr>
          <w:fldChar w:fldCharType="separate"/>
        </w:r>
        <w:r w:rsidR="00336432">
          <w:rPr>
            <w:webHidden/>
          </w:rPr>
          <w:t>14</w:t>
        </w:r>
        <w:r w:rsidR="00336432" w:rsidRPr="00336432">
          <w:rPr>
            <w:webHidden/>
          </w:rPr>
          <w:fldChar w:fldCharType="end"/>
        </w:r>
      </w:hyperlink>
    </w:p>
    <w:p w14:paraId="636E8499" w14:textId="3BC0D892" w:rsidR="00336432" w:rsidRPr="00336432" w:rsidRDefault="008E1625">
      <w:pPr>
        <w:pStyle w:val="TOC1"/>
        <w:rPr>
          <w:rFonts w:eastAsiaTheme="minorEastAsia"/>
          <w:sz w:val="22"/>
          <w:szCs w:val="22"/>
          <w:lang w:eastAsia="en-AU"/>
        </w:rPr>
      </w:pPr>
      <w:hyperlink w:anchor="_Toc48752356" w:history="1">
        <w:r w:rsidR="00336432" w:rsidRPr="00336432">
          <w:rPr>
            <w:rStyle w:val="Hyperlink"/>
            <w:rFonts w:ascii="Arial" w:hAnsi="Arial"/>
          </w:rPr>
          <w:t>4.</w:t>
        </w:r>
        <w:r w:rsidR="00336432" w:rsidRPr="00336432">
          <w:rPr>
            <w:rFonts w:eastAsiaTheme="minorEastAsia"/>
            <w:sz w:val="22"/>
            <w:szCs w:val="22"/>
            <w:lang w:eastAsia="en-AU"/>
          </w:rPr>
          <w:tab/>
        </w:r>
        <w:r w:rsidR="00336432" w:rsidRPr="00336432">
          <w:rPr>
            <w:rStyle w:val="Hyperlink"/>
            <w:rFonts w:ascii="Arial" w:hAnsi="Arial"/>
          </w:rPr>
          <w:t>Proposed outcome and service contact indicators from feasibility assessment</w:t>
        </w:r>
        <w:r w:rsidR="00336432" w:rsidRPr="00336432">
          <w:rPr>
            <w:webHidden/>
          </w:rPr>
          <w:tab/>
        </w:r>
        <w:r w:rsidR="00336432" w:rsidRPr="00336432">
          <w:rPr>
            <w:webHidden/>
          </w:rPr>
          <w:tab/>
        </w:r>
        <w:r w:rsidR="00336432" w:rsidRPr="00336432">
          <w:rPr>
            <w:webHidden/>
          </w:rPr>
          <w:fldChar w:fldCharType="begin"/>
        </w:r>
        <w:r w:rsidR="00336432" w:rsidRPr="00336432">
          <w:rPr>
            <w:webHidden/>
          </w:rPr>
          <w:instrText xml:space="preserve"> PAGEREF _Toc48752356 \h </w:instrText>
        </w:r>
        <w:r w:rsidR="00336432" w:rsidRPr="00336432">
          <w:rPr>
            <w:webHidden/>
          </w:rPr>
        </w:r>
        <w:r w:rsidR="00336432" w:rsidRPr="00336432">
          <w:rPr>
            <w:webHidden/>
          </w:rPr>
          <w:fldChar w:fldCharType="separate"/>
        </w:r>
        <w:r w:rsidR="00336432">
          <w:rPr>
            <w:webHidden/>
          </w:rPr>
          <w:t>16</w:t>
        </w:r>
        <w:r w:rsidR="00336432" w:rsidRPr="00336432">
          <w:rPr>
            <w:webHidden/>
          </w:rPr>
          <w:fldChar w:fldCharType="end"/>
        </w:r>
      </w:hyperlink>
    </w:p>
    <w:p w14:paraId="21E1C923" w14:textId="10A5AF46" w:rsidR="00336432" w:rsidRPr="00336432" w:rsidRDefault="008E1625">
      <w:pPr>
        <w:pStyle w:val="TOC1"/>
        <w:rPr>
          <w:rFonts w:eastAsiaTheme="minorEastAsia"/>
          <w:sz w:val="22"/>
          <w:szCs w:val="22"/>
          <w:lang w:eastAsia="en-AU"/>
        </w:rPr>
      </w:pPr>
      <w:hyperlink w:anchor="_Toc48752357" w:history="1">
        <w:r w:rsidR="00336432" w:rsidRPr="00336432">
          <w:rPr>
            <w:rStyle w:val="Hyperlink"/>
            <w:rFonts w:ascii="Arial" w:hAnsi="Arial"/>
          </w:rPr>
          <w:t>5.</w:t>
        </w:r>
        <w:r w:rsidR="00336432" w:rsidRPr="00336432">
          <w:rPr>
            <w:rFonts w:eastAsiaTheme="minorEastAsia"/>
            <w:sz w:val="22"/>
            <w:szCs w:val="22"/>
            <w:lang w:eastAsia="en-AU"/>
          </w:rPr>
          <w:tab/>
        </w:r>
        <w:r w:rsidR="00336432" w:rsidRPr="00336432">
          <w:rPr>
            <w:rStyle w:val="Hyperlink"/>
            <w:rFonts w:ascii="Arial" w:hAnsi="Arial"/>
          </w:rPr>
          <w:t>MidCentral DSS clients – baseline outcomes and service contact</w:t>
        </w:r>
        <w:r w:rsidR="00336432" w:rsidRPr="00336432">
          <w:rPr>
            <w:webHidden/>
          </w:rPr>
          <w:tab/>
        </w:r>
        <w:r w:rsidR="00336432" w:rsidRPr="00336432">
          <w:rPr>
            <w:webHidden/>
          </w:rPr>
          <w:fldChar w:fldCharType="begin"/>
        </w:r>
        <w:r w:rsidR="00336432" w:rsidRPr="00336432">
          <w:rPr>
            <w:webHidden/>
          </w:rPr>
          <w:instrText xml:space="preserve"> PAGEREF _Toc48752357 \h </w:instrText>
        </w:r>
        <w:r w:rsidR="00336432" w:rsidRPr="00336432">
          <w:rPr>
            <w:webHidden/>
          </w:rPr>
        </w:r>
        <w:r w:rsidR="00336432" w:rsidRPr="00336432">
          <w:rPr>
            <w:webHidden/>
          </w:rPr>
          <w:fldChar w:fldCharType="separate"/>
        </w:r>
        <w:r w:rsidR="00336432">
          <w:rPr>
            <w:webHidden/>
          </w:rPr>
          <w:t>24</w:t>
        </w:r>
        <w:r w:rsidR="00336432" w:rsidRPr="00336432">
          <w:rPr>
            <w:webHidden/>
          </w:rPr>
          <w:fldChar w:fldCharType="end"/>
        </w:r>
      </w:hyperlink>
    </w:p>
    <w:p w14:paraId="6DEDF83D" w14:textId="5C35C839" w:rsidR="00336432" w:rsidRPr="00336432" w:rsidRDefault="008E1625">
      <w:pPr>
        <w:pStyle w:val="TOC2"/>
        <w:rPr>
          <w:rFonts w:eastAsiaTheme="minorEastAsia"/>
          <w:szCs w:val="22"/>
          <w:lang w:eastAsia="en-AU"/>
        </w:rPr>
      </w:pPr>
      <w:hyperlink w:anchor="_Toc48752358" w:history="1">
        <w:r w:rsidR="00336432" w:rsidRPr="00336432">
          <w:rPr>
            <w:rStyle w:val="Hyperlink"/>
            <w:rFonts w:ascii="Arial" w:hAnsi="Arial"/>
          </w:rPr>
          <w:t>5.1</w:t>
        </w:r>
        <w:r w:rsidR="00336432" w:rsidRPr="00336432">
          <w:rPr>
            <w:rFonts w:eastAsiaTheme="minorEastAsia"/>
            <w:szCs w:val="22"/>
            <w:lang w:eastAsia="en-AU"/>
          </w:rPr>
          <w:tab/>
        </w:r>
        <w:r w:rsidR="00336432" w:rsidRPr="00336432">
          <w:rPr>
            <w:rStyle w:val="Hyperlink"/>
            <w:rFonts w:ascii="Arial" w:hAnsi="Arial"/>
          </w:rPr>
          <w:t>Children aged 0-4 years</w:t>
        </w:r>
        <w:r w:rsidR="00336432" w:rsidRPr="00336432">
          <w:rPr>
            <w:webHidden/>
          </w:rPr>
          <w:tab/>
        </w:r>
        <w:r w:rsidR="00336432" w:rsidRPr="00336432">
          <w:rPr>
            <w:webHidden/>
          </w:rPr>
          <w:fldChar w:fldCharType="begin"/>
        </w:r>
        <w:r w:rsidR="00336432" w:rsidRPr="00336432">
          <w:rPr>
            <w:webHidden/>
          </w:rPr>
          <w:instrText xml:space="preserve"> PAGEREF _Toc48752358 \h </w:instrText>
        </w:r>
        <w:r w:rsidR="00336432" w:rsidRPr="00336432">
          <w:rPr>
            <w:webHidden/>
          </w:rPr>
        </w:r>
        <w:r w:rsidR="00336432" w:rsidRPr="00336432">
          <w:rPr>
            <w:webHidden/>
          </w:rPr>
          <w:fldChar w:fldCharType="separate"/>
        </w:r>
        <w:r w:rsidR="00336432">
          <w:rPr>
            <w:webHidden/>
          </w:rPr>
          <w:t>26</w:t>
        </w:r>
        <w:r w:rsidR="00336432" w:rsidRPr="00336432">
          <w:rPr>
            <w:webHidden/>
          </w:rPr>
          <w:fldChar w:fldCharType="end"/>
        </w:r>
      </w:hyperlink>
    </w:p>
    <w:p w14:paraId="5D5922A9" w14:textId="746448B7" w:rsidR="00336432" w:rsidRPr="00336432" w:rsidRDefault="008E1625">
      <w:pPr>
        <w:pStyle w:val="TOC2"/>
        <w:rPr>
          <w:rFonts w:eastAsiaTheme="minorEastAsia"/>
          <w:szCs w:val="22"/>
          <w:lang w:eastAsia="en-AU"/>
        </w:rPr>
      </w:pPr>
      <w:hyperlink w:anchor="_Toc48752359" w:history="1">
        <w:r w:rsidR="00336432" w:rsidRPr="00336432">
          <w:rPr>
            <w:rStyle w:val="Hyperlink"/>
            <w:rFonts w:ascii="Arial" w:hAnsi="Arial"/>
          </w:rPr>
          <w:t>5.2</w:t>
        </w:r>
        <w:r w:rsidR="00336432" w:rsidRPr="00336432">
          <w:rPr>
            <w:rFonts w:eastAsiaTheme="minorEastAsia"/>
            <w:szCs w:val="22"/>
            <w:lang w:eastAsia="en-AU"/>
          </w:rPr>
          <w:tab/>
        </w:r>
        <w:r w:rsidR="00336432" w:rsidRPr="00336432">
          <w:rPr>
            <w:rStyle w:val="Hyperlink"/>
            <w:rFonts w:ascii="Arial" w:hAnsi="Arial"/>
            <w:lang w:val="en-NZ"/>
          </w:rPr>
          <w:t>Children aged 5-14 years</w:t>
        </w:r>
        <w:r w:rsidR="00336432" w:rsidRPr="00336432">
          <w:rPr>
            <w:webHidden/>
          </w:rPr>
          <w:tab/>
        </w:r>
        <w:r w:rsidR="00336432" w:rsidRPr="00336432">
          <w:rPr>
            <w:webHidden/>
          </w:rPr>
          <w:fldChar w:fldCharType="begin"/>
        </w:r>
        <w:r w:rsidR="00336432" w:rsidRPr="00336432">
          <w:rPr>
            <w:webHidden/>
          </w:rPr>
          <w:instrText xml:space="preserve"> PAGEREF _Toc48752359 \h </w:instrText>
        </w:r>
        <w:r w:rsidR="00336432" w:rsidRPr="00336432">
          <w:rPr>
            <w:webHidden/>
          </w:rPr>
        </w:r>
        <w:r w:rsidR="00336432" w:rsidRPr="00336432">
          <w:rPr>
            <w:webHidden/>
          </w:rPr>
          <w:fldChar w:fldCharType="separate"/>
        </w:r>
        <w:r w:rsidR="00336432">
          <w:rPr>
            <w:webHidden/>
          </w:rPr>
          <w:t>32</w:t>
        </w:r>
        <w:r w:rsidR="00336432" w:rsidRPr="00336432">
          <w:rPr>
            <w:webHidden/>
          </w:rPr>
          <w:fldChar w:fldCharType="end"/>
        </w:r>
      </w:hyperlink>
    </w:p>
    <w:p w14:paraId="3F9399D1" w14:textId="1A3EEC4B" w:rsidR="00336432" w:rsidRPr="00336432" w:rsidRDefault="008E1625">
      <w:pPr>
        <w:pStyle w:val="TOC2"/>
        <w:rPr>
          <w:rFonts w:eastAsiaTheme="minorEastAsia"/>
          <w:szCs w:val="22"/>
          <w:lang w:eastAsia="en-AU"/>
        </w:rPr>
      </w:pPr>
      <w:hyperlink w:anchor="_Toc48752360" w:history="1">
        <w:r w:rsidR="00336432" w:rsidRPr="00336432">
          <w:rPr>
            <w:rStyle w:val="Hyperlink"/>
            <w:rFonts w:ascii="Arial" w:hAnsi="Arial"/>
          </w:rPr>
          <w:t>5.3</w:t>
        </w:r>
        <w:r w:rsidR="00336432" w:rsidRPr="00336432">
          <w:rPr>
            <w:rFonts w:eastAsiaTheme="minorEastAsia"/>
            <w:szCs w:val="22"/>
            <w:lang w:eastAsia="en-AU"/>
          </w:rPr>
          <w:tab/>
        </w:r>
        <w:r w:rsidR="00336432" w:rsidRPr="00336432">
          <w:rPr>
            <w:rStyle w:val="Hyperlink"/>
            <w:rFonts w:ascii="Arial" w:hAnsi="Arial"/>
            <w:lang w:val="en-NZ"/>
          </w:rPr>
          <w:t>Young people aged 15-24 years</w:t>
        </w:r>
        <w:r w:rsidR="00336432" w:rsidRPr="00336432">
          <w:rPr>
            <w:webHidden/>
          </w:rPr>
          <w:tab/>
        </w:r>
        <w:r w:rsidR="00336432" w:rsidRPr="00336432">
          <w:rPr>
            <w:webHidden/>
          </w:rPr>
          <w:fldChar w:fldCharType="begin"/>
        </w:r>
        <w:r w:rsidR="00336432" w:rsidRPr="00336432">
          <w:rPr>
            <w:webHidden/>
          </w:rPr>
          <w:instrText xml:space="preserve"> PAGEREF _Toc48752360 \h </w:instrText>
        </w:r>
        <w:r w:rsidR="00336432" w:rsidRPr="00336432">
          <w:rPr>
            <w:webHidden/>
          </w:rPr>
        </w:r>
        <w:r w:rsidR="00336432" w:rsidRPr="00336432">
          <w:rPr>
            <w:webHidden/>
          </w:rPr>
          <w:fldChar w:fldCharType="separate"/>
        </w:r>
        <w:r w:rsidR="00336432">
          <w:rPr>
            <w:webHidden/>
          </w:rPr>
          <w:t>40</w:t>
        </w:r>
        <w:r w:rsidR="00336432" w:rsidRPr="00336432">
          <w:rPr>
            <w:webHidden/>
          </w:rPr>
          <w:fldChar w:fldCharType="end"/>
        </w:r>
      </w:hyperlink>
    </w:p>
    <w:p w14:paraId="1C80BA66" w14:textId="2574177E" w:rsidR="00336432" w:rsidRPr="00336432" w:rsidRDefault="008E1625">
      <w:pPr>
        <w:pStyle w:val="TOC2"/>
        <w:rPr>
          <w:rFonts w:eastAsiaTheme="minorEastAsia"/>
          <w:szCs w:val="22"/>
          <w:lang w:eastAsia="en-AU"/>
        </w:rPr>
      </w:pPr>
      <w:hyperlink w:anchor="_Toc48752361" w:history="1">
        <w:r w:rsidR="00336432" w:rsidRPr="00336432">
          <w:rPr>
            <w:rStyle w:val="Hyperlink"/>
            <w:rFonts w:ascii="Arial" w:hAnsi="Arial"/>
          </w:rPr>
          <w:t>5.4</w:t>
        </w:r>
        <w:r w:rsidR="00336432" w:rsidRPr="00336432">
          <w:rPr>
            <w:rFonts w:eastAsiaTheme="minorEastAsia"/>
            <w:szCs w:val="22"/>
            <w:lang w:eastAsia="en-AU"/>
          </w:rPr>
          <w:tab/>
        </w:r>
        <w:r w:rsidR="00336432" w:rsidRPr="00336432">
          <w:rPr>
            <w:rStyle w:val="Hyperlink"/>
            <w:rFonts w:ascii="Arial" w:hAnsi="Arial"/>
            <w:lang w:val="en-NZ"/>
          </w:rPr>
          <w:t>Adults aged 25-64 years</w:t>
        </w:r>
        <w:r w:rsidR="00336432" w:rsidRPr="00336432">
          <w:rPr>
            <w:webHidden/>
          </w:rPr>
          <w:tab/>
        </w:r>
        <w:r w:rsidR="00336432" w:rsidRPr="00336432">
          <w:rPr>
            <w:webHidden/>
          </w:rPr>
          <w:fldChar w:fldCharType="begin"/>
        </w:r>
        <w:r w:rsidR="00336432" w:rsidRPr="00336432">
          <w:rPr>
            <w:webHidden/>
          </w:rPr>
          <w:instrText xml:space="preserve"> PAGEREF _Toc48752361 \h </w:instrText>
        </w:r>
        <w:r w:rsidR="00336432" w:rsidRPr="00336432">
          <w:rPr>
            <w:webHidden/>
          </w:rPr>
        </w:r>
        <w:r w:rsidR="00336432" w:rsidRPr="00336432">
          <w:rPr>
            <w:webHidden/>
          </w:rPr>
          <w:fldChar w:fldCharType="separate"/>
        </w:r>
        <w:r w:rsidR="00336432">
          <w:rPr>
            <w:webHidden/>
          </w:rPr>
          <w:t>51</w:t>
        </w:r>
        <w:r w:rsidR="00336432" w:rsidRPr="00336432">
          <w:rPr>
            <w:webHidden/>
          </w:rPr>
          <w:fldChar w:fldCharType="end"/>
        </w:r>
      </w:hyperlink>
    </w:p>
    <w:p w14:paraId="117B9BDF" w14:textId="6CFF4B36" w:rsidR="00336432" w:rsidRPr="00336432" w:rsidRDefault="008E1625">
      <w:pPr>
        <w:pStyle w:val="TOC2"/>
        <w:rPr>
          <w:rFonts w:eastAsiaTheme="minorEastAsia"/>
          <w:szCs w:val="22"/>
          <w:lang w:eastAsia="en-AU"/>
        </w:rPr>
      </w:pPr>
      <w:hyperlink w:anchor="_Toc48752362" w:history="1">
        <w:r w:rsidR="00336432" w:rsidRPr="00336432">
          <w:rPr>
            <w:rStyle w:val="Hyperlink"/>
            <w:rFonts w:ascii="Arial" w:hAnsi="Arial"/>
          </w:rPr>
          <w:t>5.5</w:t>
        </w:r>
        <w:r w:rsidR="00336432" w:rsidRPr="00336432">
          <w:rPr>
            <w:rFonts w:eastAsiaTheme="minorEastAsia"/>
            <w:szCs w:val="22"/>
            <w:lang w:eastAsia="en-AU"/>
          </w:rPr>
          <w:tab/>
        </w:r>
        <w:r w:rsidR="00336432" w:rsidRPr="00336432">
          <w:rPr>
            <w:rStyle w:val="Hyperlink"/>
            <w:rFonts w:ascii="Arial" w:hAnsi="Arial"/>
          </w:rPr>
          <w:t>Adults aged 65 and older</w:t>
        </w:r>
        <w:r w:rsidR="00336432" w:rsidRPr="00336432">
          <w:rPr>
            <w:webHidden/>
          </w:rPr>
          <w:tab/>
        </w:r>
        <w:r w:rsidR="00336432" w:rsidRPr="00336432">
          <w:rPr>
            <w:webHidden/>
          </w:rPr>
          <w:fldChar w:fldCharType="begin"/>
        </w:r>
        <w:r w:rsidR="00336432" w:rsidRPr="00336432">
          <w:rPr>
            <w:webHidden/>
          </w:rPr>
          <w:instrText xml:space="preserve"> PAGEREF _Toc48752362 \h </w:instrText>
        </w:r>
        <w:r w:rsidR="00336432" w:rsidRPr="00336432">
          <w:rPr>
            <w:webHidden/>
          </w:rPr>
        </w:r>
        <w:r w:rsidR="00336432" w:rsidRPr="00336432">
          <w:rPr>
            <w:webHidden/>
          </w:rPr>
          <w:fldChar w:fldCharType="separate"/>
        </w:r>
        <w:r w:rsidR="00336432">
          <w:rPr>
            <w:webHidden/>
          </w:rPr>
          <w:t>60</w:t>
        </w:r>
        <w:r w:rsidR="00336432" w:rsidRPr="00336432">
          <w:rPr>
            <w:webHidden/>
          </w:rPr>
          <w:fldChar w:fldCharType="end"/>
        </w:r>
      </w:hyperlink>
    </w:p>
    <w:p w14:paraId="4E17720F" w14:textId="14C6226C" w:rsidR="00336432" w:rsidRPr="00336432" w:rsidRDefault="008E1625">
      <w:pPr>
        <w:pStyle w:val="TOC1"/>
        <w:rPr>
          <w:rFonts w:eastAsiaTheme="minorEastAsia"/>
          <w:sz w:val="22"/>
          <w:szCs w:val="22"/>
          <w:lang w:eastAsia="en-AU"/>
        </w:rPr>
      </w:pPr>
      <w:hyperlink w:anchor="_Toc48752363" w:history="1">
        <w:r w:rsidR="00336432" w:rsidRPr="00336432">
          <w:rPr>
            <w:rStyle w:val="Hyperlink"/>
            <w:rFonts w:ascii="Arial" w:hAnsi="Arial"/>
          </w:rPr>
          <w:t>6.</w:t>
        </w:r>
        <w:r w:rsidR="00336432" w:rsidRPr="00336432">
          <w:rPr>
            <w:rFonts w:eastAsiaTheme="minorEastAsia"/>
            <w:sz w:val="22"/>
            <w:szCs w:val="22"/>
            <w:lang w:eastAsia="en-AU"/>
          </w:rPr>
          <w:tab/>
        </w:r>
        <w:r w:rsidR="00336432" w:rsidRPr="00336432">
          <w:rPr>
            <w:rStyle w:val="Hyperlink"/>
            <w:rFonts w:ascii="Arial" w:hAnsi="Arial"/>
          </w:rPr>
          <w:t>National DSS clients – wellbeing observations from population surveys</w:t>
        </w:r>
        <w:r w:rsidR="00336432" w:rsidRPr="00336432">
          <w:rPr>
            <w:webHidden/>
          </w:rPr>
          <w:tab/>
        </w:r>
        <w:r w:rsidR="00336432" w:rsidRPr="00336432">
          <w:rPr>
            <w:webHidden/>
          </w:rPr>
          <w:fldChar w:fldCharType="begin"/>
        </w:r>
        <w:r w:rsidR="00336432" w:rsidRPr="00336432">
          <w:rPr>
            <w:webHidden/>
          </w:rPr>
          <w:instrText xml:space="preserve"> PAGEREF _Toc48752363 \h </w:instrText>
        </w:r>
        <w:r w:rsidR="00336432" w:rsidRPr="00336432">
          <w:rPr>
            <w:webHidden/>
          </w:rPr>
        </w:r>
        <w:r w:rsidR="00336432" w:rsidRPr="00336432">
          <w:rPr>
            <w:webHidden/>
          </w:rPr>
          <w:fldChar w:fldCharType="separate"/>
        </w:r>
        <w:r w:rsidR="00336432">
          <w:rPr>
            <w:webHidden/>
          </w:rPr>
          <w:t>65</w:t>
        </w:r>
        <w:r w:rsidR="00336432" w:rsidRPr="00336432">
          <w:rPr>
            <w:webHidden/>
          </w:rPr>
          <w:fldChar w:fldCharType="end"/>
        </w:r>
      </w:hyperlink>
    </w:p>
    <w:p w14:paraId="747F7E31" w14:textId="33587E3B" w:rsidR="00336432" w:rsidRPr="00336432" w:rsidRDefault="008E1625">
      <w:pPr>
        <w:pStyle w:val="TOC2"/>
        <w:rPr>
          <w:rFonts w:eastAsiaTheme="minorEastAsia"/>
          <w:szCs w:val="22"/>
          <w:lang w:eastAsia="en-AU"/>
        </w:rPr>
      </w:pPr>
      <w:hyperlink w:anchor="_Toc48752364" w:history="1">
        <w:r w:rsidR="00336432" w:rsidRPr="00336432">
          <w:rPr>
            <w:rStyle w:val="Hyperlink"/>
            <w:rFonts w:ascii="Arial" w:hAnsi="Arial"/>
          </w:rPr>
          <w:t>6.1</w:t>
        </w:r>
        <w:r w:rsidR="00336432" w:rsidRPr="00336432">
          <w:rPr>
            <w:rFonts w:eastAsiaTheme="minorEastAsia"/>
            <w:szCs w:val="22"/>
            <w:lang w:eastAsia="en-AU"/>
          </w:rPr>
          <w:tab/>
        </w:r>
        <w:r w:rsidR="00336432" w:rsidRPr="00336432">
          <w:rPr>
            <w:rStyle w:val="Hyperlink"/>
            <w:rFonts w:ascii="Arial" w:hAnsi="Arial"/>
          </w:rPr>
          <w:t>A brief introduction to the population surveys</w:t>
        </w:r>
        <w:r w:rsidR="00336432" w:rsidRPr="00336432">
          <w:rPr>
            <w:webHidden/>
          </w:rPr>
          <w:tab/>
        </w:r>
        <w:r w:rsidR="00336432" w:rsidRPr="00336432">
          <w:rPr>
            <w:webHidden/>
          </w:rPr>
          <w:fldChar w:fldCharType="begin"/>
        </w:r>
        <w:r w:rsidR="00336432" w:rsidRPr="00336432">
          <w:rPr>
            <w:webHidden/>
          </w:rPr>
          <w:instrText xml:space="preserve"> PAGEREF _Toc48752364 \h </w:instrText>
        </w:r>
        <w:r w:rsidR="00336432" w:rsidRPr="00336432">
          <w:rPr>
            <w:webHidden/>
          </w:rPr>
        </w:r>
        <w:r w:rsidR="00336432" w:rsidRPr="00336432">
          <w:rPr>
            <w:webHidden/>
          </w:rPr>
          <w:fldChar w:fldCharType="separate"/>
        </w:r>
        <w:r w:rsidR="00336432">
          <w:rPr>
            <w:webHidden/>
          </w:rPr>
          <w:t>65</w:t>
        </w:r>
        <w:r w:rsidR="00336432" w:rsidRPr="00336432">
          <w:rPr>
            <w:webHidden/>
          </w:rPr>
          <w:fldChar w:fldCharType="end"/>
        </w:r>
      </w:hyperlink>
    </w:p>
    <w:p w14:paraId="5A190859" w14:textId="4E1F13E0" w:rsidR="00336432" w:rsidRPr="00336432" w:rsidRDefault="008E1625">
      <w:pPr>
        <w:pStyle w:val="TOC2"/>
        <w:rPr>
          <w:rFonts w:eastAsiaTheme="minorEastAsia"/>
          <w:szCs w:val="22"/>
          <w:lang w:eastAsia="en-AU"/>
        </w:rPr>
      </w:pPr>
      <w:hyperlink w:anchor="_Toc48752365" w:history="1">
        <w:r w:rsidR="00336432" w:rsidRPr="00336432">
          <w:rPr>
            <w:rStyle w:val="Hyperlink"/>
            <w:rFonts w:ascii="Arial" w:hAnsi="Arial"/>
          </w:rPr>
          <w:t>6.2</w:t>
        </w:r>
        <w:r w:rsidR="00336432" w:rsidRPr="00336432">
          <w:rPr>
            <w:rFonts w:eastAsiaTheme="minorEastAsia"/>
            <w:szCs w:val="22"/>
            <w:lang w:eastAsia="en-AU"/>
          </w:rPr>
          <w:tab/>
        </w:r>
        <w:r w:rsidR="00336432" w:rsidRPr="00336432">
          <w:rPr>
            <w:rStyle w:val="Hyperlink"/>
            <w:rFonts w:ascii="Arial" w:hAnsi="Arial"/>
          </w:rPr>
          <w:t>Child DSS clients</w:t>
        </w:r>
        <w:r w:rsidR="00336432" w:rsidRPr="00336432">
          <w:rPr>
            <w:webHidden/>
          </w:rPr>
          <w:tab/>
        </w:r>
        <w:r w:rsidR="00336432" w:rsidRPr="00336432">
          <w:rPr>
            <w:webHidden/>
          </w:rPr>
          <w:fldChar w:fldCharType="begin"/>
        </w:r>
        <w:r w:rsidR="00336432" w:rsidRPr="00336432">
          <w:rPr>
            <w:webHidden/>
          </w:rPr>
          <w:instrText xml:space="preserve"> PAGEREF _Toc48752365 \h </w:instrText>
        </w:r>
        <w:r w:rsidR="00336432" w:rsidRPr="00336432">
          <w:rPr>
            <w:webHidden/>
          </w:rPr>
        </w:r>
        <w:r w:rsidR="00336432" w:rsidRPr="00336432">
          <w:rPr>
            <w:webHidden/>
          </w:rPr>
          <w:fldChar w:fldCharType="separate"/>
        </w:r>
        <w:r w:rsidR="00336432">
          <w:rPr>
            <w:webHidden/>
          </w:rPr>
          <w:t>66</w:t>
        </w:r>
        <w:r w:rsidR="00336432" w:rsidRPr="00336432">
          <w:rPr>
            <w:webHidden/>
          </w:rPr>
          <w:fldChar w:fldCharType="end"/>
        </w:r>
      </w:hyperlink>
    </w:p>
    <w:p w14:paraId="0D622390" w14:textId="51720E79" w:rsidR="00336432" w:rsidRPr="00336432" w:rsidRDefault="008E1625">
      <w:pPr>
        <w:pStyle w:val="TOC2"/>
        <w:rPr>
          <w:rFonts w:eastAsiaTheme="minorEastAsia"/>
          <w:szCs w:val="22"/>
          <w:lang w:eastAsia="en-AU"/>
        </w:rPr>
      </w:pPr>
      <w:hyperlink w:anchor="_Toc48752366" w:history="1">
        <w:r w:rsidR="00336432" w:rsidRPr="00336432">
          <w:rPr>
            <w:rStyle w:val="Hyperlink"/>
            <w:rFonts w:ascii="Arial" w:hAnsi="Arial"/>
          </w:rPr>
          <w:t>6.3</w:t>
        </w:r>
        <w:r w:rsidR="00336432" w:rsidRPr="00336432">
          <w:rPr>
            <w:rFonts w:eastAsiaTheme="minorEastAsia"/>
            <w:szCs w:val="22"/>
            <w:lang w:eastAsia="en-AU"/>
          </w:rPr>
          <w:tab/>
        </w:r>
        <w:r w:rsidR="00336432" w:rsidRPr="00336432">
          <w:rPr>
            <w:rStyle w:val="Hyperlink"/>
            <w:rFonts w:ascii="Arial" w:hAnsi="Arial"/>
          </w:rPr>
          <w:t>Adult DSS clients</w:t>
        </w:r>
        <w:r w:rsidR="00336432" w:rsidRPr="00336432">
          <w:rPr>
            <w:webHidden/>
          </w:rPr>
          <w:tab/>
        </w:r>
        <w:r w:rsidR="00336432" w:rsidRPr="00336432">
          <w:rPr>
            <w:webHidden/>
          </w:rPr>
          <w:fldChar w:fldCharType="begin"/>
        </w:r>
        <w:r w:rsidR="00336432" w:rsidRPr="00336432">
          <w:rPr>
            <w:webHidden/>
          </w:rPr>
          <w:instrText xml:space="preserve"> PAGEREF _Toc48752366 \h </w:instrText>
        </w:r>
        <w:r w:rsidR="00336432" w:rsidRPr="00336432">
          <w:rPr>
            <w:webHidden/>
          </w:rPr>
        </w:r>
        <w:r w:rsidR="00336432" w:rsidRPr="00336432">
          <w:rPr>
            <w:webHidden/>
          </w:rPr>
          <w:fldChar w:fldCharType="separate"/>
        </w:r>
        <w:r w:rsidR="00336432">
          <w:rPr>
            <w:webHidden/>
          </w:rPr>
          <w:t>74</w:t>
        </w:r>
        <w:r w:rsidR="00336432" w:rsidRPr="00336432">
          <w:rPr>
            <w:webHidden/>
          </w:rPr>
          <w:fldChar w:fldCharType="end"/>
        </w:r>
      </w:hyperlink>
    </w:p>
    <w:p w14:paraId="08FB0E01" w14:textId="29325E08" w:rsidR="00336432" w:rsidRPr="00336432" w:rsidRDefault="008E1625">
      <w:pPr>
        <w:pStyle w:val="TOC1"/>
        <w:rPr>
          <w:rFonts w:eastAsiaTheme="minorEastAsia"/>
          <w:sz w:val="22"/>
          <w:szCs w:val="22"/>
          <w:lang w:eastAsia="en-AU"/>
        </w:rPr>
      </w:pPr>
      <w:hyperlink w:anchor="_Toc48752367" w:history="1">
        <w:r w:rsidR="00336432" w:rsidRPr="00336432">
          <w:rPr>
            <w:rStyle w:val="Hyperlink"/>
            <w:rFonts w:ascii="Arial" w:hAnsi="Arial"/>
          </w:rPr>
          <w:t>7.</w:t>
        </w:r>
        <w:r w:rsidR="00336432" w:rsidRPr="00336432">
          <w:rPr>
            <w:rFonts w:eastAsiaTheme="minorEastAsia"/>
            <w:sz w:val="22"/>
            <w:szCs w:val="22"/>
            <w:lang w:eastAsia="en-AU"/>
          </w:rPr>
          <w:tab/>
        </w:r>
        <w:r w:rsidR="00336432" w:rsidRPr="00336432">
          <w:rPr>
            <w:rStyle w:val="Hyperlink"/>
            <w:rFonts w:ascii="Arial" w:hAnsi="Arial"/>
          </w:rPr>
          <w:t>Future areas for investigation</w:t>
        </w:r>
        <w:r w:rsidR="00336432" w:rsidRPr="00336432">
          <w:rPr>
            <w:webHidden/>
          </w:rPr>
          <w:tab/>
        </w:r>
        <w:r w:rsidR="00336432" w:rsidRPr="00336432">
          <w:rPr>
            <w:webHidden/>
          </w:rPr>
          <w:fldChar w:fldCharType="begin"/>
        </w:r>
        <w:r w:rsidR="00336432" w:rsidRPr="00336432">
          <w:rPr>
            <w:webHidden/>
          </w:rPr>
          <w:instrText xml:space="preserve"> PAGEREF _Toc48752367 \h </w:instrText>
        </w:r>
        <w:r w:rsidR="00336432" w:rsidRPr="00336432">
          <w:rPr>
            <w:webHidden/>
          </w:rPr>
        </w:r>
        <w:r w:rsidR="00336432" w:rsidRPr="00336432">
          <w:rPr>
            <w:webHidden/>
          </w:rPr>
          <w:fldChar w:fldCharType="separate"/>
        </w:r>
        <w:r w:rsidR="00336432">
          <w:rPr>
            <w:webHidden/>
          </w:rPr>
          <w:t>83</w:t>
        </w:r>
        <w:r w:rsidR="00336432" w:rsidRPr="00336432">
          <w:rPr>
            <w:webHidden/>
          </w:rPr>
          <w:fldChar w:fldCharType="end"/>
        </w:r>
      </w:hyperlink>
    </w:p>
    <w:p w14:paraId="2254E2CE" w14:textId="2B9C61FD" w:rsidR="00336432" w:rsidRPr="00336432" w:rsidRDefault="008E1625">
      <w:pPr>
        <w:pStyle w:val="TOC2"/>
        <w:rPr>
          <w:rFonts w:eastAsiaTheme="minorEastAsia"/>
          <w:szCs w:val="22"/>
          <w:lang w:eastAsia="en-AU"/>
        </w:rPr>
      </w:pPr>
      <w:hyperlink w:anchor="_Toc48752368" w:history="1">
        <w:r w:rsidR="00336432" w:rsidRPr="00336432">
          <w:rPr>
            <w:rStyle w:val="Hyperlink"/>
            <w:rFonts w:ascii="Arial" w:hAnsi="Arial"/>
          </w:rPr>
          <w:t>7.1</w:t>
        </w:r>
        <w:r w:rsidR="00336432" w:rsidRPr="00336432">
          <w:rPr>
            <w:rFonts w:eastAsiaTheme="minorEastAsia"/>
            <w:szCs w:val="22"/>
            <w:lang w:eastAsia="en-AU"/>
          </w:rPr>
          <w:tab/>
        </w:r>
        <w:r w:rsidR="00336432" w:rsidRPr="00336432">
          <w:rPr>
            <w:rStyle w:val="Hyperlink"/>
            <w:rFonts w:ascii="Arial" w:hAnsi="Arial"/>
          </w:rPr>
          <w:t>Evaluation indicator assessment criteria</w:t>
        </w:r>
        <w:r w:rsidR="00336432" w:rsidRPr="00336432">
          <w:rPr>
            <w:webHidden/>
          </w:rPr>
          <w:tab/>
        </w:r>
        <w:r w:rsidR="00336432" w:rsidRPr="00336432">
          <w:rPr>
            <w:webHidden/>
          </w:rPr>
          <w:fldChar w:fldCharType="begin"/>
        </w:r>
        <w:r w:rsidR="00336432" w:rsidRPr="00336432">
          <w:rPr>
            <w:webHidden/>
          </w:rPr>
          <w:instrText xml:space="preserve"> PAGEREF _Toc48752368 \h </w:instrText>
        </w:r>
        <w:r w:rsidR="00336432" w:rsidRPr="00336432">
          <w:rPr>
            <w:webHidden/>
          </w:rPr>
        </w:r>
        <w:r w:rsidR="00336432" w:rsidRPr="00336432">
          <w:rPr>
            <w:webHidden/>
          </w:rPr>
          <w:fldChar w:fldCharType="separate"/>
        </w:r>
        <w:r w:rsidR="00336432">
          <w:rPr>
            <w:webHidden/>
          </w:rPr>
          <w:t>83</w:t>
        </w:r>
        <w:r w:rsidR="00336432" w:rsidRPr="00336432">
          <w:rPr>
            <w:webHidden/>
          </w:rPr>
          <w:fldChar w:fldCharType="end"/>
        </w:r>
      </w:hyperlink>
    </w:p>
    <w:p w14:paraId="2D8DB348" w14:textId="120C244D" w:rsidR="00336432" w:rsidRPr="00336432" w:rsidRDefault="008E1625">
      <w:pPr>
        <w:pStyle w:val="TOC1"/>
        <w:tabs>
          <w:tab w:val="left" w:pos="1540"/>
        </w:tabs>
        <w:rPr>
          <w:rFonts w:eastAsiaTheme="minorEastAsia"/>
          <w:sz w:val="22"/>
          <w:szCs w:val="22"/>
          <w:lang w:eastAsia="en-AU"/>
        </w:rPr>
      </w:pPr>
      <w:hyperlink w:anchor="_Toc48752369" w:history="1">
        <w:r w:rsidR="00336432" w:rsidRPr="00336432">
          <w:rPr>
            <w:rStyle w:val="Hyperlink"/>
            <w:rFonts w:ascii="Arial" w:hAnsi="Arial"/>
          </w:rPr>
          <w:t>Appendix A</w:t>
        </w:r>
        <w:r w:rsidR="00336432" w:rsidRPr="00336432">
          <w:rPr>
            <w:rFonts w:eastAsiaTheme="minorEastAsia"/>
            <w:sz w:val="22"/>
            <w:szCs w:val="22"/>
            <w:lang w:eastAsia="en-AU"/>
          </w:rPr>
          <w:tab/>
        </w:r>
        <w:r w:rsidR="00336432" w:rsidRPr="00336432">
          <w:rPr>
            <w:rStyle w:val="Hyperlink"/>
            <w:rFonts w:ascii="Arial" w:hAnsi="Arial"/>
          </w:rPr>
          <w:t>Reliances, limitations and disclaimer</w:t>
        </w:r>
        <w:r w:rsidR="00336432" w:rsidRPr="00336432">
          <w:rPr>
            <w:webHidden/>
          </w:rPr>
          <w:tab/>
        </w:r>
        <w:r w:rsidR="00336432" w:rsidRPr="00336432">
          <w:rPr>
            <w:webHidden/>
          </w:rPr>
          <w:fldChar w:fldCharType="begin"/>
        </w:r>
        <w:r w:rsidR="00336432" w:rsidRPr="00336432">
          <w:rPr>
            <w:webHidden/>
          </w:rPr>
          <w:instrText xml:space="preserve"> PAGEREF _Toc48752369 \h </w:instrText>
        </w:r>
        <w:r w:rsidR="00336432" w:rsidRPr="00336432">
          <w:rPr>
            <w:webHidden/>
          </w:rPr>
        </w:r>
        <w:r w:rsidR="00336432" w:rsidRPr="00336432">
          <w:rPr>
            <w:webHidden/>
          </w:rPr>
          <w:fldChar w:fldCharType="separate"/>
        </w:r>
        <w:r w:rsidR="00336432">
          <w:rPr>
            <w:webHidden/>
          </w:rPr>
          <w:t>85</w:t>
        </w:r>
        <w:r w:rsidR="00336432" w:rsidRPr="00336432">
          <w:rPr>
            <w:webHidden/>
          </w:rPr>
          <w:fldChar w:fldCharType="end"/>
        </w:r>
      </w:hyperlink>
    </w:p>
    <w:p w14:paraId="30239EB5" w14:textId="0B9A88FE" w:rsidR="00336432" w:rsidRPr="00336432" w:rsidRDefault="008E1625">
      <w:pPr>
        <w:pStyle w:val="TOC1"/>
        <w:tabs>
          <w:tab w:val="left" w:pos="1540"/>
        </w:tabs>
        <w:rPr>
          <w:rFonts w:eastAsiaTheme="minorEastAsia"/>
          <w:sz w:val="22"/>
          <w:szCs w:val="22"/>
          <w:lang w:eastAsia="en-AU"/>
        </w:rPr>
      </w:pPr>
      <w:hyperlink w:anchor="_Toc48752370" w:history="1">
        <w:r w:rsidR="00336432" w:rsidRPr="00336432">
          <w:rPr>
            <w:rStyle w:val="Hyperlink"/>
            <w:rFonts w:ascii="Arial" w:hAnsi="Arial"/>
            <w:lang w:eastAsia="en-AU"/>
          </w:rPr>
          <w:t>Appendix B</w:t>
        </w:r>
        <w:r w:rsidR="00336432" w:rsidRPr="00336432">
          <w:rPr>
            <w:rFonts w:eastAsiaTheme="minorEastAsia"/>
            <w:sz w:val="22"/>
            <w:szCs w:val="22"/>
            <w:lang w:eastAsia="en-AU"/>
          </w:rPr>
          <w:tab/>
        </w:r>
        <w:r w:rsidR="00336432" w:rsidRPr="00336432">
          <w:rPr>
            <w:rStyle w:val="Hyperlink"/>
            <w:rFonts w:ascii="Arial" w:hAnsi="Arial"/>
            <w:lang w:eastAsia="en-AU"/>
          </w:rPr>
          <w:t>References</w:t>
        </w:r>
        <w:r w:rsidR="00336432" w:rsidRPr="00336432">
          <w:rPr>
            <w:webHidden/>
          </w:rPr>
          <w:tab/>
        </w:r>
        <w:r w:rsidR="00336432" w:rsidRPr="00336432">
          <w:rPr>
            <w:webHidden/>
          </w:rPr>
          <w:fldChar w:fldCharType="begin"/>
        </w:r>
        <w:r w:rsidR="00336432" w:rsidRPr="00336432">
          <w:rPr>
            <w:webHidden/>
          </w:rPr>
          <w:instrText xml:space="preserve"> PAGEREF _Toc48752370 \h </w:instrText>
        </w:r>
        <w:r w:rsidR="00336432" w:rsidRPr="00336432">
          <w:rPr>
            <w:webHidden/>
          </w:rPr>
        </w:r>
        <w:r w:rsidR="00336432" w:rsidRPr="00336432">
          <w:rPr>
            <w:webHidden/>
          </w:rPr>
          <w:fldChar w:fldCharType="separate"/>
        </w:r>
        <w:r w:rsidR="00336432">
          <w:rPr>
            <w:webHidden/>
          </w:rPr>
          <w:t>87</w:t>
        </w:r>
        <w:r w:rsidR="00336432" w:rsidRPr="00336432">
          <w:rPr>
            <w:webHidden/>
          </w:rPr>
          <w:fldChar w:fldCharType="end"/>
        </w:r>
      </w:hyperlink>
    </w:p>
    <w:p w14:paraId="618C5F84" w14:textId="3317D617" w:rsidR="00336432" w:rsidRPr="00336432" w:rsidRDefault="008E1625">
      <w:pPr>
        <w:pStyle w:val="TOC1"/>
        <w:tabs>
          <w:tab w:val="left" w:pos="1540"/>
        </w:tabs>
        <w:rPr>
          <w:rFonts w:eastAsiaTheme="minorEastAsia"/>
          <w:sz w:val="22"/>
          <w:szCs w:val="22"/>
          <w:lang w:eastAsia="en-AU"/>
        </w:rPr>
      </w:pPr>
      <w:hyperlink w:anchor="_Toc48752371" w:history="1">
        <w:r w:rsidR="00336432" w:rsidRPr="00336432">
          <w:rPr>
            <w:rStyle w:val="Hyperlink"/>
            <w:rFonts w:ascii="Arial" w:hAnsi="Arial"/>
          </w:rPr>
          <w:t>Appendix C</w:t>
        </w:r>
        <w:r w:rsidR="00336432" w:rsidRPr="00336432">
          <w:rPr>
            <w:rFonts w:eastAsiaTheme="minorEastAsia"/>
            <w:sz w:val="22"/>
            <w:szCs w:val="22"/>
            <w:lang w:eastAsia="en-AU"/>
          </w:rPr>
          <w:tab/>
        </w:r>
        <w:r w:rsidR="00336432" w:rsidRPr="00336432">
          <w:rPr>
            <w:rStyle w:val="Hyperlink"/>
            <w:rFonts w:ascii="Arial" w:hAnsi="Arial"/>
          </w:rPr>
          <w:t>Glossary</w:t>
        </w:r>
        <w:r w:rsidR="00336432" w:rsidRPr="00336432">
          <w:rPr>
            <w:webHidden/>
          </w:rPr>
          <w:tab/>
        </w:r>
        <w:r w:rsidR="00336432" w:rsidRPr="00336432">
          <w:rPr>
            <w:webHidden/>
          </w:rPr>
          <w:fldChar w:fldCharType="begin"/>
        </w:r>
        <w:r w:rsidR="00336432" w:rsidRPr="00336432">
          <w:rPr>
            <w:webHidden/>
          </w:rPr>
          <w:instrText xml:space="preserve"> PAGEREF _Toc48752371 \h </w:instrText>
        </w:r>
        <w:r w:rsidR="00336432" w:rsidRPr="00336432">
          <w:rPr>
            <w:webHidden/>
          </w:rPr>
        </w:r>
        <w:r w:rsidR="00336432" w:rsidRPr="00336432">
          <w:rPr>
            <w:webHidden/>
          </w:rPr>
          <w:fldChar w:fldCharType="separate"/>
        </w:r>
        <w:r w:rsidR="00336432">
          <w:rPr>
            <w:webHidden/>
          </w:rPr>
          <w:t>90</w:t>
        </w:r>
        <w:r w:rsidR="00336432" w:rsidRPr="00336432">
          <w:rPr>
            <w:webHidden/>
          </w:rPr>
          <w:fldChar w:fldCharType="end"/>
        </w:r>
      </w:hyperlink>
    </w:p>
    <w:p w14:paraId="61393C05" w14:textId="3CC0690B" w:rsidR="00336432" w:rsidRPr="00336432" w:rsidRDefault="008E1625">
      <w:pPr>
        <w:pStyle w:val="TOC1"/>
        <w:tabs>
          <w:tab w:val="left" w:pos="1540"/>
        </w:tabs>
        <w:rPr>
          <w:rFonts w:eastAsiaTheme="minorEastAsia"/>
          <w:sz w:val="22"/>
          <w:szCs w:val="22"/>
          <w:lang w:eastAsia="en-AU"/>
        </w:rPr>
      </w:pPr>
      <w:hyperlink w:anchor="_Toc48752372" w:history="1">
        <w:r w:rsidR="00336432" w:rsidRPr="00336432">
          <w:rPr>
            <w:rStyle w:val="Hyperlink"/>
            <w:rFonts w:ascii="Arial" w:hAnsi="Arial"/>
          </w:rPr>
          <w:t>Appendix D</w:t>
        </w:r>
        <w:r w:rsidR="00336432" w:rsidRPr="00336432">
          <w:rPr>
            <w:rFonts w:eastAsiaTheme="minorEastAsia"/>
            <w:sz w:val="22"/>
            <w:szCs w:val="22"/>
            <w:lang w:eastAsia="en-AU"/>
          </w:rPr>
          <w:tab/>
        </w:r>
        <w:r w:rsidR="00336432" w:rsidRPr="00336432">
          <w:rPr>
            <w:rStyle w:val="Hyperlink"/>
            <w:rFonts w:ascii="Arial" w:hAnsi="Arial"/>
          </w:rPr>
          <w:t>Considerations with the use of administrative data</w:t>
        </w:r>
        <w:r w:rsidR="00336432" w:rsidRPr="00336432">
          <w:rPr>
            <w:webHidden/>
          </w:rPr>
          <w:tab/>
        </w:r>
        <w:r w:rsidR="00336432" w:rsidRPr="00336432">
          <w:rPr>
            <w:webHidden/>
          </w:rPr>
          <w:fldChar w:fldCharType="begin"/>
        </w:r>
        <w:r w:rsidR="00336432" w:rsidRPr="00336432">
          <w:rPr>
            <w:webHidden/>
          </w:rPr>
          <w:instrText xml:space="preserve"> PAGEREF _Toc48752372 \h </w:instrText>
        </w:r>
        <w:r w:rsidR="00336432" w:rsidRPr="00336432">
          <w:rPr>
            <w:webHidden/>
          </w:rPr>
        </w:r>
        <w:r w:rsidR="00336432" w:rsidRPr="00336432">
          <w:rPr>
            <w:webHidden/>
          </w:rPr>
          <w:fldChar w:fldCharType="separate"/>
        </w:r>
        <w:r w:rsidR="00336432">
          <w:rPr>
            <w:webHidden/>
          </w:rPr>
          <w:t>95</w:t>
        </w:r>
        <w:r w:rsidR="00336432" w:rsidRPr="00336432">
          <w:rPr>
            <w:webHidden/>
          </w:rPr>
          <w:fldChar w:fldCharType="end"/>
        </w:r>
      </w:hyperlink>
    </w:p>
    <w:p w14:paraId="6BC06953" w14:textId="2C10CC5E" w:rsidR="00336432" w:rsidRPr="00336432" w:rsidRDefault="008E1625">
      <w:pPr>
        <w:pStyle w:val="TOC1"/>
        <w:tabs>
          <w:tab w:val="left" w:pos="1540"/>
        </w:tabs>
        <w:rPr>
          <w:rFonts w:eastAsiaTheme="minorEastAsia"/>
          <w:sz w:val="22"/>
          <w:szCs w:val="22"/>
          <w:lang w:eastAsia="en-AU"/>
        </w:rPr>
      </w:pPr>
      <w:hyperlink w:anchor="_Toc48752373" w:history="1">
        <w:r w:rsidR="00336432" w:rsidRPr="00336432">
          <w:rPr>
            <w:rStyle w:val="Hyperlink"/>
            <w:rFonts w:ascii="Arial" w:hAnsi="Arial"/>
          </w:rPr>
          <w:t>Appendix E</w:t>
        </w:r>
        <w:r w:rsidR="00336432" w:rsidRPr="00336432">
          <w:rPr>
            <w:rFonts w:eastAsiaTheme="minorEastAsia"/>
            <w:sz w:val="22"/>
            <w:szCs w:val="22"/>
            <w:lang w:eastAsia="en-AU"/>
          </w:rPr>
          <w:tab/>
        </w:r>
        <w:r w:rsidR="00336432" w:rsidRPr="00336432">
          <w:rPr>
            <w:rStyle w:val="Hyperlink"/>
            <w:rFonts w:ascii="Arial" w:hAnsi="Arial"/>
          </w:rPr>
          <w:t>Further information on approach for feasibility assessment</w:t>
        </w:r>
        <w:r w:rsidR="00336432" w:rsidRPr="00336432">
          <w:rPr>
            <w:webHidden/>
          </w:rPr>
          <w:tab/>
        </w:r>
        <w:r w:rsidR="00336432" w:rsidRPr="00336432">
          <w:rPr>
            <w:webHidden/>
          </w:rPr>
          <w:fldChar w:fldCharType="begin"/>
        </w:r>
        <w:r w:rsidR="00336432" w:rsidRPr="00336432">
          <w:rPr>
            <w:webHidden/>
          </w:rPr>
          <w:instrText xml:space="preserve"> PAGEREF _Toc48752373 \h </w:instrText>
        </w:r>
        <w:r w:rsidR="00336432" w:rsidRPr="00336432">
          <w:rPr>
            <w:webHidden/>
          </w:rPr>
        </w:r>
        <w:r w:rsidR="00336432" w:rsidRPr="00336432">
          <w:rPr>
            <w:webHidden/>
          </w:rPr>
          <w:fldChar w:fldCharType="separate"/>
        </w:r>
        <w:r w:rsidR="00336432">
          <w:rPr>
            <w:webHidden/>
          </w:rPr>
          <w:t>97</w:t>
        </w:r>
        <w:r w:rsidR="00336432" w:rsidRPr="00336432">
          <w:rPr>
            <w:webHidden/>
          </w:rPr>
          <w:fldChar w:fldCharType="end"/>
        </w:r>
      </w:hyperlink>
    </w:p>
    <w:p w14:paraId="4F95895E" w14:textId="23C0E2EF" w:rsidR="00336432" w:rsidRPr="00336432" w:rsidRDefault="008E1625">
      <w:pPr>
        <w:pStyle w:val="TOC1"/>
        <w:tabs>
          <w:tab w:val="left" w:pos="1540"/>
        </w:tabs>
        <w:rPr>
          <w:rFonts w:eastAsiaTheme="minorEastAsia"/>
          <w:sz w:val="22"/>
          <w:szCs w:val="22"/>
          <w:lang w:eastAsia="en-AU"/>
        </w:rPr>
      </w:pPr>
      <w:hyperlink w:anchor="_Toc48752374" w:history="1">
        <w:r w:rsidR="00336432" w:rsidRPr="00336432">
          <w:rPr>
            <w:rStyle w:val="Hyperlink"/>
            <w:rFonts w:ascii="Arial" w:hAnsi="Arial"/>
          </w:rPr>
          <w:t>Appendix F</w:t>
        </w:r>
        <w:r w:rsidR="00336432" w:rsidRPr="00336432">
          <w:rPr>
            <w:rFonts w:eastAsiaTheme="minorEastAsia"/>
            <w:sz w:val="22"/>
            <w:szCs w:val="22"/>
            <w:lang w:eastAsia="en-AU"/>
          </w:rPr>
          <w:tab/>
        </w:r>
        <w:r w:rsidR="00336432" w:rsidRPr="00336432">
          <w:rPr>
            <w:rStyle w:val="Hyperlink"/>
            <w:rFonts w:ascii="Arial" w:hAnsi="Arial"/>
          </w:rPr>
          <w:t>Further information on approach for baseline indicator analysis</w:t>
        </w:r>
        <w:r w:rsidR="00336432" w:rsidRPr="00336432">
          <w:rPr>
            <w:webHidden/>
          </w:rPr>
          <w:tab/>
        </w:r>
        <w:r w:rsidR="00336432" w:rsidRPr="00336432">
          <w:rPr>
            <w:webHidden/>
          </w:rPr>
          <w:fldChar w:fldCharType="begin"/>
        </w:r>
        <w:r w:rsidR="00336432" w:rsidRPr="00336432">
          <w:rPr>
            <w:webHidden/>
          </w:rPr>
          <w:instrText xml:space="preserve"> PAGEREF _Toc48752374 \h </w:instrText>
        </w:r>
        <w:r w:rsidR="00336432" w:rsidRPr="00336432">
          <w:rPr>
            <w:webHidden/>
          </w:rPr>
        </w:r>
        <w:r w:rsidR="00336432" w:rsidRPr="00336432">
          <w:rPr>
            <w:webHidden/>
          </w:rPr>
          <w:fldChar w:fldCharType="separate"/>
        </w:r>
        <w:r w:rsidR="00336432">
          <w:rPr>
            <w:webHidden/>
          </w:rPr>
          <w:t>101</w:t>
        </w:r>
        <w:r w:rsidR="00336432" w:rsidRPr="00336432">
          <w:rPr>
            <w:webHidden/>
          </w:rPr>
          <w:fldChar w:fldCharType="end"/>
        </w:r>
      </w:hyperlink>
    </w:p>
    <w:p w14:paraId="36C3AA80" w14:textId="49816047" w:rsidR="00336432" w:rsidRPr="00336432" w:rsidRDefault="008E1625">
      <w:pPr>
        <w:pStyle w:val="TOC1"/>
        <w:tabs>
          <w:tab w:val="left" w:pos="1540"/>
        </w:tabs>
        <w:rPr>
          <w:rFonts w:eastAsiaTheme="minorEastAsia"/>
          <w:sz w:val="22"/>
          <w:szCs w:val="22"/>
          <w:lang w:eastAsia="en-AU"/>
        </w:rPr>
      </w:pPr>
      <w:hyperlink w:anchor="_Toc48752375" w:history="1">
        <w:r w:rsidR="00336432" w:rsidRPr="00336432">
          <w:rPr>
            <w:rStyle w:val="Hyperlink"/>
            <w:rFonts w:ascii="Arial" w:hAnsi="Arial"/>
          </w:rPr>
          <w:t>Appendix G</w:t>
        </w:r>
        <w:r w:rsidR="00336432" w:rsidRPr="00336432">
          <w:rPr>
            <w:rFonts w:eastAsiaTheme="minorEastAsia"/>
            <w:sz w:val="22"/>
            <w:szCs w:val="22"/>
            <w:lang w:eastAsia="en-AU"/>
          </w:rPr>
          <w:tab/>
        </w:r>
        <w:r w:rsidR="00336432" w:rsidRPr="00336432">
          <w:rPr>
            <w:rStyle w:val="Hyperlink"/>
            <w:rFonts w:ascii="Arial" w:hAnsi="Arial"/>
          </w:rPr>
          <w:t>Further information on approach for population survey analysis</w:t>
        </w:r>
        <w:r w:rsidR="00336432" w:rsidRPr="00336432">
          <w:rPr>
            <w:webHidden/>
          </w:rPr>
          <w:tab/>
        </w:r>
        <w:r w:rsidR="00336432" w:rsidRPr="00336432">
          <w:rPr>
            <w:webHidden/>
          </w:rPr>
          <w:fldChar w:fldCharType="begin"/>
        </w:r>
        <w:r w:rsidR="00336432" w:rsidRPr="00336432">
          <w:rPr>
            <w:webHidden/>
          </w:rPr>
          <w:instrText xml:space="preserve"> PAGEREF _Toc48752375 \h </w:instrText>
        </w:r>
        <w:r w:rsidR="00336432" w:rsidRPr="00336432">
          <w:rPr>
            <w:webHidden/>
          </w:rPr>
        </w:r>
        <w:r w:rsidR="00336432" w:rsidRPr="00336432">
          <w:rPr>
            <w:webHidden/>
          </w:rPr>
          <w:fldChar w:fldCharType="separate"/>
        </w:r>
        <w:r w:rsidR="00336432">
          <w:rPr>
            <w:webHidden/>
          </w:rPr>
          <w:t>104</w:t>
        </w:r>
        <w:r w:rsidR="00336432" w:rsidRPr="00336432">
          <w:rPr>
            <w:webHidden/>
          </w:rPr>
          <w:fldChar w:fldCharType="end"/>
        </w:r>
      </w:hyperlink>
    </w:p>
    <w:p w14:paraId="0B70B1B1" w14:textId="4B424F6B" w:rsidR="00336432" w:rsidRPr="00336432" w:rsidRDefault="008E1625">
      <w:pPr>
        <w:pStyle w:val="TOC1"/>
        <w:tabs>
          <w:tab w:val="left" w:pos="1540"/>
        </w:tabs>
        <w:rPr>
          <w:rFonts w:eastAsiaTheme="minorEastAsia"/>
          <w:sz w:val="22"/>
          <w:szCs w:val="22"/>
          <w:lang w:eastAsia="en-AU"/>
        </w:rPr>
      </w:pPr>
      <w:hyperlink w:anchor="_Toc48752376" w:history="1">
        <w:r w:rsidR="00336432" w:rsidRPr="00336432">
          <w:rPr>
            <w:rStyle w:val="Hyperlink"/>
            <w:rFonts w:ascii="Arial" w:hAnsi="Arial"/>
          </w:rPr>
          <w:t>Appendix H</w:t>
        </w:r>
        <w:r w:rsidR="00336432" w:rsidRPr="00336432">
          <w:rPr>
            <w:rFonts w:eastAsiaTheme="minorEastAsia"/>
            <w:sz w:val="22"/>
            <w:szCs w:val="22"/>
            <w:lang w:eastAsia="en-AU"/>
          </w:rPr>
          <w:tab/>
        </w:r>
        <w:r w:rsidR="00336432" w:rsidRPr="00336432">
          <w:rPr>
            <w:rStyle w:val="Hyperlink"/>
            <w:rFonts w:ascii="Arial" w:hAnsi="Arial"/>
          </w:rPr>
          <w:t>National DSS clients – baseline outcomes and service contact</w:t>
        </w:r>
        <w:r w:rsidR="00336432" w:rsidRPr="00336432">
          <w:rPr>
            <w:webHidden/>
          </w:rPr>
          <w:tab/>
        </w:r>
        <w:r w:rsidR="00336432" w:rsidRPr="00336432">
          <w:rPr>
            <w:webHidden/>
          </w:rPr>
          <w:fldChar w:fldCharType="begin"/>
        </w:r>
        <w:r w:rsidR="00336432" w:rsidRPr="00336432">
          <w:rPr>
            <w:webHidden/>
          </w:rPr>
          <w:instrText xml:space="preserve"> PAGEREF _Toc48752376 \h </w:instrText>
        </w:r>
        <w:r w:rsidR="00336432" w:rsidRPr="00336432">
          <w:rPr>
            <w:webHidden/>
          </w:rPr>
        </w:r>
        <w:r w:rsidR="00336432" w:rsidRPr="00336432">
          <w:rPr>
            <w:webHidden/>
          </w:rPr>
          <w:fldChar w:fldCharType="separate"/>
        </w:r>
        <w:r w:rsidR="00336432">
          <w:rPr>
            <w:webHidden/>
          </w:rPr>
          <w:t>106</w:t>
        </w:r>
        <w:r w:rsidR="00336432" w:rsidRPr="00336432">
          <w:rPr>
            <w:webHidden/>
          </w:rPr>
          <w:fldChar w:fldCharType="end"/>
        </w:r>
      </w:hyperlink>
    </w:p>
    <w:p w14:paraId="7D5D87D2" w14:textId="3A4A7C27" w:rsidR="00336432" w:rsidRPr="00336432" w:rsidRDefault="008E1625">
      <w:pPr>
        <w:pStyle w:val="TOC1"/>
        <w:tabs>
          <w:tab w:val="left" w:pos="1540"/>
        </w:tabs>
        <w:rPr>
          <w:rFonts w:eastAsiaTheme="minorEastAsia"/>
          <w:sz w:val="22"/>
          <w:szCs w:val="22"/>
          <w:lang w:eastAsia="en-AU"/>
        </w:rPr>
      </w:pPr>
      <w:hyperlink w:anchor="_Toc48752377" w:history="1">
        <w:r w:rsidR="00336432" w:rsidRPr="00336432">
          <w:rPr>
            <w:rStyle w:val="Hyperlink"/>
            <w:rFonts w:ascii="Arial" w:hAnsi="Arial"/>
          </w:rPr>
          <w:t>Appendix I</w:t>
        </w:r>
        <w:r w:rsidR="00336432" w:rsidRPr="00336432">
          <w:rPr>
            <w:rFonts w:eastAsiaTheme="minorEastAsia"/>
            <w:sz w:val="22"/>
            <w:szCs w:val="22"/>
            <w:lang w:eastAsia="en-AU"/>
          </w:rPr>
          <w:tab/>
        </w:r>
        <w:r w:rsidR="00336432" w:rsidRPr="00336432">
          <w:rPr>
            <w:rStyle w:val="Hyperlink"/>
            <w:rFonts w:ascii="Arial" w:hAnsi="Arial"/>
          </w:rPr>
          <w:t>Detailed findings from feasibility assessment</w:t>
        </w:r>
        <w:r w:rsidR="00336432" w:rsidRPr="00336432">
          <w:rPr>
            <w:webHidden/>
          </w:rPr>
          <w:tab/>
        </w:r>
        <w:r w:rsidR="00336432" w:rsidRPr="00336432">
          <w:rPr>
            <w:webHidden/>
          </w:rPr>
          <w:fldChar w:fldCharType="begin"/>
        </w:r>
        <w:r w:rsidR="00336432" w:rsidRPr="00336432">
          <w:rPr>
            <w:webHidden/>
          </w:rPr>
          <w:instrText xml:space="preserve"> PAGEREF _Toc48752377 \h </w:instrText>
        </w:r>
        <w:r w:rsidR="00336432" w:rsidRPr="00336432">
          <w:rPr>
            <w:webHidden/>
          </w:rPr>
        </w:r>
        <w:r w:rsidR="00336432" w:rsidRPr="00336432">
          <w:rPr>
            <w:webHidden/>
          </w:rPr>
          <w:fldChar w:fldCharType="separate"/>
        </w:r>
        <w:r w:rsidR="00336432">
          <w:rPr>
            <w:webHidden/>
          </w:rPr>
          <w:t>140</w:t>
        </w:r>
        <w:r w:rsidR="00336432" w:rsidRPr="00336432">
          <w:rPr>
            <w:webHidden/>
          </w:rPr>
          <w:fldChar w:fldCharType="end"/>
        </w:r>
      </w:hyperlink>
    </w:p>
    <w:p w14:paraId="08309028" w14:textId="7C0932E1" w:rsidR="00336432" w:rsidRPr="00336432" w:rsidRDefault="008E1625">
      <w:pPr>
        <w:pStyle w:val="TOC1"/>
        <w:tabs>
          <w:tab w:val="left" w:pos="1540"/>
        </w:tabs>
        <w:rPr>
          <w:rFonts w:eastAsiaTheme="minorEastAsia"/>
          <w:sz w:val="22"/>
          <w:szCs w:val="22"/>
          <w:lang w:eastAsia="en-AU"/>
        </w:rPr>
      </w:pPr>
      <w:hyperlink w:anchor="_Toc48752378" w:history="1">
        <w:r w:rsidR="00336432" w:rsidRPr="00336432">
          <w:rPr>
            <w:rStyle w:val="Hyperlink"/>
            <w:rFonts w:ascii="Arial" w:hAnsi="Arial"/>
          </w:rPr>
          <w:t>Appendix J</w:t>
        </w:r>
        <w:r w:rsidR="00336432" w:rsidRPr="00336432">
          <w:rPr>
            <w:rFonts w:eastAsiaTheme="minorEastAsia"/>
            <w:sz w:val="22"/>
            <w:szCs w:val="22"/>
            <w:lang w:eastAsia="en-AU"/>
          </w:rPr>
          <w:tab/>
        </w:r>
        <w:r w:rsidR="00336432" w:rsidRPr="00336432">
          <w:rPr>
            <w:rStyle w:val="Hyperlink"/>
            <w:rFonts w:ascii="Arial" w:hAnsi="Arial"/>
          </w:rPr>
          <w:t>Detailed observations from administrative datasets</w:t>
        </w:r>
        <w:r w:rsidR="00336432" w:rsidRPr="00336432">
          <w:rPr>
            <w:webHidden/>
          </w:rPr>
          <w:tab/>
        </w:r>
        <w:r w:rsidR="00336432" w:rsidRPr="00336432">
          <w:rPr>
            <w:webHidden/>
          </w:rPr>
          <w:fldChar w:fldCharType="begin"/>
        </w:r>
        <w:r w:rsidR="00336432" w:rsidRPr="00336432">
          <w:rPr>
            <w:webHidden/>
          </w:rPr>
          <w:instrText xml:space="preserve"> PAGEREF _Toc48752378 \h </w:instrText>
        </w:r>
        <w:r w:rsidR="00336432" w:rsidRPr="00336432">
          <w:rPr>
            <w:webHidden/>
          </w:rPr>
        </w:r>
        <w:r w:rsidR="00336432" w:rsidRPr="00336432">
          <w:rPr>
            <w:webHidden/>
          </w:rPr>
          <w:fldChar w:fldCharType="separate"/>
        </w:r>
        <w:r w:rsidR="00336432">
          <w:rPr>
            <w:webHidden/>
          </w:rPr>
          <w:t>140</w:t>
        </w:r>
        <w:r w:rsidR="00336432" w:rsidRPr="00336432">
          <w:rPr>
            <w:webHidden/>
          </w:rPr>
          <w:fldChar w:fldCharType="end"/>
        </w:r>
      </w:hyperlink>
    </w:p>
    <w:p w14:paraId="40F3DBF9" w14:textId="0714C20A" w:rsidR="00967875" w:rsidRPr="00150CD2" w:rsidRDefault="003D5D16" w:rsidP="00846D93">
      <w:pPr>
        <w:pStyle w:val="TOC1"/>
        <w:tabs>
          <w:tab w:val="left" w:pos="1540"/>
        </w:tabs>
      </w:pPr>
      <w:r w:rsidRPr="00336432">
        <w:fldChar w:fldCharType="end"/>
      </w:r>
    </w:p>
    <w:p w14:paraId="7BD1A3FF" w14:textId="0B7D038D" w:rsidR="00974AD3" w:rsidRPr="00150CD2" w:rsidRDefault="00974AD3" w:rsidP="0024127F">
      <w:pPr>
        <w:rPr>
          <w:rFonts w:cs="Arial"/>
        </w:rPr>
        <w:sectPr w:rsidR="00974AD3" w:rsidRPr="00150CD2" w:rsidSect="004579B3">
          <w:headerReference w:type="even" r:id="rId13"/>
          <w:headerReference w:type="default" r:id="rId14"/>
          <w:footerReference w:type="default" r:id="rId15"/>
          <w:pgSz w:w="11909" w:h="16834" w:code="9"/>
          <w:pgMar w:top="1440" w:right="1440" w:bottom="1440" w:left="1440" w:header="720" w:footer="720" w:gutter="0"/>
          <w:pgNumType w:fmt="lowerRoman" w:start="1"/>
          <w:cols w:space="720"/>
          <w:docGrid w:linePitch="360"/>
        </w:sectPr>
      </w:pPr>
    </w:p>
    <w:p w14:paraId="4374E9C0" w14:textId="77385299" w:rsidR="00AA5F82" w:rsidRPr="00150CD2" w:rsidRDefault="00AA5F82" w:rsidP="00184038">
      <w:pPr>
        <w:pStyle w:val="EYHeading1"/>
      </w:pPr>
      <w:bookmarkStart w:id="1" w:name="_Toc46365126"/>
      <w:bookmarkStart w:id="2" w:name="_Toc48752344"/>
      <w:r w:rsidRPr="00150CD2">
        <w:lastRenderedPageBreak/>
        <w:t>Executive summary</w:t>
      </w:r>
      <w:bookmarkEnd w:id="1"/>
      <w:bookmarkEnd w:id="2"/>
    </w:p>
    <w:p w14:paraId="19A48F08" w14:textId="5DFF527C" w:rsidR="00AA5F82" w:rsidRPr="00150CD2" w:rsidRDefault="00AA5F82" w:rsidP="00AA5F82">
      <w:pPr>
        <w:pStyle w:val="EYBodytextwithparaspace"/>
        <w:rPr>
          <w:rFonts w:cs="Arial"/>
        </w:rPr>
      </w:pPr>
      <w:r w:rsidRPr="00150CD2">
        <w:rPr>
          <w:rFonts w:cs="Arial"/>
        </w:rPr>
        <w:t xml:space="preserve">This report presents a quantitative analysis of outcomes for </w:t>
      </w:r>
      <w:r w:rsidR="00825CDA" w:rsidRPr="00150CD2">
        <w:rPr>
          <w:rFonts w:cs="Arial"/>
        </w:rPr>
        <w:t>people allocated disability support services</w:t>
      </w:r>
      <w:r w:rsidR="00BA67CB" w:rsidRPr="00150CD2">
        <w:rPr>
          <w:rStyle w:val="FootnoteReference"/>
          <w:rFonts w:ascii="Arial" w:hAnsi="Arial" w:cs="Arial"/>
        </w:rPr>
        <w:footnoteReference w:id="2"/>
      </w:r>
      <w:r w:rsidR="00825CDA" w:rsidRPr="00150CD2">
        <w:rPr>
          <w:rFonts w:cs="Arial"/>
        </w:rPr>
        <w:t xml:space="preserve"> (DSS) </w:t>
      </w:r>
      <w:r w:rsidRPr="00150CD2">
        <w:rPr>
          <w:rFonts w:cs="Arial"/>
        </w:rPr>
        <w:t xml:space="preserve">in the MidCentral DHB </w:t>
      </w:r>
      <w:r w:rsidR="00FB2DA7" w:rsidRPr="00150CD2">
        <w:rPr>
          <w:rFonts w:cs="Arial"/>
        </w:rPr>
        <w:t xml:space="preserve">(MidCentral) </w:t>
      </w:r>
      <w:r w:rsidR="00330765" w:rsidRPr="00150CD2">
        <w:rPr>
          <w:rFonts w:cs="Arial"/>
        </w:rPr>
        <w:t>region</w:t>
      </w:r>
      <w:r w:rsidR="005B3269" w:rsidRPr="00150CD2">
        <w:rPr>
          <w:rFonts w:cs="Arial"/>
        </w:rPr>
        <w:t xml:space="preserve"> </w:t>
      </w:r>
      <w:r w:rsidRPr="00150CD2">
        <w:rPr>
          <w:rFonts w:cs="Arial"/>
          <w:b/>
        </w:rPr>
        <w:t>prior to</w:t>
      </w:r>
      <w:r w:rsidRPr="00150CD2">
        <w:rPr>
          <w:rFonts w:cs="Arial"/>
        </w:rPr>
        <w:t xml:space="preserve"> the implementation of Mana Whaikaha. Mana Whaikaha is a prototype of a transformed disability support system that was introduced in the MidCentral area</w:t>
      </w:r>
      <w:r w:rsidR="002371E3" w:rsidRPr="00150CD2">
        <w:rPr>
          <w:rFonts w:cs="Arial"/>
        </w:rPr>
        <w:t xml:space="preserve"> only</w:t>
      </w:r>
      <w:r w:rsidR="00DD440D" w:rsidRPr="00150CD2">
        <w:rPr>
          <w:rFonts w:cs="Arial"/>
        </w:rPr>
        <w:t>,</w:t>
      </w:r>
      <w:r w:rsidRPr="00150CD2">
        <w:rPr>
          <w:rFonts w:cs="Arial"/>
        </w:rPr>
        <w:t xml:space="preserve"> on 1 October 2018. Mana Whaikaha is based on the Enabling Good Lives </w:t>
      </w:r>
      <w:r w:rsidR="00FB2DA7" w:rsidRPr="00150CD2">
        <w:rPr>
          <w:rFonts w:cs="Arial"/>
        </w:rPr>
        <w:t xml:space="preserve">(EGL) </w:t>
      </w:r>
      <w:r w:rsidRPr="00150CD2">
        <w:rPr>
          <w:rFonts w:cs="Arial"/>
        </w:rPr>
        <w:t>vision and principles and aims to give disabled people and their family and whānau more choice and control over their lives and the supports they receive, and to improve their wellbeing outcomes.</w:t>
      </w:r>
    </w:p>
    <w:p w14:paraId="590FD675" w14:textId="351EBDB5" w:rsidR="00AA5F82" w:rsidRPr="00150CD2" w:rsidRDefault="00AA5F82" w:rsidP="00AA5F82">
      <w:pPr>
        <w:pStyle w:val="EYBodytextwithparaspace"/>
        <w:rPr>
          <w:rFonts w:cs="Arial"/>
        </w:rPr>
      </w:pPr>
      <w:r w:rsidRPr="00150CD2">
        <w:rPr>
          <w:rFonts w:cs="Arial"/>
        </w:rPr>
        <w:t xml:space="preserve">The analysis in this report uses administrative and survey data from </w:t>
      </w:r>
      <w:r w:rsidR="00FB2DA7" w:rsidRPr="00150CD2">
        <w:rPr>
          <w:rFonts w:cs="Arial"/>
        </w:rPr>
        <w:t>Statistics NZ’s</w:t>
      </w:r>
      <w:r w:rsidRPr="00150CD2">
        <w:rPr>
          <w:rFonts w:cs="Arial"/>
        </w:rPr>
        <w:t xml:space="preserve"> Integrated Data Infrastructure (IDI) and seeks to address four key questions:</w:t>
      </w:r>
    </w:p>
    <w:p w14:paraId="4FA33B51" w14:textId="666DE8EA" w:rsidR="00AA5F82" w:rsidRPr="00150CD2" w:rsidRDefault="00AA5F82" w:rsidP="00DE7D64">
      <w:pPr>
        <w:pStyle w:val="EYBodytextwithoutparaspace"/>
        <w:numPr>
          <w:ilvl w:val="0"/>
          <w:numId w:val="26"/>
        </w:numPr>
        <w:rPr>
          <w:rFonts w:cs="Arial"/>
        </w:rPr>
      </w:pPr>
      <w:r w:rsidRPr="00150CD2">
        <w:rPr>
          <w:rFonts w:cs="Arial"/>
        </w:rPr>
        <w:t>What outcomes were disabled people in the MidCentral area achieving before the disability support system was transformed on 1 October 2018?</w:t>
      </w:r>
    </w:p>
    <w:p w14:paraId="44277315" w14:textId="6A66C6B3" w:rsidR="00AA5F82" w:rsidRPr="00150CD2" w:rsidRDefault="00AA5F82" w:rsidP="00DE7D64">
      <w:pPr>
        <w:pStyle w:val="EYBodytextwithoutparaspace"/>
        <w:numPr>
          <w:ilvl w:val="0"/>
          <w:numId w:val="26"/>
        </w:numPr>
        <w:rPr>
          <w:rFonts w:cs="Arial"/>
        </w:rPr>
      </w:pPr>
      <w:r w:rsidRPr="00150CD2">
        <w:rPr>
          <w:rFonts w:cs="Arial"/>
        </w:rPr>
        <w:t xml:space="preserve">How are these outcomes distributed by: age group, gender, disability type, </w:t>
      </w:r>
      <w:r w:rsidR="00D81AB4" w:rsidRPr="00150CD2">
        <w:rPr>
          <w:rFonts w:cs="Arial"/>
        </w:rPr>
        <w:t xml:space="preserve">support needs level </w:t>
      </w:r>
      <w:r w:rsidRPr="00150CD2">
        <w:rPr>
          <w:rFonts w:cs="Arial"/>
        </w:rPr>
        <w:t>and ethnicity?</w:t>
      </w:r>
    </w:p>
    <w:p w14:paraId="3876D29B" w14:textId="56DDFB3F" w:rsidR="00AA5F82" w:rsidRPr="00150CD2" w:rsidRDefault="00AA5F82" w:rsidP="00DE7D64">
      <w:pPr>
        <w:pStyle w:val="EYBodytextwithoutparaspace"/>
        <w:numPr>
          <w:ilvl w:val="0"/>
          <w:numId w:val="26"/>
        </w:numPr>
        <w:rPr>
          <w:rFonts w:cs="Arial"/>
        </w:rPr>
      </w:pPr>
      <w:r w:rsidRPr="00150CD2">
        <w:rPr>
          <w:rFonts w:cs="Arial"/>
        </w:rPr>
        <w:t>How do these outcomes compare to disabled people in other areas of New Zealand?</w:t>
      </w:r>
    </w:p>
    <w:p w14:paraId="417A6651" w14:textId="1CFC82DF" w:rsidR="00AA5F82" w:rsidRPr="00150CD2" w:rsidRDefault="00AA5F82" w:rsidP="00DE7D64">
      <w:pPr>
        <w:pStyle w:val="EYBodytextwithoutparaspace"/>
        <w:numPr>
          <w:ilvl w:val="0"/>
          <w:numId w:val="26"/>
        </w:numPr>
        <w:rPr>
          <w:rFonts w:cs="Arial"/>
        </w:rPr>
      </w:pPr>
      <w:r w:rsidRPr="00150CD2">
        <w:rPr>
          <w:rFonts w:cs="Arial"/>
        </w:rPr>
        <w:t>How do these outcomes compare to non-disabled people in the MidCentral area?</w:t>
      </w:r>
    </w:p>
    <w:p w14:paraId="42390979" w14:textId="30F7E95D" w:rsidR="0077739C" w:rsidRPr="00150CD2" w:rsidRDefault="006E1E9D" w:rsidP="00AA5F82">
      <w:pPr>
        <w:pStyle w:val="EYBodytextwithparaspace"/>
        <w:rPr>
          <w:rFonts w:cs="Arial"/>
        </w:rPr>
      </w:pPr>
      <w:r w:rsidRPr="00150CD2">
        <w:rPr>
          <w:rFonts w:cs="Arial"/>
        </w:rPr>
        <w:br/>
      </w:r>
      <w:r w:rsidR="001D31ED" w:rsidRPr="00150CD2">
        <w:rPr>
          <w:rFonts w:cs="Arial"/>
        </w:rPr>
        <w:t>Along with participant and whānau surveys and interviews, t</w:t>
      </w:r>
      <w:r w:rsidR="00424612" w:rsidRPr="00150CD2">
        <w:rPr>
          <w:rFonts w:cs="Arial"/>
        </w:rPr>
        <w:t>his analysis will help to in</w:t>
      </w:r>
      <w:r w:rsidR="001D31ED" w:rsidRPr="00150CD2">
        <w:rPr>
          <w:rFonts w:cs="Arial"/>
        </w:rPr>
        <w:t xml:space="preserve">form the </w:t>
      </w:r>
      <w:r w:rsidR="0077739C" w:rsidRPr="00150CD2">
        <w:rPr>
          <w:rFonts w:cs="Arial"/>
        </w:rPr>
        <w:t xml:space="preserve">baseline of the </w:t>
      </w:r>
      <w:r w:rsidR="001D31ED" w:rsidRPr="00150CD2">
        <w:rPr>
          <w:rFonts w:cs="Arial"/>
        </w:rPr>
        <w:t xml:space="preserve">Ministry’s </w:t>
      </w:r>
      <w:r w:rsidR="00424612" w:rsidRPr="00150CD2">
        <w:rPr>
          <w:rFonts w:cs="Arial"/>
        </w:rPr>
        <w:t xml:space="preserve">longitudinal evaluation of outcomes for Mana Whaikaha. </w:t>
      </w:r>
      <w:r w:rsidR="001D31ED" w:rsidRPr="00150CD2">
        <w:rPr>
          <w:rFonts w:cs="Arial"/>
        </w:rPr>
        <w:t>The evaluation will</w:t>
      </w:r>
      <w:r w:rsidR="00630FCB" w:rsidRPr="00150CD2">
        <w:rPr>
          <w:rFonts w:cs="Arial"/>
        </w:rPr>
        <w:t xml:space="preserve"> focus on specific outcome areas where </w:t>
      </w:r>
      <w:r w:rsidR="0077739C" w:rsidRPr="00150CD2">
        <w:rPr>
          <w:rFonts w:cs="Arial"/>
        </w:rPr>
        <w:t>Mana Whaikaha</w:t>
      </w:r>
      <w:r w:rsidR="00630FCB" w:rsidRPr="00150CD2">
        <w:rPr>
          <w:rFonts w:cs="Arial"/>
        </w:rPr>
        <w:t xml:space="preserve"> is </w:t>
      </w:r>
      <w:r w:rsidR="001D31ED" w:rsidRPr="00150CD2">
        <w:rPr>
          <w:rFonts w:cs="Arial"/>
        </w:rPr>
        <w:t>expected</w:t>
      </w:r>
      <w:r w:rsidR="00630FCB" w:rsidRPr="00150CD2">
        <w:rPr>
          <w:rFonts w:cs="Arial"/>
        </w:rPr>
        <w:t xml:space="preserve"> to achieve change over the </w:t>
      </w:r>
      <w:r w:rsidR="0077739C" w:rsidRPr="00150CD2">
        <w:rPr>
          <w:rFonts w:cs="Arial"/>
        </w:rPr>
        <w:t xml:space="preserve">3 year </w:t>
      </w:r>
      <w:r w:rsidR="00630FCB" w:rsidRPr="00150CD2">
        <w:rPr>
          <w:rFonts w:cs="Arial"/>
        </w:rPr>
        <w:t xml:space="preserve">evaluation period. </w:t>
      </w:r>
      <w:r w:rsidR="00424612" w:rsidRPr="00150CD2">
        <w:rPr>
          <w:rFonts w:cs="Arial"/>
        </w:rPr>
        <w:t xml:space="preserve">These outcome areas will vary for different population groups (for example, between children, young people and adults). </w:t>
      </w:r>
      <w:r w:rsidR="00630FCB" w:rsidRPr="00150CD2">
        <w:rPr>
          <w:rFonts w:cs="Arial"/>
        </w:rPr>
        <w:t xml:space="preserve">The Ministry </w:t>
      </w:r>
      <w:r w:rsidR="000E15D4" w:rsidRPr="00150CD2">
        <w:rPr>
          <w:rFonts w:cs="Arial"/>
        </w:rPr>
        <w:t>and Mana Whaikaha</w:t>
      </w:r>
      <w:r w:rsidR="00630FCB" w:rsidRPr="00150CD2">
        <w:rPr>
          <w:rFonts w:cs="Arial"/>
        </w:rPr>
        <w:t xml:space="preserve"> will determine which indicators are appropriate for evaluating Mana Whaikaha's impact. </w:t>
      </w:r>
    </w:p>
    <w:p w14:paraId="0FB3FB62" w14:textId="4DE8A1A4" w:rsidR="00AA5F82" w:rsidRPr="00150CD2" w:rsidRDefault="0077739C" w:rsidP="00AA5F82">
      <w:pPr>
        <w:pStyle w:val="EYBodytextwithparaspace"/>
        <w:rPr>
          <w:rFonts w:cs="Arial"/>
        </w:rPr>
      </w:pPr>
      <w:r w:rsidRPr="00150CD2">
        <w:rPr>
          <w:rFonts w:cs="Arial"/>
        </w:rPr>
        <w:t>For the outcomes that are a focus of the evaluation, t</w:t>
      </w:r>
      <w:r w:rsidR="00AA5F82" w:rsidRPr="00150CD2">
        <w:rPr>
          <w:rFonts w:cs="Arial"/>
        </w:rPr>
        <w:t xml:space="preserve">he baseline elements </w:t>
      </w:r>
      <w:r w:rsidR="00CD1FFC" w:rsidRPr="00150CD2">
        <w:rPr>
          <w:rFonts w:cs="Arial"/>
        </w:rPr>
        <w:t>we</w:t>
      </w:r>
      <w:r w:rsidR="009306D6" w:rsidRPr="00150CD2">
        <w:rPr>
          <w:rFonts w:cs="Arial"/>
        </w:rPr>
        <w:t>re planned to</w:t>
      </w:r>
      <w:r w:rsidR="00AA5F82" w:rsidRPr="00150CD2">
        <w:rPr>
          <w:rFonts w:cs="Arial"/>
        </w:rPr>
        <w:t xml:space="preserve"> be repeated 18 months after Mana Whaikaha was implemented </w:t>
      </w:r>
      <w:r w:rsidR="003B0CF3" w:rsidRPr="00150CD2">
        <w:rPr>
          <w:rFonts w:cs="Arial"/>
        </w:rPr>
        <w:t>(</w:t>
      </w:r>
      <w:r w:rsidR="002C525D" w:rsidRPr="00150CD2">
        <w:rPr>
          <w:rFonts w:cs="Arial"/>
        </w:rPr>
        <w:t xml:space="preserve">the </w:t>
      </w:r>
      <w:r w:rsidR="003B0CF3" w:rsidRPr="00150CD2">
        <w:rPr>
          <w:rFonts w:cs="Arial"/>
        </w:rPr>
        <w:t xml:space="preserve">COVID-19 </w:t>
      </w:r>
      <w:r w:rsidR="002C525D" w:rsidRPr="00150CD2">
        <w:rPr>
          <w:rFonts w:cs="Arial"/>
        </w:rPr>
        <w:t xml:space="preserve">pandemic </w:t>
      </w:r>
      <w:r w:rsidR="003B0CF3" w:rsidRPr="00150CD2">
        <w:rPr>
          <w:rFonts w:cs="Arial"/>
        </w:rPr>
        <w:t xml:space="preserve">has </w:t>
      </w:r>
      <w:r w:rsidR="00350CCC" w:rsidRPr="00150CD2">
        <w:rPr>
          <w:rFonts w:cs="Arial"/>
        </w:rPr>
        <w:t>affec</w:t>
      </w:r>
      <w:r w:rsidR="003B0CF3" w:rsidRPr="00150CD2">
        <w:rPr>
          <w:rFonts w:cs="Arial"/>
        </w:rPr>
        <w:t xml:space="preserve">ted this) </w:t>
      </w:r>
      <w:r w:rsidR="00AA5F82" w:rsidRPr="00150CD2">
        <w:rPr>
          <w:rFonts w:cs="Arial"/>
        </w:rPr>
        <w:t xml:space="preserve">and again after three years. </w:t>
      </w:r>
      <w:r w:rsidR="00C9352A" w:rsidRPr="00150CD2">
        <w:rPr>
          <w:rFonts w:cs="Arial"/>
        </w:rPr>
        <w:t>The o</w:t>
      </w:r>
      <w:r w:rsidR="00AA5F82" w:rsidRPr="00150CD2">
        <w:rPr>
          <w:rFonts w:cs="Arial"/>
        </w:rPr>
        <w:t>utcomes will be compared with baseline outcomes to provide a picture of where Mana Whaikaha is making a difference.</w:t>
      </w:r>
    </w:p>
    <w:p w14:paraId="3233995E" w14:textId="36DCF1F4" w:rsidR="00AA5F82" w:rsidRPr="00150CD2" w:rsidRDefault="00AA5F82" w:rsidP="00AA5F82">
      <w:pPr>
        <w:pStyle w:val="EYBodytextwithparaspace"/>
        <w:rPr>
          <w:rFonts w:cs="Arial"/>
        </w:rPr>
      </w:pPr>
      <w:r w:rsidRPr="00150CD2">
        <w:rPr>
          <w:rFonts w:cs="Arial"/>
        </w:rPr>
        <w:t xml:space="preserve">The Ministry of Health </w:t>
      </w:r>
      <w:r w:rsidR="00FB2DA7" w:rsidRPr="00150CD2">
        <w:rPr>
          <w:rFonts w:cs="Arial"/>
        </w:rPr>
        <w:t xml:space="preserve">(the Ministry) </w:t>
      </w:r>
      <w:r w:rsidRPr="00150CD2">
        <w:rPr>
          <w:rFonts w:cs="Arial"/>
        </w:rPr>
        <w:t xml:space="preserve">commissioned EY to </w:t>
      </w:r>
      <w:r w:rsidR="00D81AB4" w:rsidRPr="00150CD2">
        <w:rPr>
          <w:rFonts w:cs="Arial"/>
        </w:rPr>
        <w:t xml:space="preserve">assess the feasibility of potential outcomes indicators and analysis cohorts for the outcomes </w:t>
      </w:r>
      <w:r w:rsidR="00FB2DA7" w:rsidRPr="00150CD2">
        <w:rPr>
          <w:rFonts w:cs="Arial"/>
        </w:rPr>
        <w:t xml:space="preserve">framework, </w:t>
      </w:r>
      <w:r w:rsidRPr="00150CD2">
        <w:rPr>
          <w:rFonts w:cs="Arial"/>
        </w:rPr>
        <w:t>and to undertake baseline analysis</w:t>
      </w:r>
      <w:r w:rsidR="00D81AB4" w:rsidRPr="00150CD2">
        <w:rPr>
          <w:rFonts w:cs="Arial"/>
        </w:rPr>
        <w:t xml:space="preserve"> of administrative and population survey based indicators</w:t>
      </w:r>
      <w:r w:rsidR="00FB2DA7" w:rsidRPr="00150CD2">
        <w:rPr>
          <w:rFonts w:cs="Arial"/>
        </w:rPr>
        <w:t xml:space="preserve"> using the IDI</w:t>
      </w:r>
      <w:r w:rsidRPr="00150CD2">
        <w:rPr>
          <w:rFonts w:cs="Arial"/>
        </w:rPr>
        <w:t>.</w:t>
      </w:r>
    </w:p>
    <w:p w14:paraId="7F42E892" w14:textId="0F92A590" w:rsidR="00D81AB4" w:rsidRPr="00150CD2" w:rsidRDefault="00FB2DA7" w:rsidP="00184038">
      <w:pPr>
        <w:pStyle w:val="EYHeading2"/>
      </w:pPr>
      <w:bookmarkStart w:id="3" w:name="_Toc46365127"/>
      <w:bookmarkStart w:id="4" w:name="_Toc48752345"/>
      <w:r w:rsidRPr="00150CD2">
        <w:lastRenderedPageBreak/>
        <w:t>Approach</w:t>
      </w:r>
      <w:bookmarkEnd w:id="3"/>
      <w:bookmarkEnd w:id="4"/>
    </w:p>
    <w:p w14:paraId="49DA8C43" w14:textId="1A821279" w:rsidR="00FB2DA7" w:rsidRPr="00150CD2" w:rsidRDefault="00FB2DA7" w:rsidP="00FB2DA7">
      <w:pPr>
        <w:pStyle w:val="EYBodytextwithparaspace"/>
        <w:rPr>
          <w:rFonts w:cs="Arial"/>
        </w:rPr>
      </w:pPr>
      <w:r w:rsidRPr="00150CD2">
        <w:rPr>
          <w:rFonts w:cs="Arial"/>
        </w:rPr>
        <w:t xml:space="preserve">Potential indicators were first mapped to the outcomes framework developed for Mana Whaikaha and then assessed for validity, reliability, comparability and feasibility. </w:t>
      </w:r>
      <w:r w:rsidR="00ED2BDA" w:rsidRPr="00150CD2">
        <w:rPr>
          <w:rFonts w:cs="Arial"/>
        </w:rPr>
        <w:t xml:space="preserve">Some </w:t>
      </w:r>
      <w:r w:rsidRPr="00150CD2">
        <w:rPr>
          <w:rFonts w:cs="Arial"/>
        </w:rPr>
        <w:t xml:space="preserve">outcomes in the framework were </w:t>
      </w:r>
      <w:r w:rsidR="00ED2BDA" w:rsidRPr="00150CD2">
        <w:rPr>
          <w:rFonts w:cs="Arial"/>
        </w:rPr>
        <w:t xml:space="preserve">not </w:t>
      </w:r>
      <w:r w:rsidRPr="00150CD2">
        <w:rPr>
          <w:rFonts w:cs="Arial"/>
        </w:rPr>
        <w:t xml:space="preserve">able to be mapped to administrative data. These tended to be for outcomes of a more subjective nature, which </w:t>
      </w:r>
      <w:r w:rsidR="00ED2BDA" w:rsidRPr="00150CD2">
        <w:rPr>
          <w:rFonts w:cs="Arial"/>
        </w:rPr>
        <w:t>will be</w:t>
      </w:r>
      <w:r w:rsidRPr="00150CD2">
        <w:rPr>
          <w:rFonts w:cs="Arial"/>
        </w:rPr>
        <w:t xml:space="preserve"> specifically addressed in the qualitative interviews and survey elements of the </w:t>
      </w:r>
      <w:r w:rsidR="00EE4CEA" w:rsidRPr="00150CD2">
        <w:rPr>
          <w:rFonts w:cs="Arial"/>
        </w:rPr>
        <w:t>longitudinal</w:t>
      </w:r>
      <w:r w:rsidR="00ED2BDA" w:rsidRPr="00150CD2">
        <w:rPr>
          <w:rFonts w:cs="Arial"/>
        </w:rPr>
        <w:t xml:space="preserve"> </w:t>
      </w:r>
      <w:r w:rsidR="00E03375" w:rsidRPr="00150CD2">
        <w:rPr>
          <w:rFonts w:cs="Arial"/>
        </w:rPr>
        <w:t>evaluation</w:t>
      </w:r>
      <w:r w:rsidRPr="00150CD2">
        <w:rPr>
          <w:rFonts w:cs="Arial"/>
        </w:rPr>
        <w:t>.</w:t>
      </w:r>
    </w:p>
    <w:p w14:paraId="6043C75F" w14:textId="3303269E" w:rsidR="00FB2DA7" w:rsidRPr="00150CD2" w:rsidRDefault="00ED2BDA" w:rsidP="00FB2DA7">
      <w:pPr>
        <w:pStyle w:val="EYBodytextwithparaspace"/>
        <w:rPr>
          <w:rFonts w:cs="Arial"/>
        </w:rPr>
      </w:pPr>
      <w:r w:rsidRPr="00150CD2">
        <w:rPr>
          <w:rFonts w:cs="Arial"/>
        </w:rPr>
        <w:t xml:space="preserve">Baseline analysis </w:t>
      </w:r>
      <w:r w:rsidR="0082195E" w:rsidRPr="00150CD2">
        <w:rPr>
          <w:rFonts w:cs="Arial"/>
        </w:rPr>
        <w:t>of</w:t>
      </w:r>
      <w:r w:rsidRPr="00150CD2">
        <w:rPr>
          <w:rFonts w:cs="Arial"/>
        </w:rPr>
        <w:t xml:space="preserve"> outcomes and service contact indicators was performed for MidCentral and national populations</w:t>
      </w:r>
      <w:r w:rsidR="0082195E" w:rsidRPr="00150CD2">
        <w:rPr>
          <w:rFonts w:cs="Arial"/>
        </w:rPr>
        <w:t xml:space="preserve">. Indicators were summarised over </w:t>
      </w:r>
      <w:r w:rsidR="006E1E9D" w:rsidRPr="00150CD2">
        <w:rPr>
          <w:rFonts w:cs="Arial"/>
        </w:rPr>
        <w:t xml:space="preserve">a </w:t>
      </w:r>
      <w:r w:rsidR="0082195E" w:rsidRPr="00150CD2">
        <w:rPr>
          <w:rFonts w:cs="Arial"/>
        </w:rPr>
        <w:t>historic 3 year period (in most cases</w:t>
      </w:r>
      <w:r w:rsidR="006E1E9D" w:rsidRPr="00150CD2">
        <w:rPr>
          <w:rFonts w:cs="Arial"/>
        </w:rPr>
        <w:t>, from</w:t>
      </w:r>
      <w:r w:rsidR="0082195E" w:rsidRPr="00150CD2">
        <w:rPr>
          <w:rFonts w:cs="Arial"/>
        </w:rPr>
        <w:t xml:space="preserve"> 1 July 2015 to 30 June 2018). </w:t>
      </w:r>
      <w:r w:rsidR="00FB2DA7" w:rsidRPr="00150CD2">
        <w:rPr>
          <w:rFonts w:cs="Arial"/>
        </w:rPr>
        <w:t xml:space="preserve">While outcomes were mapped to both administrative data and population survey data, such as the Disability Survey and the General Social Survey, the survey data was excluded from analysis of the MidCentral population as </w:t>
      </w:r>
      <w:r w:rsidRPr="00150CD2">
        <w:rPr>
          <w:rFonts w:cs="Arial"/>
        </w:rPr>
        <w:t xml:space="preserve">there were very few MidCentral </w:t>
      </w:r>
      <w:r w:rsidR="0082195E" w:rsidRPr="00150CD2">
        <w:rPr>
          <w:rFonts w:cs="Arial"/>
        </w:rPr>
        <w:t>survey response</w:t>
      </w:r>
      <w:r w:rsidRPr="00150CD2">
        <w:rPr>
          <w:rFonts w:cs="Arial"/>
        </w:rPr>
        <w:t>s.</w:t>
      </w:r>
    </w:p>
    <w:p w14:paraId="0E5CA705" w14:textId="1BCC8F47" w:rsidR="00FB2DA7" w:rsidRPr="00150CD2" w:rsidRDefault="006E1E9D" w:rsidP="00FB2DA7">
      <w:pPr>
        <w:pStyle w:val="EYBodytextwithparaspace"/>
        <w:rPr>
          <w:rFonts w:cs="Arial"/>
        </w:rPr>
      </w:pPr>
      <w:r w:rsidRPr="00150CD2">
        <w:rPr>
          <w:rFonts w:cs="Arial"/>
        </w:rPr>
        <w:t>O</w:t>
      </w:r>
      <w:r w:rsidR="00FB2DA7" w:rsidRPr="00150CD2">
        <w:rPr>
          <w:rFonts w:cs="Arial"/>
        </w:rPr>
        <w:t xml:space="preserve">utcome </w:t>
      </w:r>
      <w:r w:rsidRPr="00150CD2">
        <w:rPr>
          <w:rFonts w:cs="Arial"/>
        </w:rPr>
        <w:t xml:space="preserve">and service contact </w:t>
      </w:r>
      <w:r w:rsidR="00FB2DA7" w:rsidRPr="00150CD2">
        <w:rPr>
          <w:rFonts w:cs="Arial"/>
        </w:rPr>
        <w:t xml:space="preserve">indicators </w:t>
      </w:r>
      <w:r w:rsidR="00904E67" w:rsidRPr="00150CD2">
        <w:rPr>
          <w:rFonts w:cs="Arial"/>
        </w:rPr>
        <w:t xml:space="preserve">described </w:t>
      </w:r>
      <w:r w:rsidR="00FB2DA7" w:rsidRPr="00150CD2">
        <w:rPr>
          <w:rFonts w:cs="Arial"/>
        </w:rPr>
        <w:t xml:space="preserve">in this analysis </w:t>
      </w:r>
      <w:r w:rsidR="00904E67" w:rsidRPr="00150CD2">
        <w:rPr>
          <w:rFonts w:cs="Arial"/>
        </w:rPr>
        <w:t>include</w:t>
      </w:r>
      <w:r w:rsidR="00FB2DA7" w:rsidRPr="00150CD2">
        <w:rPr>
          <w:rFonts w:cs="Arial"/>
        </w:rPr>
        <w:t>:</w:t>
      </w:r>
    </w:p>
    <w:p w14:paraId="7E12F7E9" w14:textId="258213AC" w:rsidR="00FB2DA7" w:rsidRPr="00150CD2" w:rsidRDefault="00FB2DA7" w:rsidP="00DE7D64">
      <w:pPr>
        <w:pStyle w:val="EYBulletnoparaspace"/>
        <w:rPr>
          <w:rFonts w:cs="Arial"/>
        </w:rPr>
      </w:pPr>
      <w:r w:rsidRPr="00150CD2">
        <w:rPr>
          <w:rFonts w:cs="Arial"/>
        </w:rPr>
        <w:t>Early Childhood Education participation</w:t>
      </w:r>
    </w:p>
    <w:p w14:paraId="38BD9B82" w14:textId="783F111F" w:rsidR="00FB2DA7" w:rsidRPr="00150CD2" w:rsidRDefault="00FB2DA7" w:rsidP="00DE7D64">
      <w:pPr>
        <w:pStyle w:val="EYBulletnoparaspace"/>
        <w:rPr>
          <w:rFonts w:cs="Arial"/>
        </w:rPr>
      </w:pPr>
      <w:r w:rsidRPr="00150CD2">
        <w:rPr>
          <w:rFonts w:cs="Arial"/>
        </w:rPr>
        <w:t>B4 School Check</w:t>
      </w:r>
      <w:r w:rsidR="006E1E9D" w:rsidRPr="00150CD2">
        <w:rPr>
          <w:rFonts w:cs="Arial"/>
        </w:rPr>
        <w:t xml:space="preserve"> outcome</w:t>
      </w:r>
      <w:r w:rsidRPr="00150CD2">
        <w:rPr>
          <w:rFonts w:cs="Arial"/>
        </w:rPr>
        <w:t>s</w:t>
      </w:r>
    </w:p>
    <w:p w14:paraId="5D03996D" w14:textId="7D8D9177" w:rsidR="00FB2DA7" w:rsidRPr="00150CD2" w:rsidRDefault="006E1E9D" w:rsidP="00DE7D64">
      <w:pPr>
        <w:pStyle w:val="EYBulletnoparaspace"/>
        <w:rPr>
          <w:rFonts w:cs="Arial"/>
        </w:rPr>
      </w:pPr>
      <w:r w:rsidRPr="00150CD2">
        <w:rPr>
          <w:rFonts w:cs="Arial"/>
        </w:rPr>
        <w:t>School education</w:t>
      </w:r>
    </w:p>
    <w:p w14:paraId="6E21C436" w14:textId="2BFDE618" w:rsidR="00FB2DA7" w:rsidRPr="00150CD2" w:rsidRDefault="00FB2DA7" w:rsidP="00DE7D64">
      <w:pPr>
        <w:pStyle w:val="EYBulletnoparaspace"/>
        <w:rPr>
          <w:rFonts w:cs="Arial"/>
        </w:rPr>
      </w:pPr>
      <w:r w:rsidRPr="00150CD2">
        <w:rPr>
          <w:rFonts w:cs="Arial"/>
        </w:rPr>
        <w:t>Post-school education and training</w:t>
      </w:r>
    </w:p>
    <w:p w14:paraId="20712EC0" w14:textId="6CAC1116" w:rsidR="00FB2DA7" w:rsidRPr="00150CD2" w:rsidRDefault="00FB2DA7" w:rsidP="00DE7D64">
      <w:pPr>
        <w:pStyle w:val="EYBulletnoparaspace"/>
        <w:rPr>
          <w:rFonts w:cs="Arial"/>
        </w:rPr>
      </w:pPr>
      <w:r w:rsidRPr="00150CD2">
        <w:rPr>
          <w:rFonts w:cs="Arial"/>
        </w:rPr>
        <w:t>Ambulatory sensitive (avoidable) hospitalisation</w:t>
      </w:r>
      <w:r w:rsidR="006E1E9D" w:rsidRPr="00150CD2">
        <w:rPr>
          <w:rFonts w:cs="Arial"/>
        </w:rPr>
        <w:t>s</w:t>
      </w:r>
    </w:p>
    <w:p w14:paraId="311B3B37" w14:textId="0A67B935" w:rsidR="00FB2DA7" w:rsidRPr="00150CD2" w:rsidRDefault="006E1E9D" w:rsidP="00DE7D64">
      <w:pPr>
        <w:pStyle w:val="EYBulletnoparaspace"/>
        <w:rPr>
          <w:rFonts w:cs="Arial"/>
        </w:rPr>
      </w:pPr>
      <w:r w:rsidRPr="00150CD2">
        <w:rPr>
          <w:rFonts w:cs="Arial"/>
        </w:rPr>
        <w:t>Injury related e</w:t>
      </w:r>
      <w:r w:rsidR="00FB2DA7" w:rsidRPr="00150CD2">
        <w:rPr>
          <w:rFonts w:cs="Arial"/>
        </w:rPr>
        <w:t>mergency department contacts and hospitalisations</w:t>
      </w:r>
    </w:p>
    <w:p w14:paraId="7CBB810C" w14:textId="154A2D46" w:rsidR="00FB2DA7" w:rsidRPr="00150CD2" w:rsidRDefault="00FB2DA7" w:rsidP="00DE7D64">
      <w:pPr>
        <w:pStyle w:val="EYBulletnoparaspace"/>
        <w:rPr>
          <w:rFonts w:cs="Arial"/>
        </w:rPr>
      </w:pPr>
      <w:r w:rsidRPr="00150CD2">
        <w:rPr>
          <w:rFonts w:cs="Arial"/>
        </w:rPr>
        <w:t>Chronic health conditions</w:t>
      </w:r>
    </w:p>
    <w:p w14:paraId="4052A1EB" w14:textId="17EC830A" w:rsidR="00FB2DA7" w:rsidRPr="00150CD2" w:rsidRDefault="00FB2DA7" w:rsidP="00DE7D64">
      <w:pPr>
        <w:pStyle w:val="EYBulletnoparaspace"/>
        <w:rPr>
          <w:rFonts w:cs="Arial"/>
        </w:rPr>
      </w:pPr>
      <w:r w:rsidRPr="00150CD2">
        <w:rPr>
          <w:rFonts w:cs="Arial"/>
        </w:rPr>
        <w:t xml:space="preserve">Mental health </w:t>
      </w:r>
      <w:r w:rsidR="006E1E9D" w:rsidRPr="00150CD2">
        <w:rPr>
          <w:rFonts w:cs="Arial"/>
        </w:rPr>
        <w:t xml:space="preserve">service contact and </w:t>
      </w:r>
      <w:r w:rsidRPr="00150CD2">
        <w:rPr>
          <w:rFonts w:cs="Arial"/>
        </w:rPr>
        <w:t xml:space="preserve">treatment </w:t>
      </w:r>
    </w:p>
    <w:p w14:paraId="3D1A9840" w14:textId="0E1AFBE4" w:rsidR="00FB2DA7" w:rsidRPr="00150CD2" w:rsidRDefault="00E03375" w:rsidP="00DE7D64">
      <w:pPr>
        <w:pStyle w:val="EYBulletnoparaspace"/>
        <w:rPr>
          <w:rFonts w:cs="Arial"/>
        </w:rPr>
      </w:pPr>
      <w:r w:rsidRPr="00150CD2">
        <w:rPr>
          <w:rFonts w:cs="Arial"/>
        </w:rPr>
        <w:t>Orang</w:t>
      </w:r>
      <w:r w:rsidR="00EE4CEA" w:rsidRPr="00150CD2">
        <w:rPr>
          <w:rFonts w:cs="Arial"/>
        </w:rPr>
        <w:t>a</w:t>
      </w:r>
      <w:r w:rsidR="00FB2DA7" w:rsidRPr="00150CD2">
        <w:rPr>
          <w:rFonts w:cs="Arial"/>
        </w:rPr>
        <w:t xml:space="preserve"> Tamariki contact</w:t>
      </w:r>
    </w:p>
    <w:p w14:paraId="404FADF6" w14:textId="3F3826A9" w:rsidR="00FB2DA7" w:rsidRPr="00150CD2" w:rsidRDefault="00FB2DA7" w:rsidP="00DE7D64">
      <w:pPr>
        <w:pStyle w:val="EYBulletnoparaspace"/>
        <w:rPr>
          <w:rFonts w:cs="Arial"/>
        </w:rPr>
      </w:pPr>
      <w:r w:rsidRPr="00150CD2">
        <w:rPr>
          <w:rFonts w:cs="Arial"/>
        </w:rPr>
        <w:t>Family units and relationships</w:t>
      </w:r>
    </w:p>
    <w:p w14:paraId="4BD1809F" w14:textId="153E8D88" w:rsidR="00FB2DA7" w:rsidRPr="00150CD2" w:rsidRDefault="00FB2DA7" w:rsidP="00DE7D64">
      <w:pPr>
        <w:pStyle w:val="EYBulletnoparaspace"/>
        <w:rPr>
          <w:rFonts w:cs="Arial"/>
        </w:rPr>
      </w:pPr>
      <w:r w:rsidRPr="00150CD2">
        <w:rPr>
          <w:rFonts w:cs="Arial"/>
        </w:rPr>
        <w:t>Employment rates (parental and disabled individuals)</w:t>
      </w:r>
    </w:p>
    <w:p w14:paraId="3F402DD3" w14:textId="0C822F15" w:rsidR="00FB2DA7" w:rsidRPr="00150CD2" w:rsidRDefault="00FB2DA7" w:rsidP="00DE7D64">
      <w:pPr>
        <w:pStyle w:val="EYBulletnoparaspace"/>
        <w:rPr>
          <w:rFonts w:cs="Arial"/>
        </w:rPr>
      </w:pPr>
      <w:r w:rsidRPr="00150CD2">
        <w:rPr>
          <w:rFonts w:cs="Arial"/>
        </w:rPr>
        <w:t>Benefit receipt and additional income support</w:t>
      </w:r>
    </w:p>
    <w:p w14:paraId="0DE16038" w14:textId="38C7C2F0" w:rsidR="00FB2DA7" w:rsidRPr="00150CD2" w:rsidRDefault="00EF7CA7" w:rsidP="00DE7D64">
      <w:pPr>
        <w:pStyle w:val="EYBulletnoparaspace"/>
        <w:rPr>
          <w:rFonts w:cs="Arial"/>
        </w:rPr>
      </w:pPr>
      <w:r w:rsidRPr="00150CD2">
        <w:rPr>
          <w:rFonts w:cs="Arial"/>
        </w:rPr>
        <w:t xml:space="preserve">Residential </w:t>
      </w:r>
      <w:r w:rsidR="0055501D" w:rsidRPr="00150CD2">
        <w:rPr>
          <w:rFonts w:cs="Arial"/>
        </w:rPr>
        <w:t>services</w:t>
      </w:r>
    </w:p>
    <w:p w14:paraId="1A350589" w14:textId="319EB3E5" w:rsidR="00FB2DA7" w:rsidRPr="00150CD2" w:rsidRDefault="00FB2DA7" w:rsidP="00DE7D64">
      <w:pPr>
        <w:pStyle w:val="EYBulletnoparaspace"/>
        <w:rPr>
          <w:rFonts w:cs="Arial"/>
        </w:rPr>
      </w:pPr>
      <w:r w:rsidRPr="00150CD2">
        <w:rPr>
          <w:rFonts w:cs="Arial"/>
        </w:rPr>
        <w:t>Driver licence rates</w:t>
      </w:r>
    </w:p>
    <w:p w14:paraId="7F220D4A" w14:textId="579E013F" w:rsidR="00FB2DA7" w:rsidRPr="00150CD2" w:rsidRDefault="00FB2DA7" w:rsidP="00FB2DA7">
      <w:pPr>
        <w:pStyle w:val="EYBulletnoparaspace"/>
        <w:rPr>
          <w:rFonts w:cs="Arial"/>
        </w:rPr>
      </w:pPr>
      <w:r w:rsidRPr="00150CD2">
        <w:rPr>
          <w:rFonts w:cs="Arial"/>
        </w:rPr>
        <w:t>Police recorded offending and victimisation</w:t>
      </w:r>
    </w:p>
    <w:p w14:paraId="460494FF" w14:textId="11FA6BA7" w:rsidR="006E1E9D" w:rsidRPr="00150CD2" w:rsidRDefault="006E1E9D" w:rsidP="006E1E9D">
      <w:pPr>
        <w:pStyle w:val="EYBodytextwithparaspace"/>
        <w:rPr>
          <w:rFonts w:cs="Arial"/>
        </w:rPr>
      </w:pPr>
      <w:r w:rsidRPr="00150CD2">
        <w:rPr>
          <w:rFonts w:cs="Arial"/>
        </w:rPr>
        <w:br/>
        <w:t xml:space="preserve">Findings have been grouped by age groups loosely corresponding to </w:t>
      </w:r>
      <w:r w:rsidR="002D335D" w:rsidRPr="00150CD2">
        <w:rPr>
          <w:rFonts w:cs="Arial"/>
        </w:rPr>
        <w:t>l</w:t>
      </w:r>
      <w:r w:rsidRPr="00150CD2">
        <w:rPr>
          <w:rFonts w:cs="Arial"/>
        </w:rPr>
        <w:t xml:space="preserve">ifecourse stages, recognising that </w:t>
      </w:r>
      <w:r w:rsidR="002D335D" w:rsidRPr="00150CD2">
        <w:rPr>
          <w:rFonts w:cs="Arial"/>
        </w:rPr>
        <w:t>l</w:t>
      </w:r>
      <w:r w:rsidRPr="00150CD2">
        <w:rPr>
          <w:rFonts w:cs="Arial"/>
        </w:rPr>
        <w:t xml:space="preserve">ifecourse stages are important influences on service </w:t>
      </w:r>
      <w:r w:rsidR="002D335D" w:rsidRPr="00150CD2">
        <w:rPr>
          <w:rFonts w:cs="Arial"/>
        </w:rPr>
        <w:t xml:space="preserve">usage </w:t>
      </w:r>
      <w:r w:rsidRPr="00150CD2">
        <w:rPr>
          <w:rFonts w:cs="Arial"/>
        </w:rPr>
        <w:t>pattern</w:t>
      </w:r>
      <w:r w:rsidR="002D335D" w:rsidRPr="00150CD2">
        <w:rPr>
          <w:rFonts w:cs="Arial"/>
        </w:rPr>
        <w:t>s</w:t>
      </w:r>
      <w:r w:rsidRPr="00150CD2">
        <w:rPr>
          <w:rFonts w:cs="Arial"/>
        </w:rPr>
        <w:t xml:space="preserve"> and outcomes.</w:t>
      </w:r>
    </w:p>
    <w:p w14:paraId="38D4D287" w14:textId="518D0940" w:rsidR="006E1E9D" w:rsidRPr="00150CD2" w:rsidRDefault="006E1E9D" w:rsidP="00184038">
      <w:pPr>
        <w:pStyle w:val="EYHeading2"/>
      </w:pPr>
      <w:bookmarkStart w:id="5" w:name="_Toc46365128"/>
      <w:bookmarkStart w:id="6" w:name="_Toc48752346"/>
      <w:r w:rsidRPr="00150CD2">
        <w:t>Key findings from analysis</w:t>
      </w:r>
      <w:bookmarkEnd w:id="5"/>
      <w:bookmarkEnd w:id="6"/>
    </w:p>
    <w:p w14:paraId="7C6CFD16" w14:textId="2F1EFF2E" w:rsidR="0077467B" w:rsidRPr="00150CD2" w:rsidRDefault="0077467B" w:rsidP="006E1E9D">
      <w:pPr>
        <w:pStyle w:val="EYBodytextwithparaspace"/>
        <w:rPr>
          <w:rFonts w:cs="Arial"/>
        </w:rPr>
      </w:pPr>
      <w:r w:rsidRPr="00150CD2">
        <w:rPr>
          <w:rFonts w:cs="Arial"/>
        </w:rPr>
        <w:t xml:space="preserve">Findings from </w:t>
      </w:r>
      <w:r w:rsidRPr="00150CD2">
        <w:rPr>
          <w:rFonts w:cs="Arial"/>
          <w:b/>
        </w:rPr>
        <w:t>population survey data</w:t>
      </w:r>
      <w:r w:rsidRPr="00150CD2">
        <w:rPr>
          <w:rFonts w:cs="Arial"/>
        </w:rPr>
        <w:t xml:space="preserve"> for </w:t>
      </w:r>
      <w:r w:rsidR="00825CDA" w:rsidRPr="00150CD2">
        <w:rPr>
          <w:rFonts w:cs="Arial"/>
        </w:rPr>
        <w:t xml:space="preserve">New Zealand </w:t>
      </w:r>
      <w:r w:rsidRPr="00150CD2">
        <w:rPr>
          <w:rFonts w:cs="Arial"/>
        </w:rPr>
        <w:t>DSS clients indicate that the majority of adult DSS respondents and parents / caregivers of DSS children reported moderate to high levels of life satisfaction and life worthwhileness</w:t>
      </w:r>
      <w:r w:rsidR="00C11CE4" w:rsidRPr="00150CD2">
        <w:rPr>
          <w:rFonts w:cs="Arial"/>
        </w:rPr>
        <w:t xml:space="preserve"> </w:t>
      </w:r>
      <w:r w:rsidR="003F3AA7" w:rsidRPr="00150CD2">
        <w:rPr>
          <w:rFonts w:cs="Arial"/>
        </w:rPr>
        <w:t>(</w:t>
      </w:r>
      <w:r w:rsidR="000B424D" w:rsidRPr="00150CD2">
        <w:rPr>
          <w:rFonts w:cs="Arial"/>
        </w:rPr>
        <w:t>sense of purpose</w:t>
      </w:r>
      <w:r w:rsidR="003F3AA7" w:rsidRPr="00150CD2">
        <w:rPr>
          <w:rFonts w:cs="Arial"/>
        </w:rPr>
        <w:t>)</w:t>
      </w:r>
      <w:r w:rsidR="00CA1E01" w:rsidRPr="00150CD2">
        <w:rPr>
          <w:rFonts w:cs="Arial"/>
        </w:rPr>
        <w:t xml:space="preserve">, and </w:t>
      </w:r>
      <w:r w:rsidR="002E70C9" w:rsidRPr="00150CD2">
        <w:rPr>
          <w:rFonts w:cs="Arial"/>
        </w:rPr>
        <w:t xml:space="preserve">the majority of </w:t>
      </w:r>
      <w:r w:rsidR="00CA1E01" w:rsidRPr="00150CD2">
        <w:rPr>
          <w:rFonts w:cs="Arial"/>
        </w:rPr>
        <w:t xml:space="preserve">DSS children </w:t>
      </w:r>
      <w:r w:rsidR="002E70C9" w:rsidRPr="00150CD2">
        <w:rPr>
          <w:rFonts w:cs="Arial"/>
        </w:rPr>
        <w:t>were rated as having good to excellent health</w:t>
      </w:r>
      <w:r w:rsidRPr="00150CD2">
        <w:rPr>
          <w:rFonts w:cs="Arial"/>
        </w:rPr>
        <w:t>. However, life satisfaction levels for adult DSS respondents were lower than for the broader population, and there were multiple areas where wellbeing appears lower for DSS clients</w:t>
      </w:r>
      <w:r w:rsidR="008A4420" w:rsidRPr="00150CD2">
        <w:rPr>
          <w:rFonts w:cs="Arial"/>
        </w:rPr>
        <w:t xml:space="preserve"> compared to the non-</w:t>
      </w:r>
      <w:r w:rsidR="00904E67" w:rsidRPr="00150CD2">
        <w:rPr>
          <w:rFonts w:cs="Arial"/>
        </w:rPr>
        <w:t>DSS</w:t>
      </w:r>
      <w:r w:rsidR="008A4420" w:rsidRPr="00150CD2">
        <w:rPr>
          <w:rFonts w:cs="Arial"/>
        </w:rPr>
        <w:t xml:space="preserve"> population.</w:t>
      </w:r>
      <w:r w:rsidRPr="00150CD2">
        <w:rPr>
          <w:rFonts w:cs="Arial"/>
        </w:rPr>
        <w:t xml:space="preserve"> </w:t>
      </w:r>
      <w:r w:rsidR="008A4420" w:rsidRPr="00150CD2">
        <w:rPr>
          <w:rFonts w:cs="Arial"/>
        </w:rPr>
        <w:t>I</w:t>
      </w:r>
      <w:r w:rsidRPr="00150CD2">
        <w:rPr>
          <w:rFonts w:cs="Arial"/>
        </w:rPr>
        <w:t>n particular:</w:t>
      </w:r>
    </w:p>
    <w:p w14:paraId="6C9C69F0" w14:textId="2BDAC69D" w:rsidR="0077467B" w:rsidRPr="00150CD2" w:rsidRDefault="0077467B" w:rsidP="00AC14EB">
      <w:pPr>
        <w:pStyle w:val="EYBulletnoparaspace"/>
        <w:rPr>
          <w:rFonts w:cs="Arial"/>
        </w:rPr>
      </w:pPr>
      <w:r w:rsidRPr="00150CD2">
        <w:rPr>
          <w:rFonts w:cs="Arial"/>
        </w:rPr>
        <w:t>Health</w:t>
      </w:r>
    </w:p>
    <w:p w14:paraId="03022FA2" w14:textId="0AC53EFC" w:rsidR="0077467B" w:rsidRPr="00150CD2" w:rsidRDefault="0077467B" w:rsidP="00AC14EB">
      <w:pPr>
        <w:pStyle w:val="EYBulletnoparaspace"/>
        <w:rPr>
          <w:rFonts w:cs="Arial"/>
        </w:rPr>
      </w:pPr>
      <w:r w:rsidRPr="00150CD2">
        <w:rPr>
          <w:rFonts w:cs="Arial"/>
        </w:rPr>
        <w:t>Income adequacy and material wellbeing</w:t>
      </w:r>
    </w:p>
    <w:p w14:paraId="4C0DF262" w14:textId="20D266F0" w:rsidR="0077467B" w:rsidRPr="00150CD2" w:rsidRDefault="0077467B" w:rsidP="00AC14EB">
      <w:pPr>
        <w:pStyle w:val="EYBulletnoparaspace"/>
        <w:rPr>
          <w:rFonts w:cs="Arial"/>
        </w:rPr>
      </w:pPr>
      <w:r w:rsidRPr="00150CD2">
        <w:rPr>
          <w:rFonts w:cs="Arial"/>
        </w:rPr>
        <w:t>Social connectedness and relationships</w:t>
      </w:r>
    </w:p>
    <w:p w14:paraId="42C3D7C2" w14:textId="3CF127F5" w:rsidR="0077467B" w:rsidRPr="00150CD2" w:rsidRDefault="0077467B" w:rsidP="00AC14EB">
      <w:pPr>
        <w:pStyle w:val="EYBulletnoparaspace"/>
        <w:rPr>
          <w:rFonts w:cs="Arial"/>
        </w:rPr>
      </w:pPr>
      <w:r w:rsidRPr="00150CD2">
        <w:rPr>
          <w:rFonts w:cs="Arial"/>
        </w:rPr>
        <w:lastRenderedPageBreak/>
        <w:t>Employment (for adult DSS respondents)</w:t>
      </w:r>
    </w:p>
    <w:p w14:paraId="0A96BA7F" w14:textId="3206192F" w:rsidR="0077467B" w:rsidRPr="00150CD2" w:rsidRDefault="0077467B" w:rsidP="00AC14EB">
      <w:pPr>
        <w:pStyle w:val="EYBulletnoparaspace"/>
        <w:rPr>
          <w:rFonts w:cs="Arial"/>
        </w:rPr>
      </w:pPr>
      <w:r w:rsidRPr="00150CD2">
        <w:rPr>
          <w:rFonts w:cs="Arial"/>
        </w:rPr>
        <w:t>Carer health and stress (for DSS children)</w:t>
      </w:r>
    </w:p>
    <w:p w14:paraId="2F00FC50" w14:textId="15FA1A28" w:rsidR="0077467B" w:rsidRPr="00150CD2" w:rsidRDefault="00CD1375" w:rsidP="006E1E9D">
      <w:pPr>
        <w:pStyle w:val="EYBodytextwithparaspace"/>
        <w:rPr>
          <w:rFonts w:cs="Arial"/>
        </w:rPr>
      </w:pPr>
      <w:r w:rsidRPr="00150CD2">
        <w:rPr>
          <w:rFonts w:cs="Arial"/>
        </w:rPr>
        <w:br/>
      </w:r>
      <w:r w:rsidR="0077467B" w:rsidRPr="00150CD2">
        <w:rPr>
          <w:rFonts w:cs="Arial"/>
        </w:rPr>
        <w:t xml:space="preserve">A subset of respondents also described </w:t>
      </w:r>
      <w:r w:rsidR="008A4420" w:rsidRPr="00150CD2">
        <w:rPr>
          <w:rFonts w:cs="Arial"/>
        </w:rPr>
        <w:t>unmet</w:t>
      </w:r>
      <w:r w:rsidR="0077467B" w:rsidRPr="00150CD2">
        <w:rPr>
          <w:rFonts w:cs="Arial"/>
        </w:rPr>
        <w:t xml:space="preserve"> support service needs around living activities and at school.</w:t>
      </w:r>
    </w:p>
    <w:p w14:paraId="5CDC626F" w14:textId="1E1D19E0" w:rsidR="008D6D0B" w:rsidRPr="00150CD2" w:rsidRDefault="00825CDA" w:rsidP="006E1E9D">
      <w:pPr>
        <w:pStyle w:val="EYBodytextwithparaspace"/>
        <w:rPr>
          <w:rFonts w:cs="Arial"/>
        </w:rPr>
      </w:pPr>
      <w:r w:rsidRPr="00150CD2">
        <w:rPr>
          <w:rFonts w:cs="Arial"/>
        </w:rPr>
        <w:t xml:space="preserve">Findings from </w:t>
      </w:r>
      <w:r w:rsidRPr="00150CD2">
        <w:rPr>
          <w:rFonts w:cs="Arial"/>
          <w:b/>
        </w:rPr>
        <w:t>administrative data</w:t>
      </w:r>
      <w:r w:rsidRPr="00150CD2">
        <w:rPr>
          <w:rFonts w:cs="Arial"/>
        </w:rPr>
        <w:t xml:space="preserve"> highlig</w:t>
      </w:r>
      <w:r w:rsidR="008A4420" w:rsidRPr="00150CD2">
        <w:rPr>
          <w:rFonts w:cs="Arial"/>
        </w:rPr>
        <w:t>ht</w:t>
      </w:r>
      <w:r w:rsidRPr="00150CD2">
        <w:rPr>
          <w:rFonts w:cs="Arial"/>
        </w:rPr>
        <w:t xml:space="preserve"> similar areas </w:t>
      </w:r>
      <w:r w:rsidR="008A4420" w:rsidRPr="00150CD2">
        <w:rPr>
          <w:rFonts w:cs="Arial"/>
        </w:rPr>
        <w:t xml:space="preserve">of disparity in </w:t>
      </w:r>
      <w:r w:rsidRPr="00150CD2">
        <w:rPr>
          <w:rFonts w:cs="Arial"/>
        </w:rPr>
        <w:t xml:space="preserve">outcome and service contact indicators </w:t>
      </w:r>
      <w:r w:rsidR="008A4420" w:rsidRPr="00150CD2">
        <w:rPr>
          <w:rFonts w:cs="Arial"/>
        </w:rPr>
        <w:t>for disabled people and their families in the MidCentral area. They also highlight areas where the profile of service contact and lifecourse transitions differs significantly from that of the non-disabled population</w:t>
      </w:r>
      <w:r w:rsidR="008D6D0B" w:rsidRPr="00150CD2">
        <w:rPr>
          <w:rFonts w:cs="Arial"/>
        </w:rPr>
        <w:t xml:space="preserve"> in MidCentral.</w:t>
      </w:r>
      <w:r w:rsidR="008B4B70" w:rsidRPr="00150CD2">
        <w:rPr>
          <w:rFonts w:cs="Arial"/>
        </w:rPr>
        <w:t xml:space="preserve"> </w:t>
      </w:r>
      <w:r w:rsidR="008D6D0B" w:rsidRPr="00150CD2">
        <w:rPr>
          <w:rFonts w:cs="Arial"/>
        </w:rPr>
        <w:t>Key areas of difference include:</w:t>
      </w:r>
    </w:p>
    <w:p w14:paraId="6714657B" w14:textId="6CE17F64" w:rsidR="008D6D0B" w:rsidRPr="00150CD2" w:rsidRDefault="008D6D0B" w:rsidP="00AC14EB">
      <w:pPr>
        <w:pStyle w:val="EYBulletedText1"/>
        <w:rPr>
          <w:rFonts w:cs="Arial"/>
        </w:rPr>
      </w:pPr>
      <w:r w:rsidRPr="00150CD2">
        <w:rPr>
          <w:rFonts w:cs="Arial"/>
          <w:b/>
        </w:rPr>
        <w:t>More frequent health service contact</w:t>
      </w:r>
      <w:r w:rsidRPr="00150CD2">
        <w:rPr>
          <w:rFonts w:cs="Arial"/>
        </w:rPr>
        <w:t>, including a significantly higher proportion of DSS children and adults with ambulatory sensitive hospitalisations (considered potentially avoidable), polypharmacy, and a higher proportion of DSS children with referrals from B4 School Checks.</w:t>
      </w:r>
    </w:p>
    <w:p w14:paraId="379A0A1B" w14:textId="68077929" w:rsidR="005B4183" w:rsidRPr="00150CD2" w:rsidRDefault="008D6D0B" w:rsidP="00AC14EB">
      <w:pPr>
        <w:pStyle w:val="EYBulletedText1"/>
        <w:rPr>
          <w:rFonts w:cs="Arial"/>
        </w:rPr>
      </w:pPr>
      <w:r w:rsidRPr="00150CD2">
        <w:rPr>
          <w:rFonts w:cs="Arial"/>
          <w:b/>
        </w:rPr>
        <w:t>More frequent use of income support</w:t>
      </w:r>
      <w:r w:rsidR="005B4183" w:rsidRPr="00150CD2">
        <w:rPr>
          <w:rFonts w:cs="Arial"/>
          <w:b/>
        </w:rPr>
        <w:t xml:space="preserve"> and indicators of financial pressure</w:t>
      </w:r>
      <w:r w:rsidR="009B3FEF" w:rsidRPr="00150CD2">
        <w:rPr>
          <w:rFonts w:cs="Arial"/>
        </w:rPr>
        <w:t xml:space="preserve">. </w:t>
      </w:r>
      <w:r w:rsidR="005B4183" w:rsidRPr="00150CD2">
        <w:rPr>
          <w:rFonts w:cs="Arial"/>
        </w:rPr>
        <w:t xml:space="preserve">For DSS children, a higher proportion are cared for by sole parents, parents without employment income and/or are supported by benefit and other </w:t>
      </w:r>
      <w:r w:rsidR="00D34309" w:rsidRPr="00150CD2">
        <w:rPr>
          <w:rFonts w:cs="Arial"/>
        </w:rPr>
        <w:t>Ministry of Social Development (</w:t>
      </w:r>
      <w:r w:rsidR="005B4183" w:rsidRPr="00150CD2">
        <w:rPr>
          <w:rFonts w:cs="Arial"/>
        </w:rPr>
        <w:t>MSD</w:t>
      </w:r>
      <w:r w:rsidR="00D34309" w:rsidRPr="00150CD2">
        <w:rPr>
          <w:rFonts w:cs="Arial"/>
        </w:rPr>
        <w:t>)</w:t>
      </w:r>
      <w:r w:rsidR="005B4183" w:rsidRPr="00150CD2">
        <w:rPr>
          <w:rFonts w:cs="Arial"/>
        </w:rPr>
        <w:t xml:space="preserve"> income support payments</w:t>
      </w:r>
      <w:r w:rsidR="009B3FEF" w:rsidRPr="00150CD2">
        <w:rPr>
          <w:rFonts w:cs="Arial"/>
        </w:rPr>
        <w:t xml:space="preserve">. The majority of DSS </w:t>
      </w:r>
      <w:r w:rsidR="005B4183" w:rsidRPr="00150CD2">
        <w:rPr>
          <w:rFonts w:cs="Arial"/>
        </w:rPr>
        <w:t>young people and adults</w:t>
      </w:r>
      <w:r w:rsidR="009B3FEF" w:rsidRPr="00150CD2">
        <w:rPr>
          <w:rFonts w:cs="Arial"/>
        </w:rPr>
        <w:t xml:space="preserve"> </w:t>
      </w:r>
      <w:r w:rsidR="00413CBA" w:rsidRPr="00150CD2">
        <w:rPr>
          <w:rFonts w:cs="Arial"/>
        </w:rPr>
        <w:t>rely on benefit and other MSD income support payments</w:t>
      </w:r>
      <w:r w:rsidR="009B3FEF" w:rsidRPr="00150CD2">
        <w:rPr>
          <w:rFonts w:cs="Arial"/>
        </w:rPr>
        <w:t>.</w:t>
      </w:r>
    </w:p>
    <w:p w14:paraId="7BD653A9" w14:textId="74B59755" w:rsidR="00413CBA" w:rsidRPr="00150CD2" w:rsidRDefault="009B3FEF" w:rsidP="00AC14EB">
      <w:pPr>
        <w:pStyle w:val="EYBulletedText1"/>
        <w:rPr>
          <w:rFonts w:cs="Arial"/>
        </w:rPr>
      </w:pPr>
      <w:r w:rsidRPr="00150CD2">
        <w:rPr>
          <w:rFonts w:cs="Arial"/>
          <w:b/>
        </w:rPr>
        <w:t>D</w:t>
      </w:r>
      <w:r w:rsidR="00413CBA" w:rsidRPr="00150CD2">
        <w:rPr>
          <w:rFonts w:cs="Arial"/>
          <w:b/>
        </w:rPr>
        <w:t>ifferent pattern</w:t>
      </w:r>
      <w:r w:rsidRPr="00150CD2">
        <w:rPr>
          <w:rFonts w:cs="Arial"/>
          <w:b/>
        </w:rPr>
        <w:t>s</w:t>
      </w:r>
      <w:r w:rsidR="00413CBA" w:rsidRPr="00150CD2">
        <w:rPr>
          <w:rFonts w:cs="Arial"/>
          <w:b/>
        </w:rPr>
        <w:t xml:space="preserve"> of engagement with education</w:t>
      </w:r>
      <w:r w:rsidR="00413CBA" w:rsidRPr="00150CD2">
        <w:rPr>
          <w:rFonts w:cs="Arial"/>
        </w:rPr>
        <w:t xml:space="preserve">, with DSS young people much more likely to remain in school post age 18 up to age 21, less likely to enrol in post-school education and </w:t>
      </w:r>
      <w:r w:rsidR="003F3AA7" w:rsidRPr="00150CD2">
        <w:rPr>
          <w:rFonts w:cs="Arial"/>
        </w:rPr>
        <w:t xml:space="preserve">with </w:t>
      </w:r>
      <w:r w:rsidR="00413CBA" w:rsidRPr="00150CD2">
        <w:rPr>
          <w:rFonts w:cs="Arial"/>
        </w:rPr>
        <w:t>lower levels of formal school leaving qualifications</w:t>
      </w:r>
      <w:r w:rsidRPr="00150CD2">
        <w:rPr>
          <w:rFonts w:cs="Arial"/>
        </w:rPr>
        <w:t xml:space="preserve"> than non-DSS young people in MidCentral</w:t>
      </w:r>
      <w:r w:rsidR="00413CBA" w:rsidRPr="00150CD2">
        <w:rPr>
          <w:rFonts w:cs="Arial"/>
        </w:rPr>
        <w:t>.</w:t>
      </w:r>
      <w:r w:rsidRPr="00150CD2">
        <w:rPr>
          <w:rFonts w:cs="Arial"/>
        </w:rPr>
        <w:t xml:space="preserve"> More than half of DSS children receive additional support while at school.</w:t>
      </w:r>
    </w:p>
    <w:p w14:paraId="25F39917" w14:textId="75575777" w:rsidR="006E1E9D" w:rsidRPr="00150CD2" w:rsidRDefault="009B3FEF" w:rsidP="00AC14EB">
      <w:pPr>
        <w:pStyle w:val="EYBulletedText1"/>
        <w:rPr>
          <w:rFonts w:cs="Arial"/>
        </w:rPr>
      </w:pPr>
      <w:r w:rsidRPr="00150CD2">
        <w:rPr>
          <w:rFonts w:cs="Arial"/>
          <w:b/>
        </w:rPr>
        <w:t xml:space="preserve">Higher rates of transition into residential </w:t>
      </w:r>
      <w:r w:rsidR="00E05763" w:rsidRPr="00150CD2">
        <w:rPr>
          <w:rFonts w:cs="Arial"/>
          <w:b/>
        </w:rPr>
        <w:t>services</w:t>
      </w:r>
      <w:r w:rsidR="0024127F" w:rsidRPr="00150CD2">
        <w:rPr>
          <w:rFonts w:cs="Arial"/>
          <w:b/>
        </w:rPr>
        <w:t xml:space="preserve"> </w:t>
      </w:r>
      <w:r w:rsidRPr="00150CD2">
        <w:rPr>
          <w:rFonts w:cs="Arial"/>
        </w:rPr>
        <w:t xml:space="preserve">for DSS young people in MidCentral compared to DSS young people in other areas of New Zealand. </w:t>
      </w:r>
    </w:p>
    <w:p w14:paraId="6B8FE647" w14:textId="17F72E38" w:rsidR="009B3FEF" w:rsidRPr="00150CD2" w:rsidRDefault="009B3FEF" w:rsidP="00AC14EB">
      <w:pPr>
        <w:pStyle w:val="EYBulletedText1"/>
        <w:rPr>
          <w:rFonts w:cs="Arial"/>
        </w:rPr>
      </w:pPr>
      <w:r w:rsidRPr="00150CD2">
        <w:rPr>
          <w:rFonts w:cs="Arial"/>
          <w:b/>
        </w:rPr>
        <w:t>Low levels of employment</w:t>
      </w:r>
      <w:r w:rsidRPr="00150CD2">
        <w:rPr>
          <w:rFonts w:cs="Arial"/>
        </w:rPr>
        <w:t xml:space="preserve"> for DSS young people and adults</w:t>
      </w:r>
      <w:r w:rsidR="008B4B70" w:rsidRPr="00150CD2">
        <w:rPr>
          <w:rFonts w:cs="Arial"/>
        </w:rPr>
        <w:t>, both in MidCentral and nationally</w:t>
      </w:r>
      <w:r w:rsidRPr="00150CD2">
        <w:rPr>
          <w:rFonts w:cs="Arial"/>
        </w:rPr>
        <w:t>.</w:t>
      </w:r>
    </w:p>
    <w:p w14:paraId="204DAAC7" w14:textId="72B17E72" w:rsidR="009B3FEF" w:rsidRPr="00150CD2" w:rsidRDefault="008B4B70" w:rsidP="00AC14EB">
      <w:pPr>
        <w:pStyle w:val="EYBulletedText1"/>
        <w:rPr>
          <w:rFonts w:cs="Arial"/>
        </w:rPr>
      </w:pPr>
      <w:r w:rsidRPr="00150CD2">
        <w:rPr>
          <w:rFonts w:cs="Arial"/>
          <w:b/>
        </w:rPr>
        <w:t xml:space="preserve">Higher rates of involvement in </w:t>
      </w:r>
      <w:r w:rsidR="00961B68" w:rsidRPr="00150CD2">
        <w:rPr>
          <w:rFonts w:cs="Arial"/>
          <w:b/>
        </w:rPr>
        <w:t xml:space="preserve">Care and </w:t>
      </w:r>
      <w:r w:rsidRPr="00150CD2">
        <w:rPr>
          <w:rFonts w:cs="Arial"/>
          <w:b/>
        </w:rPr>
        <w:t xml:space="preserve">Protection reports </w:t>
      </w:r>
      <w:r w:rsidR="009F4531" w:rsidRPr="00150CD2">
        <w:rPr>
          <w:rFonts w:cs="Arial"/>
          <w:b/>
        </w:rPr>
        <w:t xml:space="preserve">of concern </w:t>
      </w:r>
      <w:r w:rsidRPr="00150CD2">
        <w:rPr>
          <w:rFonts w:cs="Arial"/>
          <w:b/>
        </w:rPr>
        <w:t>and offences</w:t>
      </w:r>
      <w:r w:rsidRPr="00150CD2">
        <w:rPr>
          <w:rFonts w:cs="Arial"/>
        </w:rPr>
        <w:t xml:space="preserve"> for MidCentral DSS children.</w:t>
      </w:r>
    </w:p>
    <w:p w14:paraId="28C54F07" w14:textId="05DE8935" w:rsidR="008B4B70" w:rsidRPr="00150CD2" w:rsidRDefault="008B4B70" w:rsidP="00AC14EB">
      <w:pPr>
        <w:pStyle w:val="EYBulletedText1"/>
        <w:rPr>
          <w:rFonts w:cs="Arial"/>
        </w:rPr>
      </w:pPr>
      <w:r w:rsidRPr="00150CD2">
        <w:rPr>
          <w:rFonts w:cs="Arial"/>
          <w:b/>
        </w:rPr>
        <w:t>School use of standdowns and suspensions</w:t>
      </w:r>
      <w:r w:rsidRPr="00150CD2">
        <w:rPr>
          <w:rFonts w:cs="Arial"/>
        </w:rPr>
        <w:t xml:space="preserve"> affecting a small but significant proportion of DSS children in MidCentral. The standdown rate for 5-14 year olds is higher than for both other MidCentral children and other DSS children outside MidCentral.</w:t>
      </w:r>
    </w:p>
    <w:p w14:paraId="6DAF5F0B" w14:textId="45CBCADA" w:rsidR="00103594" w:rsidRPr="00150CD2" w:rsidRDefault="00D84EAF" w:rsidP="00AC14EB">
      <w:pPr>
        <w:pStyle w:val="EYBulletedText1"/>
        <w:rPr>
          <w:rFonts w:cs="Arial"/>
        </w:rPr>
      </w:pPr>
      <w:r w:rsidRPr="00150CD2">
        <w:rPr>
          <w:rFonts w:cs="Arial"/>
          <w:b/>
        </w:rPr>
        <w:t>Lower levels of drivers licenc</w:t>
      </w:r>
      <w:r w:rsidR="0056224C" w:rsidRPr="00150CD2">
        <w:rPr>
          <w:rFonts w:cs="Arial"/>
          <w:b/>
        </w:rPr>
        <w:t>ing</w:t>
      </w:r>
      <w:r w:rsidRPr="00150CD2">
        <w:rPr>
          <w:rFonts w:cs="Arial"/>
        </w:rPr>
        <w:t xml:space="preserve"> for DSS adults, implying greater reliance on alternative transport options</w:t>
      </w:r>
      <w:r w:rsidR="00FE0F68" w:rsidRPr="00150CD2">
        <w:rPr>
          <w:rFonts w:cs="Arial"/>
        </w:rPr>
        <w:t>.</w:t>
      </w:r>
    </w:p>
    <w:p w14:paraId="413F53F3" w14:textId="77777777" w:rsidR="00593CED" w:rsidRPr="00150CD2" w:rsidRDefault="00D84EAF" w:rsidP="00593CED">
      <w:pPr>
        <w:pStyle w:val="EYBodytextwithparaspace"/>
        <w:rPr>
          <w:rFonts w:cs="Arial"/>
        </w:rPr>
      </w:pPr>
      <w:r w:rsidRPr="00150CD2">
        <w:rPr>
          <w:rFonts w:cs="Arial"/>
        </w:rPr>
        <w:t>Further variation was observed for the MidCentral DSS population by gender, ethnicity, disability type and SPA levels.</w:t>
      </w:r>
      <w:r w:rsidR="00A759D5" w:rsidRPr="00150CD2">
        <w:rPr>
          <w:rFonts w:cs="Arial"/>
        </w:rPr>
        <w:t xml:space="preserve"> </w:t>
      </w:r>
    </w:p>
    <w:p w14:paraId="40E65F4B" w14:textId="4B830BD9" w:rsidR="002B0627" w:rsidRPr="00150CD2" w:rsidRDefault="00625537" w:rsidP="00DE7D64">
      <w:pPr>
        <w:pStyle w:val="EYBodytextwithparaspace"/>
        <w:rPr>
          <w:rFonts w:cs="Arial"/>
        </w:rPr>
      </w:pPr>
      <w:r w:rsidRPr="00150CD2">
        <w:rPr>
          <w:rFonts w:cs="Arial"/>
        </w:rPr>
        <w:lastRenderedPageBreak/>
        <w:fldChar w:fldCharType="begin"/>
      </w:r>
      <w:r w:rsidRPr="00150CD2">
        <w:rPr>
          <w:rFonts w:cs="Arial"/>
        </w:rPr>
        <w:instrText xml:space="preserve"> REF _Ref40574138 \h </w:instrText>
      </w:r>
      <w:r w:rsidR="00150CD2">
        <w:rPr>
          <w:rFonts w:cs="Arial"/>
        </w:rPr>
        <w:instrText xml:space="preserve"> \* MERGEFORMAT </w:instrText>
      </w:r>
      <w:r w:rsidRPr="00150CD2">
        <w:rPr>
          <w:rFonts w:cs="Arial"/>
        </w:rPr>
      </w:r>
      <w:r w:rsidRPr="00150CD2">
        <w:rPr>
          <w:rFonts w:cs="Arial"/>
        </w:rPr>
        <w:fldChar w:fldCharType="separate"/>
      </w:r>
      <w:r w:rsidR="00053D9A" w:rsidRPr="00150CD2">
        <w:rPr>
          <w:rFonts w:cs="Arial"/>
        </w:rPr>
        <w:t xml:space="preserve">Figure </w:t>
      </w:r>
      <w:r w:rsidR="00053D9A" w:rsidRPr="00150CD2">
        <w:rPr>
          <w:rFonts w:cs="Arial"/>
          <w:noProof/>
        </w:rPr>
        <w:t>1</w:t>
      </w:r>
      <w:r w:rsidRPr="00150CD2">
        <w:rPr>
          <w:rFonts w:cs="Arial"/>
        </w:rPr>
        <w:fldChar w:fldCharType="end"/>
      </w:r>
      <w:r w:rsidRPr="00150CD2">
        <w:rPr>
          <w:rFonts w:cs="Arial"/>
        </w:rPr>
        <w:t xml:space="preserve"> highlights some key outcome and service contact indicator comparisons between MidCentral DSS clients, other people in the MidCentral region and DSS clients in the rest of New Zealand </w:t>
      </w:r>
      <w:r w:rsidR="00175494" w:rsidRPr="00150CD2">
        <w:rPr>
          <w:rFonts w:cs="Arial"/>
        </w:rPr>
        <w:t>outside t</w:t>
      </w:r>
      <w:r w:rsidRPr="00150CD2">
        <w:rPr>
          <w:rFonts w:cs="Arial"/>
        </w:rPr>
        <w:t xml:space="preserve">he MidCentral region. Further information for MidCentral DSS clients is described by age group in Section </w:t>
      </w:r>
      <w:r w:rsidRPr="00150CD2">
        <w:rPr>
          <w:rFonts w:cs="Arial"/>
        </w:rPr>
        <w:fldChar w:fldCharType="begin"/>
      </w:r>
      <w:r w:rsidRPr="00150CD2">
        <w:rPr>
          <w:rFonts w:cs="Arial"/>
        </w:rPr>
        <w:instrText xml:space="preserve"> REF _Ref34056682 \r \h </w:instrText>
      </w:r>
      <w:r w:rsidR="00150CD2">
        <w:rPr>
          <w:rFonts w:cs="Arial"/>
        </w:rPr>
        <w:instrText xml:space="preserve"> \* MERGEFORMAT </w:instrText>
      </w:r>
      <w:r w:rsidRPr="00150CD2">
        <w:rPr>
          <w:rFonts w:cs="Arial"/>
        </w:rPr>
      </w:r>
      <w:r w:rsidRPr="00150CD2">
        <w:rPr>
          <w:rFonts w:cs="Arial"/>
        </w:rPr>
        <w:fldChar w:fldCharType="separate"/>
      </w:r>
      <w:r w:rsidR="00053D9A" w:rsidRPr="00150CD2">
        <w:rPr>
          <w:rFonts w:cs="Arial"/>
        </w:rPr>
        <w:t>4</w:t>
      </w:r>
      <w:r w:rsidRPr="00150CD2">
        <w:rPr>
          <w:rFonts w:cs="Arial"/>
        </w:rPr>
        <w:fldChar w:fldCharType="end"/>
      </w:r>
      <w:r w:rsidRPr="00150CD2">
        <w:rPr>
          <w:rFonts w:cs="Arial"/>
        </w:rPr>
        <w:t xml:space="preserve">, with information for national DSS clients described in </w:t>
      </w:r>
      <w:r w:rsidRPr="00150CD2">
        <w:rPr>
          <w:rFonts w:cs="Arial"/>
        </w:rPr>
        <w:fldChar w:fldCharType="begin"/>
      </w:r>
      <w:r w:rsidRPr="00150CD2">
        <w:rPr>
          <w:rFonts w:cs="Arial"/>
        </w:rPr>
        <w:instrText xml:space="preserve"> REF _Ref34055366 \r \h </w:instrText>
      </w:r>
      <w:r w:rsidR="00150CD2">
        <w:rPr>
          <w:rFonts w:cs="Arial"/>
        </w:rPr>
        <w:instrText xml:space="preserve"> \* MERGEFORMAT </w:instrText>
      </w:r>
      <w:r w:rsidRPr="00150CD2">
        <w:rPr>
          <w:rFonts w:cs="Arial"/>
        </w:rPr>
      </w:r>
      <w:r w:rsidRPr="00150CD2">
        <w:rPr>
          <w:rFonts w:cs="Arial"/>
        </w:rPr>
        <w:fldChar w:fldCharType="separate"/>
      </w:r>
      <w:r w:rsidR="00053D9A" w:rsidRPr="00150CD2">
        <w:rPr>
          <w:rFonts w:cs="Arial"/>
        </w:rPr>
        <w:t>Appendix H</w:t>
      </w:r>
      <w:r w:rsidRPr="00150CD2">
        <w:rPr>
          <w:rFonts w:cs="Arial"/>
        </w:rPr>
        <w:fldChar w:fldCharType="end"/>
      </w:r>
      <w:r w:rsidRPr="00150CD2">
        <w:rPr>
          <w:rFonts w:cs="Arial"/>
        </w:rPr>
        <w:t>.</w:t>
      </w:r>
    </w:p>
    <w:p w14:paraId="077700E3" w14:textId="02E1D0BE" w:rsidR="00C11CE4" w:rsidRPr="00150CD2" w:rsidRDefault="00C11CE4" w:rsidP="0024127F">
      <w:pPr>
        <w:pStyle w:val="Caption"/>
        <w:rPr>
          <w:rFonts w:cs="Arial"/>
        </w:rPr>
      </w:pPr>
      <w:bookmarkStart w:id="7" w:name="_Ref40574138"/>
      <w:r w:rsidRPr="00150CD2">
        <w:rPr>
          <w:rFonts w:cs="Arial"/>
        </w:rPr>
        <w:t xml:space="preserve">Figure </w:t>
      </w:r>
      <w:r w:rsidRPr="00150CD2">
        <w:rPr>
          <w:rFonts w:cs="Arial"/>
        </w:rPr>
        <w:fldChar w:fldCharType="begin"/>
      </w:r>
      <w:r w:rsidRPr="00150CD2">
        <w:rPr>
          <w:rFonts w:cs="Arial"/>
        </w:rPr>
        <w:instrText xml:space="preserve"> SEQ Figure \* ARABIC </w:instrText>
      </w:r>
      <w:r w:rsidRPr="00150CD2">
        <w:rPr>
          <w:rFonts w:cs="Arial"/>
        </w:rPr>
        <w:fldChar w:fldCharType="separate"/>
      </w:r>
      <w:r w:rsidR="00053D9A" w:rsidRPr="00150CD2">
        <w:rPr>
          <w:rFonts w:cs="Arial"/>
          <w:noProof/>
        </w:rPr>
        <w:t>1</w:t>
      </w:r>
      <w:r w:rsidRPr="00150CD2">
        <w:rPr>
          <w:rFonts w:cs="Arial"/>
        </w:rPr>
        <w:fldChar w:fldCharType="end"/>
      </w:r>
      <w:bookmarkEnd w:id="7"/>
      <w:r w:rsidRPr="00150CD2">
        <w:rPr>
          <w:rFonts w:cs="Arial"/>
        </w:rPr>
        <w:t>: Selected outcome and service contact indicators for MidCentral DSS clients, other DSS clients in New Zealand and other MidCentral people who are not DSS clients</w:t>
      </w:r>
    </w:p>
    <w:tbl>
      <w:tblPr>
        <w:tblStyle w:val="TableGrid1"/>
        <w:tblW w:w="5000" w:type="pct"/>
        <w:tblLayout w:type="fixed"/>
        <w:tblCellMar>
          <w:top w:w="58" w:type="dxa"/>
          <w:left w:w="115" w:type="dxa"/>
          <w:bottom w:w="58" w:type="dxa"/>
          <w:right w:w="115" w:type="dxa"/>
        </w:tblCellMar>
        <w:tblLook w:val="04A0" w:firstRow="1" w:lastRow="0" w:firstColumn="1" w:lastColumn="0" w:noHBand="0" w:noVBand="1"/>
        <w:tblCaption w:val="Figure 1 - Selected indicators for MidCentral DSS clients, other DSS clients and other MidCentral people"/>
        <w:tblDescription w:val="Figure 1 chart highlights differences in selected indicators between MidCentral DSS clients, other DSS clients in New Zealand and other MidCentral people who are not DSS clients.&#10;Below is a description of the key differences:&#10;&#10;1. Health service contact: A higher proportion of MidCentral DSS children aged 5-14 had Ambulatory Sensitive Hospitalisations over a 3 year period, compared with other children in MidCentral. &#10;&#10;2. Family income: A smaller proportion of MidCentral DSS children aged 5-14 had at least one parent/caregiver with employment income over a 3 year period, compared with other DSS children outside MidCentral and other MidCentral children.&#10;&#10;3. Transition to residential services: A higher proportion of MidCentral DSS young people transitioned into residential services over a 3 year period, compared with other DSS young people outside MidCentral.&#10;&#10;4. Education and employment: A smaller proportion of MidCentral DSS young people aged 15-24 were in education, employment or training for some/all of the 3 year period, compared to other young people in MidCentral.&#10;&#10;5. Employment and income: A smaller proportion of MidCentral DSS adults aged 25-64 received employment income over the 3 year period, compared to other DSS adults in MidCentral.&#10;&#10;6. Transport: A smaller proportion of MidCentral DSS adults aged 25-64 had a full drivers licence, compared to other DSS adults in MidCentral."/>
      </w:tblPr>
      <w:tblGrid>
        <w:gridCol w:w="3599"/>
        <w:gridCol w:w="1807"/>
        <w:gridCol w:w="1789"/>
        <w:gridCol w:w="1824"/>
      </w:tblGrid>
      <w:tr w:rsidR="00322EEB" w:rsidRPr="00150CD2" w14:paraId="42690429" w14:textId="77777777" w:rsidTr="00DF715E">
        <w:trPr>
          <w:tblHeader/>
        </w:trPr>
        <w:tc>
          <w:tcPr>
            <w:tcW w:w="1995" w:type="pct"/>
            <w:tcBorders>
              <w:bottom w:val="single" w:sz="4" w:space="0" w:color="auto"/>
              <w:right w:val="nil"/>
            </w:tcBorders>
            <w:shd w:val="clear" w:color="auto" w:fill="F2F2F2"/>
          </w:tcPr>
          <w:p w14:paraId="30310215" w14:textId="4550A250" w:rsidR="00322EEB" w:rsidRPr="00150CD2" w:rsidRDefault="00322EEB" w:rsidP="00322EEB">
            <w:pPr>
              <w:autoSpaceDE/>
              <w:autoSpaceDN/>
              <w:adjustRightInd/>
              <w:spacing w:before="60" w:after="60"/>
              <w:rPr>
                <w:rFonts w:cs="Arial"/>
                <w:b/>
                <w:color w:val="808080"/>
                <w:sz w:val="24"/>
                <w:szCs w:val="24"/>
                <w:lang w:val="en-NZ"/>
              </w:rPr>
            </w:pPr>
            <w:r w:rsidRPr="00150CD2">
              <w:rPr>
                <w:rFonts w:cs="Arial"/>
                <w:b/>
                <w:color w:val="808080"/>
                <w:sz w:val="24"/>
                <w:szCs w:val="24"/>
                <w:lang w:val="en-NZ"/>
              </w:rPr>
              <w:t>Outcome and service contact indicator</w:t>
            </w:r>
          </w:p>
        </w:tc>
        <w:tc>
          <w:tcPr>
            <w:tcW w:w="1002" w:type="pct"/>
            <w:tcBorders>
              <w:left w:val="nil"/>
              <w:right w:val="nil"/>
            </w:tcBorders>
            <w:shd w:val="clear" w:color="auto" w:fill="F2F2F2"/>
          </w:tcPr>
          <w:p w14:paraId="56F4C870" w14:textId="1D7780D9" w:rsidR="00322EEB" w:rsidRPr="00150CD2" w:rsidRDefault="00322EEB" w:rsidP="00DF715E">
            <w:pPr>
              <w:autoSpaceDE/>
              <w:autoSpaceDN/>
              <w:adjustRightInd/>
              <w:spacing w:before="60" w:after="60"/>
              <w:jc w:val="center"/>
              <w:rPr>
                <w:rFonts w:cs="Arial"/>
                <w:b/>
                <w:color w:val="808080"/>
                <w:sz w:val="24"/>
                <w:szCs w:val="24"/>
                <w:lang w:val="en-NZ"/>
              </w:rPr>
            </w:pPr>
            <w:r w:rsidRPr="00150CD2">
              <w:rPr>
                <w:rFonts w:cs="Arial"/>
                <w:b/>
                <w:color w:val="808080"/>
                <w:sz w:val="24"/>
                <w:szCs w:val="24"/>
                <w:lang w:val="en-NZ"/>
              </w:rPr>
              <w:t>MidCentral DSS clients</w:t>
            </w:r>
          </w:p>
        </w:tc>
        <w:tc>
          <w:tcPr>
            <w:tcW w:w="992" w:type="pct"/>
            <w:tcBorders>
              <w:left w:val="nil"/>
              <w:right w:val="nil"/>
            </w:tcBorders>
            <w:shd w:val="clear" w:color="auto" w:fill="F2F2F2"/>
          </w:tcPr>
          <w:p w14:paraId="6329A4DC" w14:textId="0C96C0A1" w:rsidR="00322EEB" w:rsidRPr="00150CD2" w:rsidRDefault="00322EEB" w:rsidP="00DF715E">
            <w:pPr>
              <w:autoSpaceDE/>
              <w:autoSpaceDN/>
              <w:adjustRightInd/>
              <w:spacing w:before="60" w:after="60"/>
              <w:jc w:val="center"/>
              <w:rPr>
                <w:rFonts w:cs="Arial"/>
                <w:b/>
                <w:color w:val="808080"/>
                <w:sz w:val="24"/>
                <w:szCs w:val="24"/>
                <w:lang w:val="en-NZ"/>
              </w:rPr>
            </w:pPr>
            <w:r w:rsidRPr="00150CD2">
              <w:rPr>
                <w:rFonts w:cs="Arial"/>
                <w:b/>
                <w:color w:val="808080"/>
                <w:sz w:val="24"/>
                <w:szCs w:val="24"/>
                <w:lang w:val="en-NZ"/>
              </w:rPr>
              <w:t>DSS clients outside MidCentral</w:t>
            </w:r>
          </w:p>
        </w:tc>
        <w:tc>
          <w:tcPr>
            <w:tcW w:w="1011" w:type="pct"/>
            <w:tcBorders>
              <w:left w:val="nil"/>
            </w:tcBorders>
            <w:shd w:val="clear" w:color="auto" w:fill="F2F2F2"/>
          </w:tcPr>
          <w:p w14:paraId="4FA685D4" w14:textId="378F6D5D" w:rsidR="00322EEB" w:rsidRPr="00150CD2" w:rsidRDefault="00322EEB" w:rsidP="00DF715E">
            <w:pPr>
              <w:autoSpaceDE/>
              <w:autoSpaceDN/>
              <w:adjustRightInd/>
              <w:spacing w:before="60" w:after="60"/>
              <w:jc w:val="center"/>
              <w:rPr>
                <w:rFonts w:cs="Arial"/>
                <w:b/>
                <w:color w:val="808080"/>
                <w:sz w:val="24"/>
                <w:szCs w:val="24"/>
                <w:lang w:val="en-NZ"/>
              </w:rPr>
            </w:pPr>
            <w:r w:rsidRPr="00150CD2">
              <w:rPr>
                <w:rFonts w:cs="Arial"/>
                <w:b/>
                <w:color w:val="808080"/>
                <w:sz w:val="24"/>
                <w:szCs w:val="24"/>
                <w:lang w:val="en-NZ"/>
              </w:rPr>
              <w:t>Other MidCentral people</w:t>
            </w:r>
            <w:r w:rsidR="00C11CE4" w:rsidRPr="00150CD2">
              <w:rPr>
                <w:rStyle w:val="FootnoteReference"/>
                <w:rFonts w:ascii="Arial" w:hAnsi="Arial" w:cs="Arial"/>
                <w:b/>
                <w:color w:val="808080"/>
                <w:sz w:val="24"/>
                <w:szCs w:val="24"/>
                <w:lang w:val="en-NZ"/>
              </w:rPr>
              <w:footnoteReference w:id="3"/>
            </w:r>
          </w:p>
        </w:tc>
      </w:tr>
      <w:tr w:rsidR="00593CED" w:rsidRPr="00150CD2" w14:paraId="27F4CDBC" w14:textId="77777777" w:rsidTr="00BB45F4">
        <w:trPr>
          <w:trHeight w:val="1152"/>
        </w:trPr>
        <w:tc>
          <w:tcPr>
            <w:tcW w:w="1995" w:type="pct"/>
            <w:tcBorders>
              <w:top w:val="single" w:sz="4" w:space="0" w:color="BFBFBF"/>
              <w:bottom w:val="single" w:sz="4" w:space="0" w:color="A6A6A6" w:themeColor="background1" w:themeShade="A6"/>
              <w:right w:val="nil"/>
            </w:tcBorders>
            <w:vAlign w:val="center"/>
          </w:tcPr>
          <w:p w14:paraId="2122B8F8" w14:textId="761EF167" w:rsidR="00593CED" w:rsidRPr="00150CD2" w:rsidRDefault="00593CED" w:rsidP="00DF715E">
            <w:pPr>
              <w:pStyle w:val="EYBodytextwithoutparaspace"/>
              <w:rPr>
                <w:rFonts w:cs="Arial"/>
                <w:b/>
                <w:szCs w:val="24"/>
              </w:rPr>
            </w:pPr>
            <w:r w:rsidRPr="00150CD2">
              <w:rPr>
                <w:rFonts w:cs="Arial"/>
                <w:b/>
                <w:szCs w:val="24"/>
              </w:rPr>
              <w:t>Health service contact</w:t>
            </w:r>
          </w:p>
          <w:p w14:paraId="2EC48A45" w14:textId="415042C8" w:rsidR="00593CED" w:rsidRPr="00150CD2" w:rsidRDefault="00593CED" w:rsidP="00DF715E">
            <w:pPr>
              <w:pStyle w:val="EYBodytextwithoutparaspace"/>
              <w:rPr>
                <w:rFonts w:cs="Arial"/>
                <w:szCs w:val="24"/>
              </w:rPr>
            </w:pPr>
            <w:r w:rsidRPr="00150CD2">
              <w:rPr>
                <w:rFonts w:cs="Arial"/>
                <w:szCs w:val="24"/>
              </w:rPr>
              <w:t>Proportion of children aged 5-14 with Ambulatory Sensitive Hospitalisations over a 3 year period</w:t>
            </w:r>
          </w:p>
        </w:tc>
        <w:tc>
          <w:tcPr>
            <w:tcW w:w="3005" w:type="pct"/>
            <w:gridSpan w:val="3"/>
            <w:tcBorders>
              <w:left w:val="nil"/>
              <w:bottom w:val="single" w:sz="4" w:space="0" w:color="A6A6A6" w:themeColor="background1" w:themeShade="A6"/>
            </w:tcBorders>
          </w:tcPr>
          <w:p w14:paraId="44F93861" w14:textId="720F9B4F" w:rsidR="00593CED" w:rsidRPr="00150CD2" w:rsidRDefault="007E111E" w:rsidP="00BB45F4">
            <w:pPr>
              <w:autoSpaceDE/>
              <w:autoSpaceDN/>
              <w:adjustRightInd/>
              <w:spacing w:before="20" w:after="20"/>
              <w:rPr>
                <w:rFonts w:cs="Arial"/>
                <w:sz w:val="24"/>
                <w:szCs w:val="24"/>
                <w:lang w:val="en-US"/>
              </w:rPr>
            </w:pPr>
            <w:r w:rsidRPr="00150CD2">
              <w:rPr>
                <w:rFonts w:cs="Arial"/>
                <w:noProof/>
                <w:sz w:val="24"/>
                <w:szCs w:val="24"/>
                <w:lang w:val="en-US"/>
              </w:rPr>
              <w:drawing>
                <wp:inline distT="0" distB="0" distL="0" distR="0" wp14:anchorId="6B17E50E" wp14:editId="51C22295">
                  <wp:extent cx="3253563" cy="874395"/>
                  <wp:effectExtent l="0" t="0" r="4445" b="1905"/>
                  <wp:docPr id="203" name="Picture 203" descr="Health service contact: A higher proportion of MidCentral DSS children aged 5-14 had Ambulatory Sensitive Hospitalisations over a 3 year period, compared with other children in MidCent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4454" t="2805" r="7786" b="81769"/>
                          <a:stretch/>
                        </pic:blipFill>
                        <pic:spPr bwMode="auto">
                          <a:xfrm>
                            <a:off x="0" y="0"/>
                            <a:ext cx="3255100" cy="8748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93CED" w:rsidRPr="00150CD2" w14:paraId="755D50A5" w14:textId="77777777" w:rsidTr="00BB45F4">
        <w:trPr>
          <w:trHeight w:val="1152"/>
        </w:trPr>
        <w:tc>
          <w:tcPr>
            <w:tcW w:w="1995" w:type="pct"/>
            <w:tcBorders>
              <w:top w:val="single" w:sz="4" w:space="0" w:color="A6A6A6" w:themeColor="background1" w:themeShade="A6"/>
              <w:bottom w:val="single" w:sz="4" w:space="0" w:color="A6A6A6" w:themeColor="background1" w:themeShade="A6"/>
              <w:right w:val="nil"/>
            </w:tcBorders>
            <w:vAlign w:val="center"/>
          </w:tcPr>
          <w:p w14:paraId="78902B9B" w14:textId="77777777" w:rsidR="00593CED" w:rsidRPr="00150CD2" w:rsidRDefault="00593CED" w:rsidP="00DF715E">
            <w:pPr>
              <w:pStyle w:val="EYBodytextwithoutparaspace"/>
              <w:rPr>
                <w:rFonts w:cs="Arial"/>
                <w:b/>
                <w:szCs w:val="24"/>
              </w:rPr>
            </w:pPr>
            <w:r w:rsidRPr="00150CD2">
              <w:rPr>
                <w:rFonts w:cs="Arial"/>
                <w:b/>
                <w:szCs w:val="24"/>
              </w:rPr>
              <w:t>Family income</w:t>
            </w:r>
          </w:p>
          <w:p w14:paraId="1D82325B" w14:textId="0019CB12" w:rsidR="00593CED" w:rsidRPr="00150CD2" w:rsidRDefault="00593CED" w:rsidP="00DF715E">
            <w:pPr>
              <w:pStyle w:val="EYBodytextwithoutparaspace"/>
              <w:rPr>
                <w:rFonts w:cs="Arial"/>
                <w:szCs w:val="24"/>
              </w:rPr>
            </w:pPr>
            <w:r w:rsidRPr="00150CD2">
              <w:rPr>
                <w:rFonts w:cs="Arial"/>
                <w:szCs w:val="24"/>
              </w:rPr>
              <w:t>Proportion of children aged 5-14 with parent/caregiver(s) with employment income for at least one year over a 3 year period</w:t>
            </w:r>
          </w:p>
        </w:tc>
        <w:tc>
          <w:tcPr>
            <w:tcW w:w="3005" w:type="pct"/>
            <w:gridSpan w:val="3"/>
            <w:tcBorders>
              <w:top w:val="single" w:sz="4" w:space="0" w:color="A6A6A6" w:themeColor="background1" w:themeShade="A6"/>
              <w:left w:val="nil"/>
              <w:bottom w:val="single" w:sz="4" w:space="0" w:color="A6A6A6" w:themeColor="background1" w:themeShade="A6"/>
            </w:tcBorders>
          </w:tcPr>
          <w:p w14:paraId="26D285A2" w14:textId="529271D3" w:rsidR="00593CED" w:rsidRPr="00150CD2" w:rsidRDefault="007E111E" w:rsidP="00BB45F4">
            <w:pPr>
              <w:autoSpaceDE/>
              <w:autoSpaceDN/>
              <w:adjustRightInd/>
              <w:spacing w:before="20" w:after="20"/>
              <w:rPr>
                <w:rFonts w:cs="Arial"/>
                <w:sz w:val="24"/>
                <w:szCs w:val="24"/>
                <w:lang w:val="en-US"/>
              </w:rPr>
            </w:pPr>
            <w:r w:rsidRPr="00150CD2">
              <w:rPr>
                <w:rFonts w:cs="Arial"/>
                <w:noProof/>
                <w:sz w:val="24"/>
                <w:szCs w:val="24"/>
                <w:lang w:val="en-US"/>
              </w:rPr>
              <w:drawing>
                <wp:inline distT="0" distB="0" distL="0" distR="0" wp14:anchorId="57258C62" wp14:editId="5A01B673">
                  <wp:extent cx="3264195" cy="866140"/>
                  <wp:effectExtent l="0" t="0" r="0" b="0"/>
                  <wp:docPr id="204" name="Picture 204" descr="Family income: A smaller proportion of MidCentral DSS children aged 5-14 had at least one parent/caregiver with employment income over a 3 year period, compared with other DSS children outside MidCentral and other MidCentral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4454" t="18509" r="7468" b="66206"/>
                          <a:stretch/>
                        </pic:blipFill>
                        <pic:spPr bwMode="auto">
                          <a:xfrm>
                            <a:off x="0" y="0"/>
                            <a:ext cx="3266893" cy="86685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93CED" w:rsidRPr="00150CD2" w14:paraId="26CD4068" w14:textId="77777777" w:rsidTr="00BB45F4">
        <w:trPr>
          <w:trHeight w:val="1152"/>
        </w:trPr>
        <w:tc>
          <w:tcPr>
            <w:tcW w:w="1995" w:type="pct"/>
            <w:tcBorders>
              <w:top w:val="single" w:sz="4" w:space="0" w:color="A6A6A6" w:themeColor="background1" w:themeShade="A6"/>
              <w:bottom w:val="single" w:sz="4" w:space="0" w:color="A6A6A6" w:themeColor="background1" w:themeShade="A6"/>
              <w:right w:val="nil"/>
            </w:tcBorders>
            <w:vAlign w:val="center"/>
          </w:tcPr>
          <w:p w14:paraId="496DB094" w14:textId="19488DA5" w:rsidR="00593CED" w:rsidRPr="00150CD2" w:rsidRDefault="00593CED" w:rsidP="00DF715E">
            <w:pPr>
              <w:pStyle w:val="EYBodytextwithoutparaspace"/>
              <w:rPr>
                <w:rFonts w:cs="Arial"/>
                <w:b/>
                <w:szCs w:val="24"/>
              </w:rPr>
            </w:pPr>
            <w:r w:rsidRPr="00150CD2">
              <w:rPr>
                <w:rFonts w:cs="Arial"/>
                <w:b/>
                <w:szCs w:val="24"/>
              </w:rPr>
              <w:t xml:space="preserve">Transitions to residential </w:t>
            </w:r>
            <w:r w:rsidR="00E05763" w:rsidRPr="00150CD2">
              <w:rPr>
                <w:rFonts w:cs="Arial"/>
                <w:b/>
                <w:szCs w:val="24"/>
              </w:rPr>
              <w:t>services</w:t>
            </w:r>
          </w:p>
          <w:p w14:paraId="74427281" w14:textId="574DC76E" w:rsidR="00593CED" w:rsidRPr="00150CD2" w:rsidRDefault="00593CED" w:rsidP="00DF715E">
            <w:pPr>
              <w:pStyle w:val="EYBodytextwithoutparaspace"/>
              <w:rPr>
                <w:rFonts w:cs="Arial"/>
                <w:szCs w:val="24"/>
              </w:rPr>
            </w:pPr>
            <w:r w:rsidRPr="00150CD2">
              <w:rPr>
                <w:rFonts w:cs="Arial"/>
                <w:szCs w:val="24"/>
              </w:rPr>
              <w:t xml:space="preserve">Proportion of young people aged 15-24 who transitioned into residential </w:t>
            </w:r>
            <w:r w:rsidR="00E05763" w:rsidRPr="00150CD2">
              <w:rPr>
                <w:rFonts w:cs="Arial"/>
                <w:szCs w:val="24"/>
              </w:rPr>
              <w:t xml:space="preserve">services </w:t>
            </w:r>
            <w:r w:rsidRPr="00150CD2">
              <w:rPr>
                <w:rFonts w:cs="Arial"/>
                <w:szCs w:val="24"/>
              </w:rPr>
              <w:t>over a 3 year period</w:t>
            </w:r>
          </w:p>
        </w:tc>
        <w:tc>
          <w:tcPr>
            <w:tcW w:w="3005" w:type="pct"/>
            <w:gridSpan w:val="3"/>
            <w:tcBorders>
              <w:top w:val="single" w:sz="4" w:space="0" w:color="A6A6A6" w:themeColor="background1" w:themeShade="A6"/>
              <w:left w:val="nil"/>
              <w:bottom w:val="single" w:sz="4" w:space="0" w:color="A6A6A6" w:themeColor="background1" w:themeShade="A6"/>
            </w:tcBorders>
          </w:tcPr>
          <w:p w14:paraId="342FBF5E" w14:textId="7308BC5B" w:rsidR="00593CED" w:rsidRPr="00150CD2" w:rsidRDefault="007E111E" w:rsidP="00BB45F4">
            <w:pPr>
              <w:autoSpaceDE/>
              <w:autoSpaceDN/>
              <w:adjustRightInd/>
              <w:spacing w:before="20" w:after="20"/>
              <w:rPr>
                <w:rFonts w:cs="Arial"/>
                <w:sz w:val="24"/>
                <w:szCs w:val="24"/>
                <w:lang w:val="en-US"/>
              </w:rPr>
            </w:pPr>
            <w:r w:rsidRPr="00150CD2">
              <w:rPr>
                <w:rFonts w:cs="Arial"/>
                <w:noProof/>
                <w:sz w:val="24"/>
                <w:szCs w:val="24"/>
                <w:lang w:val="en-US"/>
              </w:rPr>
              <w:drawing>
                <wp:inline distT="0" distB="0" distL="0" distR="0" wp14:anchorId="312ED4D0" wp14:editId="36D7E191">
                  <wp:extent cx="3200400" cy="858520"/>
                  <wp:effectExtent l="0" t="0" r="0" b="0"/>
                  <wp:docPr id="205" name="Picture 205" descr="Transition to residential services: A higher proportion of MidCentral DSS young people transitioned into residential services over a 3 year period, compared with other DSS young people outside Mid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4454" t="34354" r="9222" b="50501"/>
                          <a:stretch/>
                        </pic:blipFill>
                        <pic:spPr bwMode="auto">
                          <a:xfrm>
                            <a:off x="0" y="0"/>
                            <a:ext cx="3201824" cy="8589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93CED" w:rsidRPr="00150CD2" w14:paraId="14A836BE" w14:textId="77777777" w:rsidTr="00BB45F4">
        <w:trPr>
          <w:trHeight w:val="1152"/>
        </w:trPr>
        <w:tc>
          <w:tcPr>
            <w:tcW w:w="1995" w:type="pct"/>
            <w:tcBorders>
              <w:top w:val="single" w:sz="4" w:space="0" w:color="A6A6A6" w:themeColor="background1" w:themeShade="A6"/>
              <w:bottom w:val="single" w:sz="4" w:space="0" w:color="A6A6A6" w:themeColor="background1" w:themeShade="A6"/>
              <w:right w:val="nil"/>
            </w:tcBorders>
            <w:vAlign w:val="center"/>
          </w:tcPr>
          <w:p w14:paraId="748BA70A" w14:textId="77777777" w:rsidR="00593CED" w:rsidRPr="00150CD2" w:rsidRDefault="00593CED" w:rsidP="00DF715E">
            <w:pPr>
              <w:pStyle w:val="EYBodytextwithoutparaspace"/>
              <w:rPr>
                <w:rFonts w:cs="Arial"/>
                <w:b/>
                <w:szCs w:val="24"/>
              </w:rPr>
            </w:pPr>
            <w:r w:rsidRPr="00150CD2">
              <w:rPr>
                <w:rFonts w:cs="Arial"/>
                <w:b/>
                <w:szCs w:val="24"/>
              </w:rPr>
              <w:t>Education</w:t>
            </w:r>
            <w:r w:rsidR="00A14171" w:rsidRPr="00150CD2">
              <w:rPr>
                <w:rFonts w:cs="Arial"/>
                <w:b/>
                <w:bCs/>
                <w:szCs w:val="24"/>
              </w:rPr>
              <w:t xml:space="preserve"> and employment</w:t>
            </w:r>
          </w:p>
          <w:p w14:paraId="6ADBE9A2" w14:textId="02ADC94E" w:rsidR="00593CED" w:rsidRPr="00150CD2" w:rsidRDefault="00593CED" w:rsidP="00DF715E">
            <w:pPr>
              <w:pStyle w:val="EYBodytextwithoutparaspace"/>
              <w:rPr>
                <w:rFonts w:cs="Arial"/>
                <w:szCs w:val="24"/>
              </w:rPr>
            </w:pPr>
            <w:r w:rsidRPr="00150CD2">
              <w:rPr>
                <w:rFonts w:cs="Arial"/>
                <w:szCs w:val="24"/>
              </w:rPr>
              <w:t>Proportion of young people aged 15-</w:t>
            </w:r>
            <w:r w:rsidR="00A14171" w:rsidRPr="00150CD2">
              <w:rPr>
                <w:rFonts w:cs="Arial"/>
                <w:szCs w:val="24"/>
              </w:rPr>
              <w:t>24</w:t>
            </w:r>
            <w:r w:rsidRPr="00150CD2">
              <w:rPr>
                <w:rFonts w:cs="Arial"/>
                <w:szCs w:val="24"/>
              </w:rPr>
              <w:t xml:space="preserve"> in education</w:t>
            </w:r>
            <w:r w:rsidR="00A14171" w:rsidRPr="00150CD2">
              <w:rPr>
                <w:rFonts w:cs="Arial"/>
                <w:szCs w:val="24"/>
              </w:rPr>
              <w:t>, employment or training</w:t>
            </w:r>
            <w:r w:rsidRPr="00150CD2">
              <w:rPr>
                <w:rFonts w:cs="Arial"/>
                <w:szCs w:val="24"/>
              </w:rPr>
              <w:t xml:space="preserve"> for some / all of the 3 year period</w:t>
            </w:r>
          </w:p>
        </w:tc>
        <w:tc>
          <w:tcPr>
            <w:tcW w:w="3005" w:type="pct"/>
            <w:gridSpan w:val="3"/>
            <w:tcBorders>
              <w:top w:val="single" w:sz="4" w:space="0" w:color="A6A6A6" w:themeColor="background1" w:themeShade="A6"/>
              <w:left w:val="nil"/>
              <w:bottom w:val="single" w:sz="4" w:space="0" w:color="A6A6A6" w:themeColor="background1" w:themeShade="A6"/>
            </w:tcBorders>
          </w:tcPr>
          <w:p w14:paraId="119ED042" w14:textId="6A084879" w:rsidR="00593CED" w:rsidRPr="00150CD2" w:rsidRDefault="007E111E" w:rsidP="00BB45F4">
            <w:pPr>
              <w:autoSpaceDE/>
              <w:autoSpaceDN/>
              <w:adjustRightInd/>
              <w:spacing w:before="20" w:after="20"/>
              <w:rPr>
                <w:rFonts w:cs="Arial"/>
                <w:sz w:val="24"/>
                <w:szCs w:val="24"/>
                <w:lang w:val="en-US"/>
              </w:rPr>
            </w:pPr>
            <w:r w:rsidRPr="00150CD2">
              <w:rPr>
                <w:rFonts w:cs="Arial"/>
                <w:noProof/>
                <w:sz w:val="24"/>
                <w:szCs w:val="24"/>
                <w:lang w:val="en-US"/>
              </w:rPr>
              <w:drawing>
                <wp:inline distT="0" distB="0" distL="0" distR="0" wp14:anchorId="5AD13DF2" wp14:editId="11B6C731">
                  <wp:extent cx="3296093" cy="866140"/>
                  <wp:effectExtent l="0" t="0" r="0" b="0"/>
                  <wp:docPr id="206" name="Picture 206" descr="Education and employment: A smaller proportion of MidCentral DSS young people aged 15-24 were in education, employment or training for some/all of the 3 year period, compared to other young people in Mid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4454" t="50199" r="6607" b="34515"/>
                          <a:stretch/>
                        </pic:blipFill>
                        <pic:spPr bwMode="auto">
                          <a:xfrm>
                            <a:off x="0" y="0"/>
                            <a:ext cx="3298818" cy="86685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93CED" w:rsidRPr="00150CD2" w14:paraId="7056FC4E" w14:textId="77777777" w:rsidTr="00BB45F4">
        <w:trPr>
          <w:trHeight w:val="1152"/>
        </w:trPr>
        <w:tc>
          <w:tcPr>
            <w:tcW w:w="1995" w:type="pct"/>
            <w:tcBorders>
              <w:top w:val="single" w:sz="4" w:space="0" w:color="A6A6A6" w:themeColor="background1" w:themeShade="A6"/>
              <w:bottom w:val="single" w:sz="4" w:space="0" w:color="A6A6A6" w:themeColor="background1" w:themeShade="A6"/>
              <w:right w:val="nil"/>
            </w:tcBorders>
            <w:vAlign w:val="center"/>
          </w:tcPr>
          <w:p w14:paraId="20F2EE1D" w14:textId="77777777" w:rsidR="00593CED" w:rsidRPr="00150CD2" w:rsidRDefault="00593CED" w:rsidP="00DF715E">
            <w:pPr>
              <w:pStyle w:val="EYBodytextwithoutparaspace"/>
              <w:rPr>
                <w:rFonts w:cs="Arial"/>
                <w:b/>
                <w:szCs w:val="24"/>
              </w:rPr>
            </w:pPr>
            <w:r w:rsidRPr="00150CD2">
              <w:rPr>
                <w:rFonts w:cs="Arial"/>
                <w:b/>
                <w:szCs w:val="24"/>
              </w:rPr>
              <w:t>Employment and income</w:t>
            </w:r>
          </w:p>
          <w:p w14:paraId="31B48A3B" w14:textId="27E4151F" w:rsidR="00593CED" w:rsidRPr="00150CD2" w:rsidRDefault="00593CED" w:rsidP="00DF715E">
            <w:pPr>
              <w:pStyle w:val="EYBodytextwithoutparaspace"/>
              <w:rPr>
                <w:rFonts w:cs="Arial"/>
                <w:szCs w:val="24"/>
              </w:rPr>
            </w:pPr>
            <w:r w:rsidRPr="00150CD2">
              <w:rPr>
                <w:rFonts w:cs="Arial"/>
                <w:szCs w:val="24"/>
              </w:rPr>
              <w:t>Proportion of adults aged 25-64 with employment income over $5k for at least one year over a 3 year period</w:t>
            </w:r>
          </w:p>
        </w:tc>
        <w:tc>
          <w:tcPr>
            <w:tcW w:w="3005" w:type="pct"/>
            <w:gridSpan w:val="3"/>
            <w:tcBorders>
              <w:top w:val="single" w:sz="4" w:space="0" w:color="A6A6A6" w:themeColor="background1" w:themeShade="A6"/>
              <w:left w:val="nil"/>
              <w:bottom w:val="single" w:sz="4" w:space="0" w:color="A6A6A6" w:themeColor="background1" w:themeShade="A6"/>
            </w:tcBorders>
          </w:tcPr>
          <w:p w14:paraId="7627CFAC" w14:textId="2BF0CE67" w:rsidR="00593CED" w:rsidRPr="00150CD2" w:rsidRDefault="00B262C7" w:rsidP="00BB45F4">
            <w:pPr>
              <w:autoSpaceDE/>
              <w:autoSpaceDN/>
              <w:adjustRightInd/>
              <w:spacing w:before="20" w:after="20"/>
              <w:rPr>
                <w:rFonts w:cs="Arial"/>
                <w:sz w:val="24"/>
                <w:szCs w:val="24"/>
                <w:lang w:val="en-US"/>
              </w:rPr>
            </w:pPr>
            <w:r w:rsidRPr="00150CD2">
              <w:rPr>
                <w:rFonts w:cs="Arial"/>
                <w:noProof/>
                <w:sz w:val="24"/>
                <w:szCs w:val="24"/>
                <w:lang w:val="en-US"/>
              </w:rPr>
              <w:drawing>
                <wp:inline distT="0" distB="0" distL="0" distR="0" wp14:anchorId="502B18E3" wp14:editId="4DB6CED6">
                  <wp:extent cx="3263900" cy="858520"/>
                  <wp:effectExtent l="0" t="0" r="0" b="0"/>
                  <wp:docPr id="207" name="Picture 207" descr="Employment and income: A smaller proportion of MidCentral DSS adults aged 25-64 received employment income over the 3 year period, compared to other DSS adults in Mid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4454" t="65903" r="7496" b="18949"/>
                          <a:stretch/>
                        </pic:blipFill>
                        <pic:spPr bwMode="auto">
                          <a:xfrm>
                            <a:off x="0" y="0"/>
                            <a:ext cx="3265858" cy="8590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93CED" w:rsidRPr="00150CD2" w14:paraId="40A87399" w14:textId="77777777" w:rsidTr="00BB45F4">
        <w:tc>
          <w:tcPr>
            <w:tcW w:w="1995" w:type="pct"/>
            <w:tcBorders>
              <w:top w:val="single" w:sz="4" w:space="0" w:color="A6A6A6" w:themeColor="background1" w:themeShade="A6"/>
              <w:right w:val="nil"/>
            </w:tcBorders>
          </w:tcPr>
          <w:p w14:paraId="61397D6D" w14:textId="77777777" w:rsidR="00593CED" w:rsidRPr="00150CD2" w:rsidRDefault="00593CED" w:rsidP="00DF715E">
            <w:pPr>
              <w:pStyle w:val="EYBodytextwithoutparaspace"/>
              <w:rPr>
                <w:rFonts w:cs="Arial"/>
                <w:b/>
                <w:szCs w:val="24"/>
              </w:rPr>
            </w:pPr>
            <w:r w:rsidRPr="00150CD2">
              <w:rPr>
                <w:rFonts w:cs="Arial"/>
                <w:b/>
                <w:szCs w:val="24"/>
              </w:rPr>
              <w:t>Transport</w:t>
            </w:r>
          </w:p>
          <w:p w14:paraId="0E6BC20E" w14:textId="7E6C81AE" w:rsidR="00593CED" w:rsidRPr="00150CD2" w:rsidRDefault="00593CED" w:rsidP="00DF715E">
            <w:pPr>
              <w:pStyle w:val="EYBodytextwithoutparaspace"/>
              <w:rPr>
                <w:rFonts w:cs="Arial"/>
                <w:szCs w:val="24"/>
              </w:rPr>
            </w:pPr>
            <w:r w:rsidRPr="00150CD2">
              <w:rPr>
                <w:rFonts w:cs="Arial"/>
                <w:szCs w:val="24"/>
              </w:rPr>
              <w:t xml:space="preserve">Proportion of adults aged 25-64 with </w:t>
            </w:r>
            <w:r w:rsidR="00175494" w:rsidRPr="00150CD2">
              <w:rPr>
                <w:rFonts w:cs="Arial"/>
                <w:szCs w:val="24"/>
              </w:rPr>
              <w:t xml:space="preserve">a </w:t>
            </w:r>
            <w:r w:rsidRPr="00150CD2">
              <w:rPr>
                <w:rFonts w:cs="Arial"/>
                <w:szCs w:val="24"/>
              </w:rPr>
              <w:t xml:space="preserve">full driver </w:t>
            </w:r>
            <w:r w:rsidR="00175494" w:rsidRPr="00150CD2">
              <w:rPr>
                <w:rFonts w:cs="Arial"/>
                <w:szCs w:val="24"/>
              </w:rPr>
              <w:t>licence</w:t>
            </w:r>
          </w:p>
        </w:tc>
        <w:tc>
          <w:tcPr>
            <w:tcW w:w="3005" w:type="pct"/>
            <w:gridSpan w:val="3"/>
            <w:tcBorders>
              <w:top w:val="single" w:sz="4" w:space="0" w:color="A6A6A6" w:themeColor="background1" w:themeShade="A6"/>
              <w:left w:val="nil"/>
            </w:tcBorders>
          </w:tcPr>
          <w:p w14:paraId="570046C9" w14:textId="0945C105" w:rsidR="00593CED" w:rsidRPr="00150CD2" w:rsidRDefault="00B262C7" w:rsidP="00BB45F4">
            <w:pPr>
              <w:autoSpaceDE/>
              <w:autoSpaceDN/>
              <w:adjustRightInd/>
              <w:spacing w:before="20" w:after="20"/>
              <w:rPr>
                <w:rFonts w:cs="Arial"/>
                <w:sz w:val="24"/>
                <w:szCs w:val="24"/>
                <w:lang w:val="en-US"/>
              </w:rPr>
            </w:pPr>
            <w:r w:rsidRPr="00150CD2">
              <w:rPr>
                <w:rFonts w:cs="Arial"/>
                <w:noProof/>
                <w:sz w:val="24"/>
                <w:szCs w:val="24"/>
                <w:lang w:val="en-US"/>
              </w:rPr>
              <w:drawing>
                <wp:inline distT="0" distB="0" distL="0" distR="0" wp14:anchorId="540A9490" wp14:editId="34A1CA75">
                  <wp:extent cx="3306725" cy="866131"/>
                  <wp:effectExtent l="0" t="0" r="0" b="0"/>
                  <wp:docPr id="208" name="Picture 208" descr="Transport: A smaller proportion of MidCentral DSS adults aged 25-64 had a full drivers licence, compared to other DSS adults in Mid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4454" t="81762" r="6310" b="2951"/>
                          <a:stretch/>
                        </pic:blipFill>
                        <pic:spPr bwMode="auto">
                          <a:xfrm>
                            <a:off x="0" y="0"/>
                            <a:ext cx="3309831" cy="86694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88BE0BB" w14:textId="77777777" w:rsidR="00AA06BE" w:rsidRPr="00150CD2" w:rsidRDefault="00AA06BE">
      <w:pPr>
        <w:autoSpaceDE/>
        <w:autoSpaceDN/>
        <w:adjustRightInd/>
        <w:rPr>
          <w:rFonts w:cs="Arial"/>
        </w:rPr>
      </w:pPr>
      <w:r w:rsidRPr="00150CD2">
        <w:rPr>
          <w:rFonts w:cs="Arial"/>
        </w:rPr>
        <w:br w:type="page"/>
      </w:r>
    </w:p>
    <w:p w14:paraId="709A8281" w14:textId="6EA6CD8C" w:rsidR="00A10CB3" w:rsidRPr="00150CD2" w:rsidRDefault="00A10CB3" w:rsidP="00184038">
      <w:pPr>
        <w:pStyle w:val="EYHeading2"/>
      </w:pPr>
      <w:bookmarkStart w:id="8" w:name="_Toc46365129"/>
      <w:bookmarkStart w:id="9" w:name="_Toc48752347"/>
      <w:r w:rsidRPr="00150CD2">
        <w:lastRenderedPageBreak/>
        <w:t>A guide to this report</w:t>
      </w:r>
      <w:bookmarkEnd w:id="8"/>
      <w:bookmarkEnd w:id="9"/>
    </w:p>
    <w:p w14:paraId="5020E07E" w14:textId="53B906DC" w:rsidR="002E70C9" w:rsidRPr="00150CD2" w:rsidRDefault="005E235E" w:rsidP="002E70C9">
      <w:pPr>
        <w:pStyle w:val="EYBodytextwithparaspace"/>
        <w:rPr>
          <w:rFonts w:cs="Arial"/>
        </w:rPr>
      </w:pPr>
      <w:r w:rsidRPr="00150CD2">
        <w:rPr>
          <w:rFonts w:cs="Arial"/>
        </w:rPr>
        <w:t>This report sets out the background, approach and key findings from the:</w:t>
      </w:r>
    </w:p>
    <w:p w14:paraId="08775A91" w14:textId="77777777" w:rsidR="005E235E" w:rsidRPr="00150CD2" w:rsidRDefault="005E235E" w:rsidP="009078C9">
      <w:pPr>
        <w:pStyle w:val="EY1Number"/>
        <w:spacing w:after="120"/>
        <w:ind w:left="432" w:hanging="432"/>
        <w:rPr>
          <w:rFonts w:cs="Arial"/>
        </w:rPr>
      </w:pPr>
      <w:r w:rsidRPr="00150CD2">
        <w:rPr>
          <w:rFonts w:cs="Arial"/>
        </w:rPr>
        <w:t xml:space="preserve">Feasibility assessment of potential </w:t>
      </w:r>
      <w:r w:rsidR="00EA0E3A" w:rsidRPr="00150CD2">
        <w:rPr>
          <w:rFonts w:cs="Arial"/>
        </w:rPr>
        <w:t xml:space="preserve">baseline </w:t>
      </w:r>
      <w:r w:rsidRPr="00150CD2">
        <w:rPr>
          <w:rFonts w:cs="Arial"/>
        </w:rPr>
        <w:t>outcomes indicators and analysis cohorts</w:t>
      </w:r>
    </w:p>
    <w:p w14:paraId="65DA2552" w14:textId="77777777" w:rsidR="005E235E" w:rsidRPr="00150CD2" w:rsidRDefault="005E235E" w:rsidP="005E235E">
      <w:pPr>
        <w:pStyle w:val="EY1Number"/>
        <w:rPr>
          <w:rFonts w:cs="Arial"/>
        </w:rPr>
      </w:pPr>
      <w:r w:rsidRPr="00150CD2">
        <w:rPr>
          <w:rFonts w:cs="Arial"/>
        </w:rPr>
        <w:t>Baseline outcomes analysis of administrative and population survey based indicators, using Statistics NZ’s Integrated Data Infrastructure (IDI)</w:t>
      </w:r>
    </w:p>
    <w:p w14:paraId="38CF6C37" w14:textId="7BB44E7C" w:rsidR="005E235E" w:rsidRPr="00150CD2" w:rsidRDefault="009078C9" w:rsidP="002E70C9">
      <w:pPr>
        <w:pStyle w:val="EYBodytextwithparaspace"/>
        <w:rPr>
          <w:rFonts w:cs="Arial"/>
        </w:rPr>
      </w:pPr>
      <w:r w:rsidRPr="00150CD2">
        <w:rPr>
          <w:rFonts w:cs="Arial"/>
        </w:rPr>
        <w:br/>
      </w:r>
      <w:r w:rsidR="005E235E" w:rsidRPr="00150CD2">
        <w:rPr>
          <w:rFonts w:cs="Arial"/>
        </w:rPr>
        <w:t>A guide to the main sections of this report:</w:t>
      </w:r>
    </w:p>
    <w:p w14:paraId="184BF23F" w14:textId="65024158" w:rsidR="00A10CB3" w:rsidRPr="00150CD2" w:rsidRDefault="00A10CB3" w:rsidP="00E03375">
      <w:pPr>
        <w:pStyle w:val="EYBulletedText1"/>
        <w:rPr>
          <w:rFonts w:cs="Arial"/>
        </w:rPr>
      </w:pPr>
      <w:r w:rsidRPr="00150CD2">
        <w:rPr>
          <w:rFonts w:cs="Arial"/>
          <w:b/>
        </w:rPr>
        <w:t xml:space="preserve">Section </w:t>
      </w:r>
      <w:r w:rsidRPr="00150CD2">
        <w:rPr>
          <w:rFonts w:cs="Arial"/>
          <w:b/>
        </w:rPr>
        <w:fldChar w:fldCharType="begin"/>
      </w:r>
      <w:r w:rsidRPr="00150CD2">
        <w:rPr>
          <w:rFonts w:cs="Arial"/>
          <w:b/>
        </w:rPr>
        <w:instrText xml:space="preserve"> REF _Ref34052233 \r \h </w:instrText>
      </w:r>
      <w:r w:rsidR="005E235E" w:rsidRPr="00150CD2">
        <w:rPr>
          <w:rFonts w:cs="Arial"/>
          <w:b/>
        </w:rPr>
        <w:instrText xml:space="preserve"> \* MERGEFORMAT </w:instrText>
      </w:r>
      <w:r w:rsidRPr="00150CD2">
        <w:rPr>
          <w:rFonts w:cs="Arial"/>
          <w:b/>
        </w:rPr>
      </w:r>
      <w:r w:rsidRPr="00150CD2">
        <w:rPr>
          <w:rFonts w:cs="Arial"/>
          <w:b/>
        </w:rPr>
        <w:fldChar w:fldCharType="separate"/>
      </w:r>
      <w:r w:rsidR="00053D9A" w:rsidRPr="00150CD2">
        <w:rPr>
          <w:rFonts w:cs="Arial"/>
          <w:b/>
        </w:rPr>
        <w:t>2</w:t>
      </w:r>
      <w:r w:rsidRPr="00150CD2">
        <w:rPr>
          <w:rFonts w:cs="Arial"/>
          <w:b/>
        </w:rPr>
        <w:fldChar w:fldCharType="end"/>
      </w:r>
      <w:r w:rsidRPr="00150CD2">
        <w:rPr>
          <w:rFonts w:cs="Arial"/>
        </w:rPr>
        <w:t xml:space="preserve"> provides further information around Mana Whaikaha, the evaluation framework and how this baseline analysis will support ongoing monitoring and evaluation.</w:t>
      </w:r>
    </w:p>
    <w:p w14:paraId="5C53DF2F" w14:textId="4A87F00D" w:rsidR="00A10CB3" w:rsidRPr="00150CD2" w:rsidRDefault="00A10CB3" w:rsidP="00E03375">
      <w:pPr>
        <w:pStyle w:val="EYBulletedText1"/>
        <w:rPr>
          <w:rFonts w:cs="Arial"/>
        </w:rPr>
      </w:pPr>
      <w:r w:rsidRPr="00150CD2">
        <w:rPr>
          <w:rFonts w:cs="Arial"/>
          <w:b/>
        </w:rPr>
        <w:t xml:space="preserve">Section </w:t>
      </w:r>
      <w:r w:rsidRPr="00150CD2">
        <w:rPr>
          <w:rFonts w:cs="Arial"/>
          <w:b/>
        </w:rPr>
        <w:fldChar w:fldCharType="begin"/>
      </w:r>
      <w:r w:rsidRPr="00150CD2">
        <w:rPr>
          <w:rFonts w:cs="Arial"/>
          <w:b/>
        </w:rPr>
        <w:instrText xml:space="preserve"> REF _Ref34052269 \r \h </w:instrText>
      </w:r>
      <w:r w:rsidR="005E235E" w:rsidRPr="00150CD2">
        <w:rPr>
          <w:rFonts w:cs="Arial"/>
          <w:b/>
        </w:rPr>
        <w:instrText xml:space="preserve"> \* MERGEFORMAT </w:instrText>
      </w:r>
      <w:r w:rsidRPr="00150CD2">
        <w:rPr>
          <w:rFonts w:cs="Arial"/>
          <w:b/>
        </w:rPr>
      </w:r>
      <w:r w:rsidRPr="00150CD2">
        <w:rPr>
          <w:rFonts w:cs="Arial"/>
          <w:b/>
        </w:rPr>
        <w:fldChar w:fldCharType="separate"/>
      </w:r>
      <w:r w:rsidR="00053D9A" w:rsidRPr="00150CD2">
        <w:rPr>
          <w:rFonts w:cs="Arial"/>
          <w:b/>
        </w:rPr>
        <w:t>3</w:t>
      </w:r>
      <w:r w:rsidRPr="00150CD2">
        <w:rPr>
          <w:rFonts w:cs="Arial"/>
          <w:b/>
        </w:rPr>
        <w:fldChar w:fldCharType="end"/>
      </w:r>
      <w:r w:rsidRPr="00150CD2">
        <w:rPr>
          <w:rFonts w:cs="Arial"/>
        </w:rPr>
        <w:t xml:space="preserve"> outlines the data sources</w:t>
      </w:r>
      <w:r w:rsidR="0039393C" w:rsidRPr="00150CD2">
        <w:rPr>
          <w:rFonts w:cs="Arial"/>
        </w:rPr>
        <w:t xml:space="preserve"> </w:t>
      </w:r>
      <w:r w:rsidRPr="00150CD2">
        <w:rPr>
          <w:rFonts w:cs="Arial"/>
        </w:rPr>
        <w:t>and population cohorts considered for analysis</w:t>
      </w:r>
      <w:r w:rsidR="0039393C" w:rsidRPr="00150CD2">
        <w:rPr>
          <w:rFonts w:cs="Arial"/>
        </w:rPr>
        <w:t xml:space="preserve">, and the criteria used to assess </w:t>
      </w:r>
      <w:r w:rsidR="00F1227B" w:rsidRPr="00150CD2">
        <w:rPr>
          <w:rFonts w:cs="Arial"/>
        </w:rPr>
        <w:t xml:space="preserve">the </w:t>
      </w:r>
      <w:r w:rsidR="0039393C" w:rsidRPr="00150CD2">
        <w:rPr>
          <w:rFonts w:cs="Arial"/>
        </w:rPr>
        <w:t xml:space="preserve">feasibility </w:t>
      </w:r>
      <w:r w:rsidR="00F1227B" w:rsidRPr="00150CD2">
        <w:rPr>
          <w:rFonts w:cs="Arial"/>
        </w:rPr>
        <w:t xml:space="preserve">of potential </w:t>
      </w:r>
      <w:r w:rsidR="0039393C" w:rsidRPr="00150CD2">
        <w:rPr>
          <w:rFonts w:cs="Arial"/>
        </w:rPr>
        <w:t>outcome indicators.</w:t>
      </w:r>
    </w:p>
    <w:p w14:paraId="10F49A74" w14:textId="10F2A64B" w:rsidR="00A10CB3" w:rsidRPr="00150CD2" w:rsidRDefault="00A10CB3" w:rsidP="00E03375">
      <w:pPr>
        <w:pStyle w:val="EYBulletedText1"/>
        <w:rPr>
          <w:rFonts w:cs="Arial"/>
        </w:rPr>
      </w:pPr>
      <w:r w:rsidRPr="00150CD2">
        <w:rPr>
          <w:rFonts w:cs="Arial"/>
          <w:b/>
        </w:rPr>
        <w:t xml:space="preserve">Section </w:t>
      </w:r>
      <w:r w:rsidR="0039393C" w:rsidRPr="00150CD2">
        <w:rPr>
          <w:rFonts w:cs="Arial"/>
          <w:b/>
        </w:rPr>
        <w:fldChar w:fldCharType="begin"/>
      </w:r>
      <w:r w:rsidR="0039393C" w:rsidRPr="00150CD2">
        <w:rPr>
          <w:rFonts w:cs="Arial"/>
          <w:b/>
        </w:rPr>
        <w:instrText xml:space="preserve"> REF _Ref34056682 \r \h </w:instrText>
      </w:r>
      <w:r w:rsidR="005E235E" w:rsidRPr="00150CD2">
        <w:rPr>
          <w:rFonts w:cs="Arial"/>
          <w:b/>
        </w:rPr>
        <w:instrText xml:space="preserve"> \* MERGEFORMAT </w:instrText>
      </w:r>
      <w:r w:rsidR="0039393C" w:rsidRPr="00150CD2">
        <w:rPr>
          <w:rFonts w:cs="Arial"/>
          <w:b/>
        </w:rPr>
      </w:r>
      <w:r w:rsidR="0039393C" w:rsidRPr="00150CD2">
        <w:rPr>
          <w:rFonts w:cs="Arial"/>
          <w:b/>
        </w:rPr>
        <w:fldChar w:fldCharType="separate"/>
      </w:r>
      <w:r w:rsidR="00053D9A" w:rsidRPr="00150CD2">
        <w:rPr>
          <w:rFonts w:cs="Arial"/>
          <w:b/>
        </w:rPr>
        <w:t>4</w:t>
      </w:r>
      <w:r w:rsidR="0039393C" w:rsidRPr="00150CD2">
        <w:rPr>
          <w:rFonts w:cs="Arial"/>
          <w:b/>
        </w:rPr>
        <w:fldChar w:fldCharType="end"/>
      </w:r>
      <w:r w:rsidR="0039393C" w:rsidRPr="00150CD2">
        <w:rPr>
          <w:rFonts w:cs="Arial"/>
        </w:rPr>
        <w:t xml:space="preserve"> sets out </w:t>
      </w:r>
      <w:r w:rsidR="00F1227B" w:rsidRPr="00150CD2">
        <w:rPr>
          <w:rFonts w:cs="Arial"/>
        </w:rPr>
        <w:t>high level findings around the feasibility of potential outcomes indicators</w:t>
      </w:r>
      <w:r w:rsidR="005E235E" w:rsidRPr="00150CD2">
        <w:rPr>
          <w:rFonts w:cs="Arial"/>
        </w:rPr>
        <w:t>.</w:t>
      </w:r>
    </w:p>
    <w:p w14:paraId="31C7B1A7" w14:textId="4CB57A94" w:rsidR="00F1227B" w:rsidRPr="00150CD2" w:rsidRDefault="00F1227B" w:rsidP="00E03375">
      <w:pPr>
        <w:pStyle w:val="EYBulletedText1"/>
        <w:rPr>
          <w:rFonts w:cs="Arial"/>
        </w:rPr>
      </w:pPr>
      <w:r w:rsidRPr="00150CD2">
        <w:rPr>
          <w:rFonts w:cs="Arial"/>
          <w:b/>
        </w:rPr>
        <w:t xml:space="preserve">Section </w:t>
      </w:r>
      <w:r w:rsidRPr="00150CD2">
        <w:rPr>
          <w:rFonts w:cs="Arial"/>
          <w:b/>
        </w:rPr>
        <w:fldChar w:fldCharType="begin"/>
      </w:r>
      <w:r w:rsidRPr="00150CD2">
        <w:rPr>
          <w:rFonts w:cs="Arial"/>
          <w:b/>
        </w:rPr>
        <w:instrText xml:space="preserve"> REF _Ref26027250 \r \h </w:instrText>
      </w:r>
      <w:r w:rsidR="005E235E" w:rsidRPr="00150CD2">
        <w:rPr>
          <w:rFonts w:cs="Arial"/>
          <w:b/>
        </w:rPr>
        <w:instrText xml:space="preserve"> \* MERGEFORMAT </w:instrText>
      </w:r>
      <w:r w:rsidRPr="00150CD2">
        <w:rPr>
          <w:rFonts w:cs="Arial"/>
          <w:b/>
        </w:rPr>
      </w:r>
      <w:r w:rsidRPr="00150CD2">
        <w:rPr>
          <w:rFonts w:cs="Arial"/>
          <w:b/>
        </w:rPr>
        <w:fldChar w:fldCharType="separate"/>
      </w:r>
      <w:r w:rsidR="00053D9A" w:rsidRPr="00150CD2">
        <w:rPr>
          <w:rFonts w:cs="Arial"/>
          <w:b/>
        </w:rPr>
        <w:t>5</w:t>
      </w:r>
      <w:r w:rsidRPr="00150CD2">
        <w:rPr>
          <w:rFonts w:cs="Arial"/>
          <w:b/>
        </w:rPr>
        <w:fldChar w:fldCharType="end"/>
      </w:r>
      <w:r w:rsidRPr="00150CD2">
        <w:rPr>
          <w:rFonts w:cs="Arial"/>
        </w:rPr>
        <w:t xml:space="preserve"> describes findings from administrative data around baseline outcome</w:t>
      </w:r>
      <w:r w:rsidR="005E235E" w:rsidRPr="00150CD2">
        <w:rPr>
          <w:rFonts w:cs="Arial"/>
        </w:rPr>
        <w:t>s</w:t>
      </w:r>
      <w:r w:rsidRPr="00150CD2">
        <w:rPr>
          <w:rFonts w:cs="Arial"/>
        </w:rPr>
        <w:t xml:space="preserve"> and service contact</w:t>
      </w:r>
      <w:r w:rsidR="005E235E" w:rsidRPr="00150CD2">
        <w:rPr>
          <w:rFonts w:cs="Arial"/>
        </w:rPr>
        <w:t>,</w:t>
      </w:r>
      <w:r w:rsidRPr="00150CD2">
        <w:rPr>
          <w:rFonts w:cs="Arial"/>
        </w:rPr>
        <w:t xml:space="preserve"> for people allocated DSS funding and their families in the MidCentral area.</w:t>
      </w:r>
    </w:p>
    <w:p w14:paraId="6B512775" w14:textId="65B87E01" w:rsidR="005E235E" w:rsidRPr="00150CD2" w:rsidRDefault="005E235E" w:rsidP="00E03375">
      <w:pPr>
        <w:pStyle w:val="EYBulletedText1"/>
        <w:rPr>
          <w:rFonts w:cs="Arial"/>
        </w:rPr>
      </w:pPr>
      <w:r w:rsidRPr="00150CD2">
        <w:rPr>
          <w:rFonts w:cs="Arial"/>
          <w:b/>
        </w:rPr>
        <w:t xml:space="preserve">Section </w:t>
      </w:r>
      <w:r w:rsidRPr="00150CD2">
        <w:rPr>
          <w:rFonts w:cs="Arial"/>
          <w:b/>
        </w:rPr>
        <w:fldChar w:fldCharType="begin"/>
      </w:r>
      <w:r w:rsidRPr="00150CD2">
        <w:rPr>
          <w:rFonts w:cs="Arial"/>
          <w:b/>
        </w:rPr>
        <w:instrText xml:space="preserve"> REF _Ref34056683 \r \h  \* MERGEFORMAT </w:instrText>
      </w:r>
      <w:r w:rsidRPr="00150CD2">
        <w:rPr>
          <w:rFonts w:cs="Arial"/>
          <w:b/>
        </w:rPr>
      </w:r>
      <w:r w:rsidRPr="00150CD2">
        <w:rPr>
          <w:rFonts w:cs="Arial"/>
          <w:b/>
        </w:rPr>
        <w:fldChar w:fldCharType="separate"/>
      </w:r>
      <w:r w:rsidR="00053D9A" w:rsidRPr="00150CD2">
        <w:rPr>
          <w:rFonts w:cs="Arial"/>
          <w:b/>
        </w:rPr>
        <w:t>6</w:t>
      </w:r>
      <w:r w:rsidRPr="00150CD2">
        <w:rPr>
          <w:rFonts w:cs="Arial"/>
          <w:b/>
        </w:rPr>
        <w:fldChar w:fldCharType="end"/>
      </w:r>
      <w:r w:rsidRPr="00150CD2">
        <w:rPr>
          <w:rFonts w:cs="Arial"/>
        </w:rPr>
        <w:t xml:space="preserve"> describes findings from national population surveys around wellbeing indicators.</w:t>
      </w:r>
    </w:p>
    <w:p w14:paraId="1CA15A40" w14:textId="2BAA375E" w:rsidR="005E235E" w:rsidRPr="00150CD2" w:rsidRDefault="005E235E" w:rsidP="002E70C9">
      <w:pPr>
        <w:pStyle w:val="EYBodytextwithparaspace"/>
        <w:rPr>
          <w:rFonts w:cs="Arial"/>
        </w:rPr>
      </w:pPr>
      <w:r w:rsidRPr="00150CD2">
        <w:rPr>
          <w:rFonts w:cs="Arial"/>
        </w:rPr>
        <w:t>Appendices set out findings from administrative data around baseline outcomes and service contact for the national DSS population, as well as further information on references and methodology.</w:t>
      </w:r>
      <w:r w:rsidR="009078C9" w:rsidRPr="00150CD2">
        <w:rPr>
          <w:rFonts w:cs="Arial"/>
        </w:rPr>
        <w:br/>
      </w:r>
    </w:p>
    <w:p w14:paraId="7B086263" w14:textId="6A3BF872" w:rsidR="00B529E7" w:rsidRPr="00150CD2" w:rsidRDefault="00B529E7" w:rsidP="00184038">
      <w:pPr>
        <w:pStyle w:val="EYHeading2"/>
      </w:pPr>
      <w:bookmarkStart w:id="10" w:name="_Toc46365130"/>
      <w:bookmarkStart w:id="11" w:name="_Toc48752348"/>
      <w:r w:rsidRPr="00150CD2">
        <w:t>Limitations and future areas for investigation</w:t>
      </w:r>
      <w:bookmarkEnd w:id="10"/>
      <w:bookmarkEnd w:id="11"/>
    </w:p>
    <w:p w14:paraId="14518F4A" w14:textId="5FC58131" w:rsidR="00A6746A" w:rsidRPr="00150CD2" w:rsidRDefault="00DD5C13" w:rsidP="002E70C9">
      <w:pPr>
        <w:pStyle w:val="EYBodytextwithparaspace"/>
        <w:rPr>
          <w:rFonts w:cs="Arial"/>
        </w:rPr>
      </w:pPr>
      <w:r w:rsidRPr="00150CD2">
        <w:rPr>
          <w:rFonts w:cs="Arial"/>
        </w:rPr>
        <w:t xml:space="preserve">The findings set out in this report are based on </w:t>
      </w:r>
      <w:r w:rsidR="00A6746A" w:rsidRPr="00150CD2">
        <w:rPr>
          <w:rFonts w:cs="Arial"/>
        </w:rPr>
        <w:t xml:space="preserve">quantitative data from administrative and population survey datasets in the IDI. While this includes a broad range of indicators, there are many significant aspects of the </w:t>
      </w:r>
      <w:r w:rsidR="009078C9" w:rsidRPr="00150CD2">
        <w:rPr>
          <w:rFonts w:cs="Arial"/>
        </w:rPr>
        <w:t xml:space="preserve">complex and dynamic </w:t>
      </w:r>
      <w:r w:rsidR="00A6746A" w:rsidRPr="00150CD2">
        <w:rPr>
          <w:rFonts w:cs="Arial"/>
        </w:rPr>
        <w:t>lifecourse experiences of disabled people and their whānau that are not described at all (or only described to a limited extent) by this data</w:t>
      </w:r>
      <w:r w:rsidR="009078C9" w:rsidRPr="00150CD2">
        <w:rPr>
          <w:rStyle w:val="FootnoteReference"/>
          <w:rFonts w:ascii="Arial" w:hAnsi="Arial" w:cs="Arial"/>
        </w:rPr>
        <w:footnoteReference w:id="4"/>
      </w:r>
      <w:r w:rsidR="009078C9" w:rsidRPr="00150CD2">
        <w:rPr>
          <w:rFonts w:cs="Arial"/>
        </w:rPr>
        <w:t>.</w:t>
      </w:r>
    </w:p>
    <w:p w14:paraId="7F83AFDD" w14:textId="65DC1ADB" w:rsidR="00B529E7" w:rsidRPr="00150CD2" w:rsidRDefault="00A6746A" w:rsidP="002E70C9">
      <w:pPr>
        <w:pStyle w:val="EYBodytextwithparaspace"/>
        <w:rPr>
          <w:rFonts w:cs="Arial"/>
        </w:rPr>
      </w:pPr>
      <w:r w:rsidRPr="00150CD2">
        <w:rPr>
          <w:rFonts w:cs="Arial"/>
        </w:rPr>
        <w:t>We recommend that readers consider the Mana Whaikaha baseline survey report, which explores the lived experience of disabled people and their whānau in MidCentral.</w:t>
      </w:r>
    </w:p>
    <w:p w14:paraId="6EA7D376" w14:textId="043EACA3" w:rsidR="00A073B5" w:rsidRPr="00150CD2" w:rsidRDefault="00A073B5" w:rsidP="002E70C9">
      <w:pPr>
        <w:pStyle w:val="EYBodytextwithparaspace"/>
        <w:rPr>
          <w:rFonts w:cs="Arial"/>
        </w:rPr>
      </w:pPr>
      <w:r w:rsidRPr="00150CD2">
        <w:rPr>
          <w:rFonts w:cs="Arial"/>
        </w:rPr>
        <w:t xml:space="preserve">Future areas of work which </w:t>
      </w:r>
      <w:r w:rsidR="00F0500D" w:rsidRPr="00150CD2">
        <w:rPr>
          <w:rFonts w:cs="Arial"/>
        </w:rPr>
        <w:t>are planned to</w:t>
      </w:r>
      <w:r w:rsidRPr="00150CD2">
        <w:rPr>
          <w:rFonts w:cs="Arial"/>
        </w:rPr>
        <w:t xml:space="preserve"> be undertaken by the Ministry as part of the Mana Whaikaha </w:t>
      </w:r>
      <w:r w:rsidR="00DD5C13" w:rsidRPr="00150CD2">
        <w:rPr>
          <w:rFonts w:cs="Arial"/>
        </w:rPr>
        <w:t xml:space="preserve">outcomes </w:t>
      </w:r>
      <w:r w:rsidRPr="00150CD2">
        <w:rPr>
          <w:rFonts w:cs="Arial"/>
        </w:rPr>
        <w:t>evaluation include:</w:t>
      </w:r>
    </w:p>
    <w:p w14:paraId="7ED34CDB" w14:textId="73719D23" w:rsidR="00B529E7" w:rsidRPr="00150CD2" w:rsidRDefault="00A073B5" w:rsidP="00A073B5">
      <w:pPr>
        <w:pStyle w:val="EYBulletedText1"/>
        <w:rPr>
          <w:rFonts w:cs="Arial"/>
        </w:rPr>
      </w:pPr>
      <w:r w:rsidRPr="00150CD2">
        <w:rPr>
          <w:rFonts w:cs="Arial"/>
        </w:rPr>
        <w:lastRenderedPageBreak/>
        <w:t xml:space="preserve">Identify </w:t>
      </w:r>
      <w:r w:rsidR="00B529E7" w:rsidRPr="00150CD2">
        <w:rPr>
          <w:rFonts w:cs="Arial"/>
        </w:rPr>
        <w:t xml:space="preserve">which </w:t>
      </w:r>
      <w:r w:rsidRPr="00150CD2">
        <w:rPr>
          <w:rFonts w:cs="Arial"/>
        </w:rPr>
        <w:t xml:space="preserve">outcome areas are expected to be impacted by Mana Whaikaha over the 3 year evaluation period and determine which </w:t>
      </w:r>
      <w:r w:rsidR="00B529E7" w:rsidRPr="00150CD2">
        <w:rPr>
          <w:rFonts w:cs="Arial"/>
        </w:rPr>
        <w:t xml:space="preserve">indicators </w:t>
      </w:r>
      <w:r w:rsidR="00C73F9C" w:rsidRPr="00150CD2">
        <w:rPr>
          <w:rFonts w:cs="Arial"/>
        </w:rPr>
        <w:t>can</w:t>
      </w:r>
      <w:r w:rsidRPr="00150CD2">
        <w:rPr>
          <w:rFonts w:cs="Arial"/>
        </w:rPr>
        <w:t xml:space="preserve"> be used to evaluate</w:t>
      </w:r>
      <w:r w:rsidR="00B529E7" w:rsidRPr="00150CD2">
        <w:rPr>
          <w:rFonts w:cs="Arial"/>
        </w:rPr>
        <w:t xml:space="preserve"> Mana Whaikaha's impact </w:t>
      </w:r>
      <w:r w:rsidRPr="00150CD2">
        <w:rPr>
          <w:rFonts w:cs="Arial"/>
        </w:rPr>
        <w:t>on these outcome areas.</w:t>
      </w:r>
    </w:p>
    <w:p w14:paraId="2FEBA99A" w14:textId="44857E6A" w:rsidR="00A073B5" w:rsidRPr="00150CD2" w:rsidRDefault="00A073B5" w:rsidP="00A073B5">
      <w:pPr>
        <w:pStyle w:val="EYBulletedText1"/>
        <w:rPr>
          <w:rFonts w:cs="Arial"/>
        </w:rPr>
      </w:pPr>
      <w:r w:rsidRPr="00150CD2">
        <w:rPr>
          <w:rFonts w:cs="Arial"/>
        </w:rPr>
        <w:t>Collect survey and interview information from participants and their whānau midway through Mana Whaikaha’s implementation and after 3 years</w:t>
      </w:r>
      <w:r w:rsidR="00DD5C13" w:rsidRPr="00150CD2">
        <w:rPr>
          <w:rFonts w:cs="Arial"/>
        </w:rPr>
        <w:t xml:space="preserve"> post implementation</w:t>
      </w:r>
      <w:r w:rsidRPr="00150CD2">
        <w:rPr>
          <w:rFonts w:cs="Arial"/>
        </w:rPr>
        <w:t>.</w:t>
      </w:r>
    </w:p>
    <w:p w14:paraId="0CC43018" w14:textId="504F924E" w:rsidR="00DD5C13" w:rsidRPr="00150CD2" w:rsidRDefault="00DD5C13" w:rsidP="00A073B5">
      <w:pPr>
        <w:pStyle w:val="EYBulletedText1"/>
        <w:rPr>
          <w:rFonts w:cs="Arial"/>
        </w:rPr>
      </w:pPr>
      <w:r w:rsidRPr="00150CD2">
        <w:rPr>
          <w:rFonts w:cs="Arial"/>
        </w:rPr>
        <w:t>Update administrative data based indicators supporting the evaluation, midway through Mana Whaikaha’s implementation and after 3 years post implementation.</w:t>
      </w:r>
    </w:p>
    <w:p w14:paraId="75050846" w14:textId="45F94ED7" w:rsidR="00DD5C13" w:rsidRPr="00150CD2" w:rsidRDefault="00DD5C13" w:rsidP="00A073B5">
      <w:pPr>
        <w:pStyle w:val="EYBulletedText1"/>
        <w:rPr>
          <w:rFonts w:cs="Arial"/>
        </w:rPr>
      </w:pPr>
      <w:r w:rsidRPr="00150CD2">
        <w:rPr>
          <w:rFonts w:cs="Arial"/>
        </w:rPr>
        <w:t>Compare outcome and service contact indicators during and/or at the end of prototype period with baseline rates and identify differences that are potentially attributable to Mana Whaikaha.</w:t>
      </w:r>
    </w:p>
    <w:p w14:paraId="55ED7F27" w14:textId="19D077CE" w:rsidR="009A5037" w:rsidRPr="00150CD2" w:rsidRDefault="003116E1" w:rsidP="00184038">
      <w:pPr>
        <w:pStyle w:val="EYHeading1"/>
      </w:pPr>
      <w:bookmarkStart w:id="12" w:name="_Toc44554937"/>
      <w:bookmarkStart w:id="13" w:name="_Toc45101015"/>
      <w:bookmarkStart w:id="14" w:name="_Toc45141331"/>
      <w:bookmarkStart w:id="15" w:name="_Toc45413303"/>
      <w:bookmarkStart w:id="16" w:name="_Toc45526262"/>
      <w:bookmarkStart w:id="17" w:name="_Toc45786843"/>
      <w:bookmarkStart w:id="18" w:name="_Toc45794239"/>
      <w:bookmarkStart w:id="19" w:name="_Toc45820097"/>
      <w:bookmarkStart w:id="20" w:name="_Toc34056688"/>
      <w:bookmarkStart w:id="21" w:name="_Toc46356290"/>
      <w:bookmarkStart w:id="22" w:name="_Ref34052233"/>
      <w:bookmarkStart w:id="23" w:name="_Toc46365131"/>
      <w:bookmarkStart w:id="24" w:name="_Toc48752349"/>
      <w:bookmarkEnd w:id="12"/>
      <w:bookmarkEnd w:id="13"/>
      <w:bookmarkEnd w:id="14"/>
      <w:bookmarkEnd w:id="15"/>
      <w:bookmarkEnd w:id="16"/>
      <w:bookmarkEnd w:id="17"/>
      <w:bookmarkEnd w:id="18"/>
      <w:bookmarkEnd w:id="19"/>
      <w:bookmarkEnd w:id="20"/>
      <w:bookmarkEnd w:id="21"/>
      <w:r w:rsidRPr="00150CD2">
        <w:lastRenderedPageBreak/>
        <w:t>Introduction</w:t>
      </w:r>
      <w:bookmarkEnd w:id="22"/>
      <w:bookmarkEnd w:id="23"/>
      <w:bookmarkEnd w:id="24"/>
    </w:p>
    <w:p w14:paraId="7034C468" w14:textId="09F757BA" w:rsidR="003116E1" w:rsidRPr="00150CD2" w:rsidRDefault="003116E1" w:rsidP="00184038">
      <w:pPr>
        <w:pStyle w:val="EYHeading2"/>
      </w:pPr>
      <w:bookmarkStart w:id="25" w:name="_Toc46365132"/>
      <w:bookmarkStart w:id="26" w:name="_Toc48752350"/>
      <w:r w:rsidRPr="00150CD2">
        <w:t>Background</w:t>
      </w:r>
      <w:bookmarkEnd w:id="25"/>
      <w:bookmarkEnd w:id="26"/>
    </w:p>
    <w:p w14:paraId="4BA0FF06" w14:textId="17ACA676" w:rsidR="008823A7" w:rsidRPr="00150CD2" w:rsidRDefault="008823A7" w:rsidP="00BA2F93">
      <w:pPr>
        <w:pStyle w:val="EYBodytextwithparaspace"/>
        <w:rPr>
          <w:rFonts w:cs="Arial"/>
        </w:rPr>
      </w:pPr>
      <w:r w:rsidRPr="00150CD2">
        <w:rPr>
          <w:rFonts w:cs="Arial"/>
        </w:rPr>
        <w:t>A prototype of a transformed disability support system, Mana Whaikaha, was introduced in</w:t>
      </w:r>
      <w:r w:rsidR="00EB74E0" w:rsidRPr="00150CD2">
        <w:rPr>
          <w:rFonts w:cs="Arial"/>
        </w:rPr>
        <w:t xml:space="preserve"> one region,</w:t>
      </w:r>
      <w:r w:rsidRPr="00150CD2">
        <w:rPr>
          <w:rFonts w:cs="Arial"/>
        </w:rPr>
        <w:t xml:space="preserve"> the MidCentral DHB region</w:t>
      </w:r>
      <w:r w:rsidRPr="00150CD2">
        <w:rPr>
          <w:rFonts w:cs="Arial"/>
          <w:vertAlign w:val="superscript"/>
        </w:rPr>
        <w:footnoteReference w:id="5"/>
      </w:r>
      <w:r w:rsidRPr="00150CD2">
        <w:rPr>
          <w:rFonts w:cs="Arial"/>
        </w:rPr>
        <w:t xml:space="preserve"> (MidCentral)</w:t>
      </w:r>
      <w:r w:rsidR="00DD2B63" w:rsidRPr="00150CD2">
        <w:rPr>
          <w:rFonts w:cs="Arial"/>
        </w:rPr>
        <w:t>,</w:t>
      </w:r>
      <w:r w:rsidRPr="00150CD2">
        <w:rPr>
          <w:rFonts w:cs="Arial"/>
        </w:rPr>
        <w:t xml:space="preserve"> on 1 October 2018</w:t>
      </w:r>
      <w:r w:rsidR="00381F33" w:rsidRPr="00150CD2">
        <w:rPr>
          <w:rFonts w:cs="Arial"/>
        </w:rPr>
        <w:t xml:space="preserve"> for</w:t>
      </w:r>
      <w:r w:rsidR="00A6195E" w:rsidRPr="00150CD2">
        <w:rPr>
          <w:rFonts w:cs="Arial"/>
        </w:rPr>
        <w:t xml:space="preserve"> </w:t>
      </w:r>
      <w:r w:rsidR="00381F33" w:rsidRPr="00150CD2">
        <w:rPr>
          <w:rFonts w:cs="Arial"/>
        </w:rPr>
        <w:t>Ministry of Health funded disability support services</w:t>
      </w:r>
      <w:r w:rsidR="0053045D" w:rsidRPr="00150CD2">
        <w:rPr>
          <w:rStyle w:val="FootnoteReference"/>
          <w:rFonts w:ascii="Arial" w:hAnsi="Arial" w:cs="Arial"/>
        </w:rPr>
        <w:footnoteReference w:id="6"/>
      </w:r>
      <w:r w:rsidRPr="00150CD2">
        <w:rPr>
          <w:rFonts w:cs="Arial"/>
        </w:rPr>
        <w:t>. The transformed system is based on the Enabling Good Lives (EGL) vision and principles. It aims to give disabled people and their family/whānau more options and decision-making authority about their supports and lives, to improve their wellbeing outcomes, and to create a more cost-effective disability support system.</w:t>
      </w:r>
    </w:p>
    <w:p w14:paraId="7A6472FA" w14:textId="77777777" w:rsidR="008823A7" w:rsidRPr="00150CD2" w:rsidRDefault="008823A7" w:rsidP="00BA2F93">
      <w:pPr>
        <w:pStyle w:val="EYBodytextwithparaspace"/>
        <w:rPr>
          <w:rFonts w:cs="Arial"/>
        </w:rPr>
      </w:pPr>
      <w:r w:rsidRPr="00150CD2">
        <w:rPr>
          <w:rFonts w:cs="Arial"/>
        </w:rPr>
        <w:t xml:space="preserve">Mana Whaikaha requires ongoing monitoring and evaluating to help stakeholders understand if the objectives for the transformed system are being achieved, and to what extent, where improvements are needed, and if and how the approach should be adapted or expanded. </w:t>
      </w:r>
    </w:p>
    <w:p w14:paraId="7A9BCCF0" w14:textId="10C5A04C" w:rsidR="008823A7" w:rsidRPr="00150CD2" w:rsidRDefault="00BA2F93" w:rsidP="00BA2F93">
      <w:pPr>
        <w:pStyle w:val="Caption"/>
        <w:rPr>
          <w:rFonts w:cs="Arial"/>
        </w:rPr>
      </w:pPr>
      <w:bookmarkStart w:id="27" w:name="_Ref47196693"/>
      <w:r w:rsidRPr="00150CD2">
        <w:rPr>
          <w:rFonts w:cs="Arial"/>
        </w:rPr>
        <w:t xml:space="preserve">Figure </w:t>
      </w:r>
      <w:r w:rsidRPr="00150CD2">
        <w:rPr>
          <w:rFonts w:cs="Arial"/>
        </w:rPr>
        <w:fldChar w:fldCharType="begin"/>
      </w:r>
      <w:r w:rsidRPr="00150CD2">
        <w:rPr>
          <w:rFonts w:cs="Arial"/>
        </w:rPr>
        <w:instrText xml:space="preserve"> SEQ Figure \* ARABIC </w:instrText>
      </w:r>
      <w:r w:rsidRPr="00150CD2">
        <w:rPr>
          <w:rFonts w:cs="Arial"/>
        </w:rPr>
        <w:fldChar w:fldCharType="separate"/>
      </w:r>
      <w:r w:rsidR="00053D9A" w:rsidRPr="00150CD2">
        <w:rPr>
          <w:rFonts w:cs="Arial"/>
          <w:noProof/>
        </w:rPr>
        <w:t>2</w:t>
      </w:r>
      <w:r w:rsidRPr="00150CD2">
        <w:rPr>
          <w:rFonts w:cs="Arial"/>
        </w:rPr>
        <w:fldChar w:fldCharType="end"/>
      </w:r>
      <w:bookmarkEnd w:id="27"/>
      <w:r w:rsidR="008823A7" w:rsidRPr="00150CD2">
        <w:rPr>
          <w:rFonts w:cs="Arial"/>
        </w:rPr>
        <w:t>: Overview of the evaluation framework</w:t>
      </w:r>
    </w:p>
    <w:tbl>
      <w:tblPr>
        <w:tblStyle w:val="TableGrid2"/>
        <w:tblW w:w="8964" w:type="dxa"/>
        <w:tblLook w:val="04A0" w:firstRow="1" w:lastRow="0" w:firstColumn="1" w:lastColumn="0" w:noHBand="0" w:noVBand="1"/>
        <w:tblCaption w:val="Overview of the evaluation framework"/>
        <w:tblDescription w:val="Figure 2 diagram shows the components of each evaluation at the baseline, 18 month and 3 year time points. The components include qualitative interviews and surveys, system analysis and quantitative analysis."/>
      </w:tblPr>
      <w:tblGrid>
        <w:gridCol w:w="756"/>
        <w:gridCol w:w="2448"/>
        <w:gridCol w:w="432"/>
        <w:gridCol w:w="2448"/>
        <w:gridCol w:w="432"/>
        <w:gridCol w:w="2448"/>
      </w:tblGrid>
      <w:tr w:rsidR="00B209FD" w:rsidRPr="00150CD2" w14:paraId="4788A12C" w14:textId="77777777" w:rsidTr="009C7EC4">
        <w:trPr>
          <w:trHeight w:val="339"/>
        </w:trPr>
        <w:tc>
          <w:tcPr>
            <w:tcW w:w="756" w:type="dxa"/>
            <w:vMerge w:val="restart"/>
            <w:tcBorders>
              <w:top w:val="nil"/>
              <w:left w:val="nil"/>
              <w:bottom w:val="nil"/>
            </w:tcBorders>
            <w:shd w:val="clear" w:color="auto" w:fill="auto"/>
            <w:textDirection w:val="btLr"/>
          </w:tcPr>
          <w:p w14:paraId="4DB7F410" w14:textId="77777777" w:rsidR="00B209FD" w:rsidRPr="00150CD2" w:rsidRDefault="00B209FD" w:rsidP="00B209FD">
            <w:pPr>
              <w:spacing w:after="240"/>
              <w:ind w:left="113" w:right="113"/>
              <w:jc w:val="center"/>
              <w:rPr>
                <w:rFonts w:cs="Arial"/>
                <w:b/>
                <w:lang w:val="en-NZ" w:eastAsia="en-GB"/>
              </w:rPr>
            </w:pPr>
            <w:r w:rsidRPr="00150CD2">
              <w:rPr>
                <w:rFonts w:cs="Arial"/>
                <w:b/>
                <w:lang w:val="en-NZ" w:eastAsia="en-GB"/>
              </w:rPr>
              <w:t>Longitudinal outcomes</w:t>
            </w:r>
          </w:p>
        </w:tc>
        <w:tc>
          <w:tcPr>
            <w:tcW w:w="2448" w:type="dxa"/>
            <w:shd w:val="clear" w:color="auto" w:fill="BFBFBF"/>
          </w:tcPr>
          <w:p w14:paraId="251ADABD" w14:textId="58EF85D7" w:rsidR="00B209FD" w:rsidRPr="00150CD2" w:rsidRDefault="00B209FD" w:rsidP="00B209FD">
            <w:pPr>
              <w:spacing w:before="60" w:after="60"/>
              <w:ind w:left="113"/>
              <w:jc w:val="center"/>
              <w:rPr>
                <w:rFonts w:cs="Arial"/>
                <w:b/>
                <w:lang w:val="en-NZ" w:eastAsia="en-GB"/>
              </w:rPr>
            </w:pPr>
            <w:r w:rsidRPr="00150CD2">
              <w:rPr>
                <w:rFonts w:cs="Arial"/>
                <w:b/>
                <w:lang w:val="en-NZ" w:eastAsia="en-GB"/>
              </w:rPr>
              <w:t xml:space="preserve">Baseline – prior </w:t>
            </w:r>
            <w:r w:rsidR="00EC7EBF" w:rsidRPr="00150CD2">
              <w:rPr>
                <w:rFonts w:cs="Arial"/>
                <w:b/>
                <w:lang w:val="en-NZ" w:eastAsia="en-GB"/>
              </w:rPr>
              <w:t xml:space="preserve">to </w:t>
            </w:r>
            <w:r w:rsidRPr="00150CD2">
              <w:rPr>
                <w:rFonts w:cs="Arial"/>
                <w:b/>
                <w:lang w:val="en-NZ" w:eastAsia="en-GB"/>
              </w:rPr>
              <w:t>Mana Whaikaha (mid-2018)</w:t>
            </w:r>
          </w:p>
        </w:tc>
        <w:tc>
          <w:tcPr>
            <w:tcW w:w="432" w:type="dxa"/>
            <w:tcBorders>
              <w:top w:val="nil"/>
              <w:bottom w:val="nil"/>
            </w:tcBorders>
            <w:shd w:val="clear" w:color="auto" w:fill="FFFFFF"/>
            <w:vAlign w:val="center"/>
          </w:tcPr>
          <w:p w14:paraId="12463EBC" w14:textId="77777777" w:rsidR="00B209FD" w:rsidRPr="00150CD2" w:rsidRDefault="00B209FD" w:rsidP="00B209FD">
            <w:pPr>
              <w:spacing w:before="60" w:after="60"/>
              <w:ind w:left="-60"/>
              <w:jc w:val="center"/>
              <w:rPr>
                <w:rFonts w:cs="Arial"/>
                <w:b/>
                <w:lang w:val="en-NZ" w:eastAsia="en-GB"/>
              </w:rPr>
            </w:pPr>
          </w:p>
        </w:tc>
        <w:tc>
          <w:tcPr>
            <w:tcW w:w="2448" w:type="dxa"/>
            <w:shd w:val="clear" w:color="auto" w:fill="BFBFBF"/>
          </w:tcPr>
          <w:p w14:paraId="7FB9DDBB" w14:textId="486ED323" w:rsidR="00B209FD" w:rsidRPr="00150CD2" w:rsidRDefault="00B209FD" w:rsidP="00B209FD">
            <w:pPr>
              <w:spacing w:before="60" w:after="60"/>
              <w:ind w:left="113"/>
              <w:jc w:val="center"/>
              <w:rPr>
                <w:rFonts w:cs="Arial"/>
                <w:b/>
                <w:lang w:val="en-NZ" w:eastAsia="en-GB"/>
              </w:rPr>
            </w:pPr>
            <w:r w:rsidRPr="00150CD2">
              <w:rPr>
                <w:rFonts w:cs="Arial"/>
                <w:b/>
                <w:lang w:val="en-NZ" w:eastAsia="en-GB"/>
              </w:rPr>
              <w:t xml:space="preserve">18 month outcomes (original timeline </w:t>
            </w:r>
            <w:r w:rsidR="00A72745" w:rsidRPr="00150CD2">
              <w:rPr>
                <w:rFonts w:cs="Arial"/>
                <w:b/>
                <w:lang w:val="en-NZ" w:eastAsia="en-GB"/>
              </w:rPr>
              <w:t>mid-2020</w:t>
            </w:r>
            <w:r w:rsidRPr="00150CD2">
              <w:rPr>
                <w:rFonts w:cs="Arial"/>
                <w:b/>
                <w:lang w:val="en-NZ" w:eastAsia="en-GB"/>
              </w:rPr>
              <w:t>, postponed due to COVID-19)</w:t>
            </w:r>
          </w:p>
        </w:tc>
        <w:tc>
          <w:tcPr>
            <w:tcW w:w="432" w:type="dxa"/>
            <w:tcBorders>
              <w:top w:val="nil"/>
              <w:bottom w:val="nil"/>
              <w:right w:val="single" w:sz="4" w:space="0" w:color="auto"/>
            </w:tcBorders>
            <w:shd w:val="clear" w:color="auto" w:fill="FFFFFF"/>
          </w:tcPr>
          <w:p w14:paraId="187C3E21" w14:textId="77777777" w:rsidR="00B209FD" w:rsidRPr="00150CD2" w:rsidRDefault="00B209FD" w:rsidP="00B209FD">
            <w:pPr>
              <w:spacing w:before="60" w:after="60"/>
              <w:ind w:left="-104"/>
              <w:jc w:val="center"/>
              <w:rPr>
                <w:rFonts w:cs="Arial"/>
                <w:b/>
                <w:lang w:val="en-NZ" w:eastAsia="en-GB"/>
              </w:rPr>
            </w:pPr>
          </w:p>
        </w:tc>
        <w:tc>
          <w:tcPr>
            <w:tcW w:w="2448" w:type="dxa"/>
            <w:tcBorders>
              <w:top w:val="single" w:sz="4" w:space="0" w:color="auto"/>
              <w:left w:val="single" w:sz="4" w:space="0" w:color="auto"/>
              <w:bottom w:val="single" w:sz="4" w:space="0" w:color="auto"/>
              <w:right w:val="single" w:sz="4" w:space="0" w:color="auto"/>
            </w:tcBorders>
            <w:shd w:val="clear" w:color="auto" w:fill="BFBFBF"/>
          </w:tcPr>
          <w:p w14:paraId="716840BE" w14:textId="59BAB888" w:rsidR="00B209FD" w:rsidRPr="00150CD2" w:rsidRDefault="00B209FD" w:rsidP="00B209FD">
            <w:pPr>
              <w:spacing w:before="60" w:after="60"/>
              <w:ind w:left="113"/>
              <w:jc w:val="center"/>
              <w:rPr>
                <w:rFonts w:cs="Arial"/>
                <w:b/>
                <w:lang w:val="en-NZ" w:eastAsia="en-GB"/>
              </w:rPr>
            </w:pPr>
            <w:r w:rsidRPr="00150CD2">
              <w:rPr>
                <w:rFonts w:cs="Arial"/>
                <w:b/>
                <w:lang w:val="en-NZ" w:eastAsia="en-GB"/>
              </w:rPr>
              <w:t>3 year outcomes (original timeline October 2021)</w:t>
            </w:r>
          </w:p>
        </w:tc>
      </w:tr>
      <w:tr w:rsidR="00B209FD" w:rsidRPr="00150CD2" w14:paraId="42BE3E03" w14:textId="77777777" w:rsidTr="009C7EC4">
        <w:trPr>
          <w:trHeight w:val="573"/>
        </w:trPr>
        <w:tc>
          <w:tcPr>
            <w:tcW w:w="756" w:type="dxa"/>
            <w:vMerge/>
            <w:tcBorders>
              <w:top w:val="nil"/>
              <w:left w:val="nil"/>
              <w:bottom w:val="nil"/>
            </w:tcBorders>
            <w:shd w:val="clear" w:color="auto" w:fill="auto"/>
          </w:tcPr>
          <w:p w14:paraId="7EEEC63F" w14:textId="77777777" w:rsidR="00B209FD" w:rsidRPr="00150CD2" w:rsidRDefault="00B209FD" w:rsidP="00B209FD">
            <w:pPr>
              <w:spacing w:before="60" w:after="60"/>
              <w:ind w:left="113"/>
              <w:jc w:val="center"/>
              <w:rPr>
                <w:rFonts w:cs="Arial"/>
                <w:lang w:val="en-NZ" w:eastAsia="en-GB"/>
              </w:rPr>
            </w:pPr>
          </w:p>
        </w:tc>
        <w:tc>
          <w:tcPr>
            <w:tcW w:w="2448" w:type="dxa"/>
          </w:tcPr>
          <w:p w14:paraId="29386C6E" w14:textId="77777777" w:rsidR="00B209FD" w:rsidRPr="00150CD2" w:rsidRDefault="00B209FD" w:rsidP="00B209FD">
            <w:pPr>
              <w:spacing w:before="60" w:after="60"/>
              <w:ind w:left="113"/>
              <w:jc w:val="center"/>
              <w:rPr>
                <w:rFonts w:cs="Arial"/>
                <w:lang w:val="en-NZ" w:eastAsia="en-GB"/>
              </w:rPr>
            </w:pPr>
            <w:r w:rsidRPr="00150CD2">
              <w:rPr>
                <w:rFonts w:cs="Arial"/>
                <w:lang w:val="en-NZ" w:eastAsia="en-GB"/>
              </w:rPr>
              <w:t>Qualitative interviews and surveys</w:t>
            </w:r>
          </w:p>
        </w:tc>
        <w:tc>
          <w:tcPr>
            <w:tcW w:w="432" w:type="dxa"/>
            <w:tcBorders>
              <w:top w:val="nil"/>
              <w:bottom w:val="nil"/>
            </w:tcBorders>
            <w:vAlign w:val="center"/>
          </w:tcPr>
          <w:p w14:paraId="74A47014" w14:textId="77777777" w:rsidR="00B209FD" w:rsidRPr="00150CD2" w:rsidRDefault="00B209FD" w:rsidP="00B209FD">
            <w:pPr>
              <w:spacing w:before="60" w:after="60"/>
              <w:ind w:left="-60"/>
              <w:jc w:val="center"/>
              <w:rPr>
                <w:rFonts w:cs="Arial"/>
                <w:lang w:val="en-NZ" w:eastAsia="en-GB"/>
              </w:rPr>
            </w:pPr>
          </w:p>
        </w:tc>
        <w:tc>
          <w:tcPr>
            <w:tcW w:w="2448" w:type="dxa"/>
          </w:tcPr>
          <w:p w14:paraId="636CB157" w14:textId="77777777" w:rsidR="00B209FD" w:rsidRPr="00150CD2" w:rsidRDefault="00B209FD" w:rsidP="00B209FD">
            <w:pPr>
              <w:spacing w:before="60" w:after="60"/>
              <w:ind w:left="113"/>
              <w:jc w:val="center"/>
              <w:rPr>
                <w:rFonts w:cs="Arial"/>
                <w:lang w:val="en-NZ" w:eastAsia="en-GB"/>
              </w:rPr>
            </w:pPr>
            <w:r w:rsidRPr="00150CD2">
              <w:rPr>
                <w:rFonts w:cs="Arial"/>
                <w:lang w:val="en-NZ" w:eastAsia="en-GB"/>
              </w:rPr>
              <w:t>Qualitative interviews and surveys</w:t>
            </w:r>
          </w:p>
        </w:tc>
        <w:tc>
          <w:tcPr>
            <w:tcW w:w="432" w:type="dxa"/>
            <w:tcBorders>
              <w:top w:val="nil"/>
              <w:bottom w:val="nil"/>
              <w:right w:val="single" w:sz="4" w:space="0" w:color="auto"/>
            </w:tcBorders>
          </w:tcPr>
          <w:p w14:paraId="5BDC3D08" w14:textId="77777777" w:rsidR="00B209FD" w:rsidRPr="00150CD2" w:rsidRDefault="00B209FD" w:rsidP="00B209FD">
            <w:pPr>
              <w:spacing w:before="60" w:after="60"/>
              <w:ind w:left="-104"/>
              <w:jc w:val="center"/>
              <w:rPr>
                <w:rFonts w:cs="Arial"/>
                <w:lang w:val="en-NZ" w:eastAsia="en-GB"/>
              </w:rPr>
            </w:pPr>
          </w:p>
        </w:tc>
        <w:tc>
          <w:tcPr>
            <w:tcW w:w="2448" w:type="dxa"/>
            <w:tcBorders>
              <w:top w:val="single" w:sz="4" w:space="0" w:color="auto"/>
              <w:left w:val="single" w:sz="4" w:space="0" w:color="auto"/>
              <w:bottom w:val="single" w:sz="4" w:space="0" w:color="auto"/>
              <w:right w:val="single" w:sz="4" w:space="0" w:color="auto"/>
            </w:tcBorders>
          </w:tcPr>
          <w:p w14:paraId="2B1E415C" w14:textId="77777777" w:rsidR="00B209FD" w:rsidRPr="00150CD2" w:rsidRDefault="00B209FD" w:rsidP="00B209FD">
            <w:pPr>
              <w:spacing w:before="60" w:after="60"/>
              <w:ind w:left="113"/>
              <w:jc w:val="center"/>
              <w:rPr>
                <w:rFonts w:cs="Arial"/>
                <w:lang w:val="en-NZ" w:eastAsia="en-GB"/>
              </w:rPr>
            </w:pPr>
            <w:r w:rsidRPr="00150CD2">
              <w:rPr>
                <w:rFonts w:cs="Arial"/>
                <w:lang w:val="en-NZ" w:eastAsia="en-GB"/>
              </w:rPr>
              <w:t>Qualitative interviews and surveys</w:t>
            </w:r>
          </w:p>
        </w:tc>
      </w:tr>
      <w:tr w:rsidR="00B209FD" w:rsidRPr="00150CD2" w14:paraId="0A9E18D5" w14:textId="77777777" w:rsidTr="009C7EC4">
        <w:trPr>
          <w:trHeight w:val="351"/>
        </w:trPr>
        <w:tc>
          <w:tcPr>
            <w:tcW w:w="756" w:type="dxa"/>
            <w:vMerge/>
            <w:tcBorders>
              <w:top w:val="nil"/>
              <w:left w:val="nil"/>
              <w:bottom w:val="nil"/>
            </w:tcBorders>
            <w:shd w:val="clear" w:color="auto" w:fill="auto"/>
          </w:tcPr>
          <w:p w14:paraId="07630FC3" w14:textId="77777777" w:rsidR="00B209FD" w:rsidRPr="00150CD2" w:rsidRDefault="00B209FD" w:rsidP="00B209FD">
            <w:pPr>
              <w:spacing w:before="60" w:after="60"/>
              <w:ind w:left="113"/>
              <w:jc w:val="center"/>
              <w:rPr>
                <w:rFonts w:cs="Arial"/>
                <w:lang w:val="en-NZ" w:eastAsia="en-GB"/>
              </w:rPr>
            </w:pPr>
          </w:p>
        </w:tc>
        <w:tc>
          <w:tcPr>
            <w:tcW w:w="2448" w:type="dxa"/>
          </w:tcPr>
          <w:p w14:paraId="7E606ED2" w14:textId="77777777" w:rsidR="00B209FD" w:rsidRPr="00150CD2" w:rsidRDefault="00B209FD" w:rsidP="00B209FD">
            <w:pPr>
              <w:spacing w:before="60" w:after="60"/>
              <w:ind w:left="113"/>
              <w:jc w:val="center"/>
              <w:rPr>
                <w:rFonts w:cs="Arial"/>
                <w:lang w:val="en-NZ" w:eastAsia="en-GB"/>
              </w:rPr>
            </w:pPr>
            <w:r w:rsidRPr="00150CD2">
              <w:rPr>
                <w:rFonts w:cs="Arial"/>
                <w:lang w:val="en-NZ" w:eastAsia="en-GB"/>
              </w:rPr>
              <w:t>System analysis</w:t>
            </w:r>
          </w:p>
        </w:tc>
        <w:tc>
          <w:tcPr>
            <w:tcW w:w="432" w:type="dxa"/>
            <w:tcBorders>
              <w:top w:val="nil"/>
              <w:bottom w:val="nil"/>
            </w:tcBorders>
            <w:vAlign w:val="center"/>
          </w:tcPr>
          <w:p w14:paraId="54887D54" w14:textId="77777777" w:rsidR="00B209FD" w:rsidRPr="00150CD2" w:rsidRDefault="00B209FD" w:rsidP="00B209FD">
            <w:pPr>
              <w:spacing w:before="60" w:after="60"/>
              <w:ind w:left="-60"/>
              <w:jc w:val="center"/>
              <w:rPr>
                <w:rFonts w:cs="Arial"/>
                <w:lang w:val="en-NZ" w:eastAsia="en-GB"/>
              </w:rPr>
            </w:pPr>
          </w:p>
        </w:tc>
        <w:tc>
          <w:tcPr>
            <w:tcW w:w="2448" w:type="dxa"/>
          </w:tcPr>
          <w:p w14:paraId="133CCFEB" w14:textId="77777777" w:rsidR="00B209FD" w:rsidRPr="00150CD2" w:rsidRDefault="00B209FD" w:rsidP="00B209FD">
            <w:pPr>
              <w:spacing w:before="60" w:after="60"/>
              <w:ind w:left="113"/>
              <w:jc w:val="center"/>
              <w:rPr>
                <w:rFonts w:cs="Arial"/>
                <w:lang w:val="en-NZ" w:eastAsia="en-GB"/>
              </w:rPr>
            </w:pPr>
            <w:r w:rsidRPr="00150CD2">
              <w:rPr>
                <w:rFonts w:cs="Arial"/>
                <w:lang w:val="en-NZ" w:eastAsia="en-GB"/>
              </w:rPr>
              <w:t>System analysis</w:t>
            </w:r>
          </w:p>
        </w:tc>
        <w:tc>
          <w:tcPr>
            <w:tcW w:w="432" w:type="dxa"/>
            <w:tcBorders>
              <w:top w:val="nil"/>
              <w:bottom w:val="nil"/>
              <w:right w:val="single" w:sz="4" w:space="0" w:color="auto"/>
            </w:tcBorders>
          </w:tcPr>
          <w:p w14:paraId="1F011A07" w14:textId="77777777" w:rsidR="00B209FD" w:rsidRPr="00150CD2" w:rsidRDefault="00B209FD" w:rsidP="00B209FD">
            <w:pPr>
              <w:spacing w:before="60" w:after="60"/>
              <w:ind w:left="-104"/>
              <w:jc w:val="center"/>
              <w:rPr>
                <w:rFonts w:cs="Arial"/>
                <w:lang w:val="en-NZ" w:eastAsia="en-GB"/>
              </w:rPr>
            </w:pPr>
          </w:p>
        </w:tc>
        <w:tc>
          <w:tcPr>
            <w:tcW w:w="2448" w:type="dxa"/>
            <w:tcBorders>
              <w:top w:val="single" w:sz="4" w:space="0" w:color="auto"/>
              <w:left w:val="single" w:sz="4" w:space="0" w:color="auto"/>
              <w:bottom w:val="single" w:sz="4" w:space="0" w:color="auto"/>
              <w:right w:val="single" w:sz="4" w:space="0" w:color="auto"/>
            </w:tcBorders>
          </w:tcPr>
          <w:p w14:paraId="0850461A" w14:textId="77777777" w:rsidR="00B209FD" w:rsidRPr="00150CD2" w:rsidRDefault="00B209FD" w:rsidP="00B209FD">
            <w:pPr>
              <w:spacing w:before="60" w:after="60"/>
              <w:ind w:left="113"/>
              <w:jc w:val="center"/>
              <w:rPr>
                <w:rFonts w:cs="Arial"/>
                <w:lang w:val="en-NZ" w:eastAsia="en-GB"/>
              </w:rPr>
            </w:pPr>
            <w:r w:rsidRPr="00150CD2">
              <w:rPr>
                <w:rFonts w:cs="Arial"/>
                <w:lang w:val="en-NZ" w:eastAsia="en-GB"/>
              </w:rPr>
              <w:t>System analysis</w:t>
            </w:r>
          </w:p>
        </w:tc>
      </w:tr>
      <w:tr w:rsidR="00B209FD" w:rsidRPr="00150CD2" w14:paraId="2C0AC887" w14:textId="77777777" w:rsidTr="009C7EC4">
        <w:trPr>
          <w:trHeight w:val="585"/>
        </w:trPr>
        <w:tc>
          <w:tcPr>
            <w:tcW w:w="756" w:type="dxa"/>
            <w:vMerge/>
            <w:tcBorders>
              <w:top w:val="nil"/>
              <w:left w:val="nil"/>
              <w:bottom w:val="nil"/>
            </w:tcBorders>
            <w:shd w:val="clear" w:color="auto" w:fill="auto"/>
          </w:tcPr>
          <w:p w14:paraId="10D5140B" w14:textId="77777777" w:rsidR="00B209FD" w:rsidRPr="00150CD2" w:rsidRDefault="00B209FD" w:rsidP="00B209FD">
            <w:pPr>
              <w:spacing w:before="60" w:after="60"/>
              <w:ind w:left="113"/>
              <w:jc w:val="center"/>
              <w:rPr>
                <w:rFonts w:cs="Arial"/>
                <w:lang w:val="en-NZ" w:eastAsia="en-GB"/>
              </w:rPr>
            </w:pPr>
          </w:p>
        </w:tc>
        <w:tc>
          <w:tcPr>
            <w:tcW w:w="2448" w:type="dxa"/>
            <w:tcBorders>
              <w:bottom w:val="single" w:sz="4" w:space="0" w:color="auto"/>
            </w:tcBorders>
            <w:shd w:val="clear" w:color="auto" w:fill="auto"/>
          </w:tcPr>
          <w:p w14:paraId="596E9EAB" w14:textId="09A0F7CC" w:rsidR="00B209FD" w:rsidRPr="00150CD2" w:rsidRDefault="004844AF" w:rsidP="00B209FD">
            <w:pPr>
              <w:spacing w:before="60" w:after="60"/>
              <w:ind w:left="113"/>
              <w:jc w:val="center"/>
              <w:rPr>
                <w:rFonts w:cs="Arial"/>
                <w:lang w:val="en-NZ" w:eastAsia="en-GB"/>
              </w:rPr>
            </w:pPr>
            <w:r w:rsidRPr="00150CD2">
              <w:rPr>
                <w:rFonts w:cs="Arial"/>
                <w:noProof/>
                <w:lang w:val="en-NZ"/>
              </w:rPr>
              <mc:AlternateContent>
                <mc:Choice Requires="wps">
                  <w:drawing>
                    <wp:anchor distT="0" distB="0" distL="114300" distR="114300" simplePos="0" relativeHeight="251677696" behindDoc="0" locked="0" layoutInCell="1" allowOverlap="1" wp14:anchorId="3D632331" wp14:editId="4A98AFDA">
                      <wp:simplePos x="0" y="0"/>
                      <wp:positionH relativeFrom="column">
                        <wp:posOffset>1057670</wp:posOffset>
                      </wp:positionH>
                      <wp:positionV relativeFrom="paragraph">
                        <wp:posOffset>365317</wp:posOffset>
                      </wp:positionV>
                      <wp:extent cx="2862173" cy="454025"/>
                      <wp:effectExtent l="19050" t="38100" r="33655" b="60325"/>
                      <wp:wrapNone/>
                      <wp:docPr id="27" name="Left-Right Arrow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62173" cy="454025"/>
                              </a:xfrm>
                              <a:prstGeom prst="leftRightArrow">
                                <a:avLst>
                                  <a:gd name="adj1" fmla="val 50000"/>
                                  <a:gd name="adj2" fmla="val 34307"/>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1735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5" o:spid="_x0000_s1026" type="#_x0000_t69" style="position:absolute;margin-left:83.3pt;margin-top:28.75pt;width:225.3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" adj="1175" fillcolor="#4472c4" strokecolor="#2f528f" strokeweight="1pt"/>
                  </w:pict>
                </mc:Fallback>
              </mc:AlternateContent>
            </w:r>
            <w:r w:rsidR="00B209FD" w:rsidRPr="00150CD2">
              <w:rPr>
                <w:rFonts w:cs="Arial"/>
                <w:lang w:val="en-NZ" w:eastAsia="en-GB"/>
              </w:rPr>
              <w:t>Quantitative analysis - IDI</w:t>
            </w:r>
            <w:r w:rsidR="00B209FD" w:rsidRPr="00150CD2">
              <w:rPr>
                <w:rFonts w:cs="Arial"/>
                <w:vertAlign w:val="superscript"/>
                <w:lang w:val="en-NZ" w:eastAsia="en-GB"/>
              </w:rPr>
              <w:footnoteReference w:id="7"/>
            </w:r>
          </w:p>
        </w:tc>
        <w:tc>
          <w:tcPr>
            <w:tcW w:w="432" w:type="dxa"/>
            <w:tcBorders>
              <w:top w:val="nil"/>
              <w:bottom w:val="nil"/>
            </w:tcBorders>
            <w:vAlign w:val="center"/>
          </w:tcPr>
          <w:p w14:paraId="03C9FA90" w14:textId="0716FC6D" w:rsidR="00B209FD" w:rsidRPr="00150CD2" w:rsidRDefault="00B209FD" w:rsidP="00B209FD">
            <w:pPr>
              <w:spacing w:before="60" w:after="60"/>
              <w:ind w:left="-60"/>
              <w:jc w:val="center"/>
              <w:rPr>
                <w:rFonts w:cs="Arial"/>
                <w:lang w:val="en-NZ" w:eastAsia="en-GB"/>
              </w:rPr>
            </w:pPr>
          </w:p>
        </w:tc>
        <w:tc>
          <w:tcPr>
            <w:tcW w:w="2448" w:type="dxa"/>
            <w:tcBorders>
              <w:bottom w:val="single" w:sz="4" w:space="0" w:color="auto"/>
            </w:tcBorders>
            <w:shd w:val="clear" w:color="auto" w:fill="auto"/>
          </w:tcPr>
          <w:p w14:paraId="769E2420" w14:textId="77777777" w:rsidR="00B209FD" w:rsidRPr="00150CD2" w:rsidRDefault="00B209FD" w:rsidP="00B209FD">
            <w:pPr>
              <w:spacing w:before="60" w:after="60"/>
              <w:ind w:left="113"/>
              <w:jc w:val="center"/>
              <w:rPr>
                <w:rFonts w:cs="Arial"/>
                <w:lang w:val="en-NZ" w:eastAsia="en-GB"/>
              </w:rPr>
            </w:pPr>
            <w:r w:rsidRPr="00150CD2">
              <w:rPr>
                <w:rFonts w:cs="Arial"/>
                <w:lang w:val="en-NZ" w:eastAsia="en-GB"/>
              </w:rPr>
              <w:t>Quantitative analysis - IDI</w:t>
            </w:r>
          </w:p>
        </w:tc>
        <w:tc>
          <w:tcPr>
            <w:tcW w:w="432" w:type="dxa"/>
            <w:tcBorders>
              <w:top w:val="nil"/>
              <w:bottom w:val="nil"/>
              <w:right w:val="single" w:sz="4" w:space="0" w:color="auto"/>
            </w:tcBorders>
          </w:tcPr>
          <w:p w14:paraId="2BDCDA36" w14:textId="77777777" w:rsidR="00B209FD" w:rsidRPr="00150CD2" w:rsidRDefault="00B209FD" w:rsidP="00B209FD">
            <w:pPr>
              <w:spacing w:before="60" w:after="60"/>
              <w:ind w:left="-104"/>
              <w:jc w:val="center"/>
              <w:rPr>
                <w:rFonts w:cs="Arial"/>
                <w:lang w:val="en-NZ" w:eastAsia="en-GB"/>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52AC0363" w14:textId="77777777" w:rsidR="00B209FD" w:rsidRPr="00150CD2" w:rsidRDefault="00B209FD" w:rsidP="00B209FD">
            <w:pPr>
              <w:spacing w:before="60" w:after="60"/>
              <w:ind w:left="113"/>
              <w:jc w:val="center"/>
              <w:rPr>
                <w:rFonts w:cs="Arial"/>
                <w:lang w:val="en-NZ" w:eastAsia="en-GB"/>
              </w:rPr>
            </w:pPr>
            <w:r w:rsidRPr="00150CD2">
              <w:rPr>
                <w:rFonts w:cs="Arial"/>
                <w:lang w:val="en-NZ" w:eastAsia="en-GB"/>
              </w:rPr>
              <w:t>Quantitative analysis - IDI</w:t>
            </w:r>
          </w:p>
        </w:tc>
      </w:tr>
      <w:tr w:rsidR="00B209FD" w:rsidRPr="00150CD2" w14:paraId="7F24A179" w14:textId="77777777" w:rsidTr="009C7EC4">
        <w:trPr>
          <w:trHeight w:val="327"/>
        </w:trPr>
        <w:tc>
          <w:tcPr>
            <w:tcW w:w="756" w:type="dxa"/>
            <w:tcBorders>
              <w:top w:val="nil"/>
              <w:left w:val="nil"/>
              <w:bottom w:val="nil"/>
              <w:right w:val="nil"/>
            </w:tcBorders>
          </w:tcPr>
          <w:p w14:paraId="21163E1A" w14:textId="77777777" w:rsidR="00B209FD" w:rsidRPr="00150CD2" w:rsidRDefault="00B209FD" w:rsidP="00B209FD">
            <w:pPr>
              <w:spacing w:before="60" w:after="60"/>
              <w:ind w:left="113"/>
              <w:jc w:val="center"/>
              <w:rPr>
                <w:rFonts w:cs="Arial"/>
                <w:noProof/>
                <w:lang w:val="en-NZ" w:eastAsia="en-GB"/>
              </w:rPr>
            </w:pPr>
          </w:p>
        </w:tc>
        <w:tc>
          <w:tcPr>
            <w:tcW w:w="2448" w:type="dxa"/>
            <w:tcBorders>
              <w:top w:val="single" w:sz="4" w:space="0" w:color="auto"/>
              <w:left w:val="nil"/>
              <w:bottom w:val="nil"/>
              <w:right w:val="nil"/>
            </w:tcBorders>
          </w:tcPr>
          <w:p w14:paraId="6D594249" w14:textId="42992EB0" w:rsidR="00B209FD" w:rsidRPr="00150CD2" w:rsidRDefault="00B209FD" w:rsidP="00B209FD">
            <w:pPr>
              <w:spacing w:before="60" w:after="60"/>
              <w:ind w:left="113"/>
              <w:jc w:val="center"/>
              <w:rPr>
                <w:rFonts w:cs="Arial"/>
                <w:lang w:val="en-NZ" w:eastAsia="en-GB"/>
              </w:rPr>
            </w:pPr>
            <w:r w:rsidRPr="00150CD2">
              <w:rPr>
                <w:rFonts w:cs="Arial"/>
                <w:noProof/>
                <w:lang w:val="en-NZ"/>
              </w:rPr>
              <mc:AlternateContent>
                <mc:Choice Requires="wps">
                  <w:drawing>
                    <wp:anchor distT="0" distB="0" distL="114300" distR="114300" simplePos="0" relativeHeight="251672576" behindDoc="0" locked="0" layoutInCell="1" allowOverlap="1" wp14:anchorId="66109C1A" wp14:editId="5E9F2A04">
                      <wp:simplePos x="0" y="0"/>
                      <wp:positionH relativeFrom="column">
                        <wp:posOffset>661035</wp:posOffset>
                      </wp:positionH>
                      <wp:positionV relativeFrom="paragraph">
                        <wp:posOffset>64770</wp:posOffset>
                      </wp:positionV>
                      <wp:extent cx="256540" cy="361315"/>
                      <wp:effectExtent l="19050" t="0" r="10160" b="38735"/>
                      <wp:wrapNone/>
                      <wp:docPr id="22" name="Down Arrow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6540" cy="3613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EF0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52.05pt;margin-top:5.1pt;width:20.2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" adj="13932" fillcolor="#4472c4" strokecolor="#2f528f" strokeweight="1pt"/>
                  </w:pict>
                </mc:Fallback>
              </mc:AlternateContent>
            </w:r>
          </w:p>
        </w:tc>
        <w:tc>
          <w:tcPr>
            <w:tcW w:w="432" w:type="dxa"/>
            <w:tcBorders>
              <w:top w:val="nil"/>
              <w:left w:val="nil"/>
              <w:bottom w:val="nil"/>
              <w:right w:val="nil"/>
            </w:tcBorders>
          </w:tcPr>
          <w:p w14:paraId="1450D85E" w14:textId="77BF1B50" w:rsidR="00B209FD" w:rsidRPr="00150CD2" w:rsidRDefault="00B209FD" w:rsidP="00B209FD">
            <w:pPr>
              <w:spacing w:before="60" w:after="60"/>
              <w:ind w:left="113"/>
              <w:jc w:val="center"/>
              <w:rPr>
                <w:rFonts w:cs="Arial"/>
                <w:lang w:val="en-NZ" w:eastAsia="en-GB"/>
              </w:rPr>
            </w:pPr>
          </w:p>
        </w:tc>
        <w:tc>
          <w:tcPr>
            <w:tcW w:w="2448" w:type="dxa"/>
            <w:tcBorders>
              <w:top w:val="single" w:sz="4" w:space="0" w:color="auto"/>
              <w:left w:val="nil"/>
              <w:bottom w:val="nil"/>
              <w:right w:val="nil"/>
            </w:tcBorders>
          </w:tcPr>
          <w:p w14:paraId="7C894CB6" w14:textId="5108391B" w:rsidR="00B209FD" w:rsidRPr="00150CD2" w:rsidRDefault="008A4539" w:rsidP="00B209FD">
            <w:pPr>
              <w:spacing w:before="60" w:after="60"/>
              <w:ind w:left="113"/>
              <w:jc w:val="center"/>
              <w:rPr>
                <w:rFonts w:cs="Arial"/>
                <w:lang w:val="en-NZ" w:eastAsia="en-GB"/>
              </w:rPr>
            </w:pPr>
            <w:r w:rsidRPr="00150CD2">
              <w:rPr>
                <w:rFonts w:cs="Arial"/>
                <w:noProof/>
                <w:lang w:val="en-NZ"/>
              </w:rPr>
              <mc:AlternateContent>
                <mc:Choice Requires="wps">
                  <w:drawing>
                    <wp:anchor distT="0" distB="0" distL="114300" distR="114300" simplePos="0" relativeHeight="251681792" behindDoc="0" locked="0" layoutInCell="1" allowOverlap="1" wp14:anchorId="3B5DEBE9" wp14:editId="5A66D800">
                      <wp:simplePos x="0" y="0"/>
                      <wp:positionH relativeFrom="column">
                        <wp:posOffset>353629</wp:posOffset>
                      </wp:positionH>
                      <wp:positionV relativeFrom="paragraph">
                        <wp:posOffset>84257</wp:posOffset>
                      </wp:positionV>
                      <wp:extent cx="808990" cy="285750"/>
                      <wp:effectExtent l="0" t="0" r="0" b="0"/>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08990" cy="285750"/>
                              </a:xfrm>
                              <a:prstGeom prst="rect">
                                <a:avLst/>
                              </a:prstGeom>
                              <a:noFill/>
                              <a:ln w="6350">
                                <a:noFill/>
                              </a:ln>
                            </wps:spPr>
                            <wps:txbx>
                              <w:txbxContent>
                                <w:p w14:paraId="7D9D8143" w14:textId="77777777" w:rsidR="002D52CF" w:rsidRPr="00DC0A63" w:rsidRDefault="002D52CF" w:rsidP="00B209FD">
                                  <w:pPr>
                                    <w:jc w:val="center"/>
                                    <w:rPr>
                                      <w:b/>
                                      <w:bCs/>
                                      <w:color w:val="FFFFFF" w:themeColor="background1"/>
                                      <w:lang w:val="en-US"/>
                                    </w:rPr>
                                  </w:pPr>
                                  <w:r w:rsidRPr="00DC0A63">
                                    <w:rPr>
                                      <w:b/>
                                      <w:bCs/>
                                      <w:color w:val="FFFFFF" w:themeColor="background1"/>
                                      <w:lang w:val="en-US"/>
                                    </w:rPr>
                                    <w:t>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DEBE9" id="Text Box 24" o:spid="_x0000_s1027" type="#_x0000_t202" style="position:absolute;left:0;text-align:left;margin-left:27.85pt;margin-top:6.65pt;width:63.7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" filled="f" stroked="f" strokeweight=".5pt">
                      <v:textbox>
                        <w:txbxContent>
                          <w:p w14:paraId="7D9D8143" w14:textId="77777777" w:rsidR="002D52CF" w:rsidRPr="00DC0A63" w:rsidRDefault="002D52CF" w:rsidP="00B209FD">
                            <w:pPr>
                              <w:jc w:val="center"/>
                              <w:rPr>
                                <w:b/>
                                <w:bCs/>
                                <w:color w:val="FFFFFF" w:themeColor="background1"/>
                                <w:lang w:val="en-US"/>
                              </w:rPr>
                            </w:pPr>
                            <w:r w:rsidRPr="00DC0A63">
                              <w:rPr>
                                <w:b/>
                                <w:bCs/>
                                <w:color w:val="FFFFFF" w:themeColor="background1"/>
                                <w:lang w:val="en-US"/>
                              </w:rPr>
                              <w:t>Impacts</w:t>
                            </w:r>
                          </w:p>
                        </w:txbxContent>
                      </v:textbox>
                    </v:shape>
                  </w:pict>
                </mc:Fallback>
              </mc:AlternateContent>
            </w:r>
          </w:p>
        </w:tc>
        <w:tc>
          <w:tcPr>
            <w:tcW w:w="432" w:type="dxa"/>
            <w:tcBorders>
              <w:top w:val="nil"/>
              <w:left w:val="nil"/>
              <w:bottom w:val="nil"/>
              <w:right w:val="nil"/>
            </w:tcBorders>
          </w:tcPr>
          <w:p w14:paraId="3A50D5A8" w14:textId="582DA263" w:rsidR="00B209FD" w:rsidRPr="00150CD2" w:rsidRDefault="00B209FD" w:rsidP="00B209FD">
            <w:pPr>
              <w:spacing w:before="60" w:after="60"/>
              <w:ind w:left="113"/>
              <w:jc w:val="center"/>
              <w:rPr>
                <w:rFonts w:cs="Arial"/>
                <w:lang w:val="en-NZ" w:eastAsia="en-GB"/>
              </w:rPr>
            </w:pPr>
          </w:p>
        </w:tc>
        <w:tc>
          <w:tcPr>
            <w:tcW w:w="2448" w:type="dxa"/>
            <w:tcBorders>
              <w:top w:val="single" w:sz="4" w:space="0" w:color="auto"/>
              <w:left w:val="nil"/>
              <w:bottom w:val="nil"/>
              <w:right w:val="nil"/>
            </w:tcBorders>
            <w:vAlign w:val="center"/>
          </w:tcPr>
          <w:p w14:paraId="4A216B77" w14:textId="2D5A3613" w:rsidR="00B209FD" w:rsidRPr="00150CD2" w:rsidRDefault="00B209FD" w:rsidP="00B209FD">
            <w:pPr>
              <w:spacing w:before="60" w:after="60"/>
              <w:ind w:left="113"/>
              <w:jc w:val="center"/>
              <w:rPr>
                <w:rFonts w:cs="Arial"/>
                <w:lang w:val="en-NZ" w:eastAsia="en-GB"/>
              </w:rPr>
            </w:pPr>
            <w:r w:rsidRPr="00150CD2">
              <w:rPr>
                <w:rFonts w:cs="Arial"/>
                <w:noProof/>
                <w:lang w:val="en-NZ"/>
              </w:rPr>
              <mc:AlternateContent>
                <mc:Choice Requires="wps">
                  <w:drawing>
                    <wp:anchor distT="0" distB="0" distL="114300" distR="114300" simplePos="0" relativeHeight="251676672" behindDoc="0" locked="0" layoutInCell="1" allowOverlap="1" wp14:anchorId="5023CDB6" wp14:editId="1B1BC3E8">
                      <wp:simplePos x="0" y="0"/>
                      <wp:positionH relativeFrom="column">
                        <wp:posOffset>633095</wp:posOffset>
                      </wp:positionH>
                      <wp:positionV relativeFrom="paragraph">
                        <wp:posOffset>86360</wp:posOffset>
                      </wp:positionV>
                      <wp:extent cx="256540" cy="361315"/>
                      <wp:effectExtent l="19050" t="0" r="10160" b="38735"/>
                      <wp:wrapNone/>
                      <wp:docPr id="14" name="Down Arrow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6540" cy="3613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A3E49" id="Down Arrow 14" o:spid="_x0000_s1026" type="#_x0000_t67" style="position:absolute;margin-left:49.85pt;margin-top:6.8pt;width:20.2pt;height:2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" adj="13932" fillcolor="#4472c4" strokecolor="#2f528f" strokeweight="1pt"/>
                  </w:pict>
                </mc:Fallback>
              </mc:AlternateContent>
            </w:r>
          </w:p>
        </w:tc>
      </w:tr>
      <w:tr w:rsidR="00B209FD" w:rsidRPr="00150CD2" w14:paraId="6C61268B" w14:textId="77777777" w:rsidTr="009C7EC4">
        <w:trPr>
          <w:trHeight w:val="983"/>
        </w:trPr>
        <w:tc>
          <w:tcPr>
            <w:tcW w:w="756" w:type="dxa"/>
            <w:tcBorders>
              <w:top w:val="nil"/>
              <w:left w:val="nil"/>
              <w:bottom w:val="nil"/>
              <w:right w:val="nil"/>
            </w:tcBorders>
          </w:tcPr>
          <w:p w14:paraId="111684C4" w14:textId="77777777" w:rsidR="00B209FD" w:rsidRPr="00150CD2" w:rsidRDefault="00B209FD" w:rsidP="00B209FD">
            <w:pPr>
              <w:ind w:left="113"/>
              <w:jc w:val="center"/>
              <w:rPr>
                <w:rFonts w:cs="Arial"/>
                <w:noProof/>
                <w:lang w:val="en-NZ" w:eastAsia="en-GB"/>
              </w:rPr>
            </w:pPr>
          </w:p>
        </w:tc>
        <w:tc>
          <w:tcPr>
            <w:tcW w:w="2448" w:type="dxa"/>
            <w:tcBorders>
              <w:top w:val="nil"/>
              <w:left w:val="nil"/>
              <w:bottom w:val="nil"/>
              <w:right w:val="nil"/>
            </w:tcBorders>
          </w:tcPr>
          <w:p w14:paraId="27F01657" w14:textId="77777777" w:rsidR="00B209FD" w:rsidRPr="00150CD2" w:rsidRDefault="00B209FD" w:rsidP="00B209FD">
            <w:pPr>
              <w:ind w:left="113"/>
              <w:jc w:val="center"/>
              <w:rPr>
                <w:rFonts w:cs="Arial"/>
                <w:lang w:val="en-NZ" w:eastAsia="en-GB"/>
              </w:rPr>
            </w:pPr>
          </w:p>
          <w:p w14:paraId="4095D7DB" w14:textId="77777777" w:rsidR="00B209FD" w:rsidRPr="00150CD2" w:rsidRDefault="00B209FD" w:rsidP="00B209FD">
            <w:pPr>
              <w:ind w:left="113"/>
              <w:jc w:val="center"/>
              <w:rPr>
                <w:rFonts w:cs="Arial"/>
                <w:b/>
                <w:lang w:val="en-NZ" w:eastAsia="en-GB"/>
              </w:rPr>
            </w:pPr>
          </w:p>
          <w:p w14:paraId="4F86B4A4" w14:textId="77777777" w:rsidR="00B209FD" w:rsidRPr="00150CD2" w:rsidRDefault="00B209FD" w:rsidP="00B209FD">
            <w:pPr>
              <w:ind w:left="113"/>
              <w:jc w:val="center"/>
              <w:rPr>
                <w:rFonts w:cs="Arial"/>
                <w:b/>
                <w:lang w:val="en-NZ" w:eastAsia="en-GB"/>
              </w:rPr>
            </w:pPr>
            <w:r w:rsidRPr="00150CD2">
              <w:rPr>
                <w:rFonts w:cs="Arial"/>
                <w:b/>
                <w:lang w:val="en-NZ" w:eastAsia="en-GB"/>
              </w:rPr>
              <w:t>Social Cost Benefit Analysis Feasibility</w:t>
            </w:r>
          </w:p>
        </w:tc>
        <w:tc>
          <w:tcPr>
            <w:tcW w:w="432" w:type="dxa"/>
            <w:tcBorders>
              <w:top w:val="nil"/>
              <w:left w:val="nil"/>
              <w:bottom w:val="nil"/>
              <w:right w:val="nil"/>
            </w:tcBorders>
          </w:tcPr>
          <w:p w14:paraId="7DCCC760" w14:textId="09F63C5E" w:rsidR="00B209FD" w:rsidRPr="00150CD2" w:rsidRDefault="00B209FD" w:rsidP="00B209FD">
            <w:pPr>
              <w:spacing w:before="60" w:after="60"/>
              <w:ind w:left="113"/>
              <w:jc w:val="center"/>
              <w:rPr>
                <w:rFonts w:cs="Arial"/>
                <w:lang w:val="en-NZ" w:eastAsia="en-GB"/>
              </w:rPr>
            </w:pPr>
          </w:p>
        </w:tc>
        <w:tc>
          <w:tcPr>
            <w:tcW w:w="2448" w:type="dxa"/>
            <w:tcBorders>
              <w:top w:val="nil"/>
              <w:left w:val="nil"/>
              <w:bottom w:val="nil"/>
              <w:right w:val="nil"/>
            </w:tcBorders>
          </w:tcPr>
          <w:p w14:paraId="340998E0" w14:textId="3395C6A1" w:rsidR="00B209FD" w:rsidRPr="00150CD2" w:rsidRDefault="00B209FD" w:rsidP="00B209FD">
            <w:pPr>
              <w:ind w:left="113"/>
              <w:jc w:val="center"/>
              <w:rPr>
                <w:rFonts w:cs="Arial"/>
                <w:lang w:val="en-NZ" w:eastAsia="en-GB"/>
              </w:rPr>
            </w:pPr>
          </w:p>
          <w:p w14:paraId="6F3A8B89" w14:textId="77777777" w:rsidR="00B209FD" w:rsidRPr="00150CD2" w:rsidRDefault="00B209FD" w:rsidP="00B209FD">
            <w:pPr>
              <w:ind w:left="113"/>
              <w:jc w:val="center"/>
              <w:rPr>
                <w:rFonts w:cs="Arial"/>
                <w:b/>
                <w:lang w:val="en-NZ" w:eastAsia="en-GB"/>
              </w:rPr>
            </w:pPr>
          </w:p>
          <w:p w14:paraId="3407EF85" w14:textId="0D13CAAB" w:rsidR="00B209FD" w:rsidRPr="00150CD2" w:rsidRDefault="00B209FD" w:rsidP="00B209FD">
            <w:pPr>
              <w:ind w:left="113"/>
              <w:jc w:val="center"/>
              <w:rPr>
                <w:rFonts w:cs="Arial"/>
                <w:b/>
                <w:lang w:val="en-NZ" w:eastAsia="en-GB"/>
              </w:rPr>
            </w:pPr>
          </w:p>
        </w:tc>
        <w:tc>
          <w:tcPr>
            <w:tcW w:w="432" w:type="dxa"/>
            <w:tcBorders>
              <w:top w:val="nil"/>
              <w:left w:val="nil"/>
              <w:bottom w:val="nil"/>
              <w:right w:val="nil"/>
            </w:tcBorders>
          </w:tcPr>
          <w:p w14:paraId="2F7C98C2" w14:textId="77777777" w:rsidR="00B209FD" w:rsidRPr="00150CD2" w:rsidRDefault="00B209FD" w:rsidP="00B209FD">
            <w:pPr>
              <w:spacing w:before="60" w:after="60"/>
              <w:ind w:left="113"/>
              <w:jc w:val="center"/>
              <w:rPr>
                <w:rFonts w:cs="Arial"/>
                <w:lang w:val="en-NZ" w:eastAsia="en-GB"/>
              </w:rPr>
            </w:pPr>
          </w:p>
        </w:tc>
        <w:tc>
          <w:tcPr>
            <w:tcW w:w="2448" w:type="dxa"/>
            <w:tcBorders>
              <w:top w:val="nil"/>
              <w:left w:val="nil"/>
              <w:bottom w:val="nil"/>
              <w:right w:val="nil"/>
            </w:tcBorders>
          </w:tcPr>
          <w:p w14:paraId="59FD2357" w14:textId="77777777" w:rsidR="00B209FD" w:rsidRPr="00150CD2" w:rsidRDefault="00B209FD" w:rsidP="00B209FD">
            <w:pPr>
              <w:ind w:left="113"/>
              <w:jc w:val="center"/>
              <w:rPr>
                <w:rFonts w:cs="Arial"/>
                <w:lang w:val="en-NZ" w:eastAsia="en-GB"/>
              </w:rPr>
            </w:pPr>
          </w:p>
          <w:p w14:paraId="5F41AAC7" w14:textId="77777777" w:rsidR="00B209FD" w:rsidRPr="00150CD2" w:rsidRDefault="00B209FD" w:rsidP="00B209FD">
            <w:pPr>
              <w:ind w:left="113"/>
              <w:jc w:val="center"/>
              <w:rPr>
                <w:rFonts w:cs="Arial"/>
                <w:b/>
                <w:lang w:val="en-NZ" w:eastAsia="en-GB"/>
              </w:rPr>
            </w:pPr>
          </w:p>
          <w:p w14:paraId="75417CE4" w14:textId="77777777" w:rsidR="00B209FD" w:rsidRPr="00150CD2" w:rsidRDefault="00B209FD" w:rsidP="00B209FD">
            <w:pPr>
              <w:ind w:left="113"/>
              <w:jc w:val="center"/>
              <w:rPr>
                <w:rFonts w:cs="Arial"/>
                <w:b/>
                <w:lang w:val="en-NZ" w:eastAsia="en-GB"/>
              </w:rPr>
            </w:pPr>
            <w:r w:rsidRPr="00150CD2">
              <w:rPr>
                <w:rFonts w:cs="Arial"/>
                <w:b/>
                <w:lang w:val="en-NZ" w:eastAsia="en-GB"/>
              </w:rPr>
              <w:t>Social Cost Benefit Analysis</w:t>
            </w:r>
          </w:p>
        </w:tc>
      </w:tr>
    </w:tbl>
    <w:p w14:paraId="46121796" w14:textId="49290240" w:rsidR="008823A7" w:rsidRPr="00150CD2" w:rsidRDefault="008823A7" w:rsidP="00231990">
      <w:pPr>
        <w:pStyle w:val="EYBodytextwithoutparaspace"/>
        <w:rPr>
          <w:rFonts w:cs="Arial"/>
        </w:rPr>
      </w:pPr>
    </w:p>
    <w:p w14:paraId="3F1FADD5" w14:textId="7D6A64F0" w:rsidR="008823A7" w:rsidRPr="00150CD2" w:rsidRDefault="008823A7" w:rsidP="00BA2F93">
      <w:pPr>
        <w:pStyle w:val="EYBodytextwithparaspace"/>
        <w:rPr>
          <w:rFonts w:cs="Arial"/>
        </w:rPr>
      </w:pPr>
      <w:r w:rsidRPr="00150CD2">
        <w:rPr>
          <w:rFonts w:cs="Arial"/>
        </w:rPr>
        <w:t xml:space="preserve">As described in the </w:t>
      </w:r>
      <w:r w:rsidR="009C7EC4" w:rsidRPr="00150CD2">
        <w:rPr>
          <w:rFonts w:cs="Arial"/>
        </w:rPr>
        <w:fldChar w:fldCharType="begin"/>
      </w:r>
      <w:r w:rsidR="009C7EC4" w:rsidRPr="00150CD2">
        <w:rPr>
          <w:rFonts w:cs="Arial"/>
        </w:rPr>
        <w:instrText xml:space="preserve"> REF _Ref47196693 \h </w:instrText>
      </w:r>
      <w:r w:rsidR="00150CD2">
        <w:rPr>
          <w:rFonts w:cs="Arial"/>
        </w:rPr>
        <w:instrText xml:space="preserve"> \* MERGEFORMAT </w:instrText>
      </w:r>
      <w:r w:rsidR="009C7EC4" w:rsidRPr="00150CD2">
        <w:rPr>
          <w:rFonts w:cs="Arial"/>
        </w:rPr>
      </w:r>
      <w:r w:rsidR="009C7EC4" w:rsidRPr="00150CD2">
        <w:rPr>
          <w:rFonts w:cs="Arial"/>
        </w:rPr>
        <w:fldChar w:fldCharType="separate"/>
      </w:r>
      <w:r w:rsidR="00053D9A" w:rsidRPr="00150CD2">
        <w:rPr>
          <w:rFonts w:cs="Arial"/>
        </w:rPr>
        <w:t xml:space="preserve">Figure </w:t>
      </w:r>
      <w:r w:rsidR="00053D9A" w:rsidRPr="00150CD2">
        <w:rPr>
          <w:rFonts w:cs="Arial"/>
          <w:noProof/>
        </w:rPr>
        <w:t>2</w:t>
      </w:r>
      <w:r w:rsidR="009C7EC4" w:rsidRPr="00150CD2">
        <w:rPr>
          <w:rFonts w:cs="Arial"/>
        </w:rPr>
        <w:fldChar w:fldCharType="end"/>
      </w:r>
      <w:r w:rsidR="009C7EC4" w:rsidRPr="00150CD2">
        <w:rPr>
          <w:rFonts w:cs="Arial"/>
        </w:rPr>
        <w:t xml:space="preserve"> diagram </w:t>
      </w:r>
      <w:r w:rsidRPr="00150CD2">
        <w:rPr>
          <w:rFonts w:cs="Arial"/>
        </w:rPr>
        <w:t>above, the evaluation has two key inter-related components:</w:t>
      </w:r>
    </w:p>
    <w:p w14:paraId="3D5CA423" w14:textId="77777777" w:rsidR="008823A7" w:rsidRPr="00150CD2" w:rsidRDefault="008823A7" w:rsidP="00B262C7">
      <w:pPr>
        <w:pStyle w:val="EYBulletnoparaspace"/>
        <w:keepNext/>
        <w:ind w:left="432" w:hanging="432"/>
        <w:rPr>
          <w:rFonts w:cs="Arial"/>
        </w:rPr>
      </w:pPr>
      <w:r w:rsidRPr="00150CD2">
        <w:rPr>
          <w:rFonts w:cs="Arial"/>
        </w:rPr>
        <w:t>Longitudinal outcomes evaluation</w:t>
      </w:r>
    </w:p>
    <w:p w14:paraId="2611B1CD" w14:textId="77777777" w:rsidR="008823A7" w:rsidRPr="00150CD2" w:rsidRDefault="008823A7" w:rsidP="00BA2F93">
      <w:pPr>
        <w:pStyle w:val="EYBullet2noparaspace"/>
        <w:rPr>
          <w:rFonts w:cs="Arial"/>
        </w:rPr>
      </w:pPr>
      <w:r w:rsidRPr="00150CD2">
        <w:rPr>
          <w:rFonts w:cs="Arial"/>
        </w:rPr>
        <w:t>to determine what difference Mana Whaikaha is making in terms of quality of experience and wellbeing outcomes for disabled people and their whānau</w:t>
      </w:r>
    </w:p>
    <w:p w14:paraId="0FDECC35" w14:textId="46F17D90" w:rsidR="008823A7" w:rsidRPr="00150CD2" w:rsidRDefault="008823A7" w:rsidP="00BA2F93">
      <w:pPr>
        <w:pStyle w:val="EYBullet2noparaspace"/>
        <w:rPr>
          <w:rFonts w:cs="Arial"/>
        </w:rPr>
      </w:pPr>
      <w:r w:rsidRPr="00150CD2">
        <w:rPr>
          <w:rFonts w:cs="Arial"/>
        </w:rPr>
        <w:lastRenderedPageBreak/>
        <w:t>to determine how the system is changing over time and to what effect</w:t>
      </w:r>
    </w:p>
    <w:p w14:paraId="714CD2B6" w14:textId="77777777" w:rsidR="008823A7" w:rsidRPr="00150CD2" w:rsidRDefault="008823A7" w:rsidP="00D1176D">
      <w:pPr>
        <w:pStyle w:val="EYBulletnoparaspace"/>
        <w:ind w:left="432" w:hanging="432"/>
        <w:rPr>
          <w:rFonts w:cs="Arial"/>
        </w:rPr>
      </w:pPr>
      <w:r w:rsidRPr="00150CD2">
        <w:rPr>
          <w:rFonts w:cs="Arial"/>
        </w:rPr>
        <w:t>Social cost benefit analysis (SCBA) to value the impact of Mana Whaikaha.</w:t>
      </w:r>
    </w:p>
    <w:p w14:paraId="2B3C7892" w14:textId="1490D575" w:rsidR="008823A7" w:rsidRPr="00150CD2" w:rsidRDefault="00BA2F93" w:rsidP="00BA2F93">
      <w:pPr>
        <w:pStyle w:val="EYBodytextwithparaspace"/>
        <w:rPr>
          <w:rFonts w:cs="Arial"/>
        </w:rPr>
      </w:pPr>
      <w:r w:rsidRPr="00150CD2">
        <w:rPr>
          <w:rFonts w:cs="Arial"/>
        </w:rPr>
        <w:br/>
      </w:r>
      <w:r w:rsidR="008823A7" w:rsidRPr="00150CD2">
        <w:rPr>
          <w:rFonts w:cs="Arial"/>
        </w:rPr>
        <w:t>In addition, a</w:t>
      </w:r>
      <w:r w:rsidR="00AA3234" w:rsidRPr="00150CD2">
        <w:rPr>
          <w:rFonts w:cs="Arial"/>
        </w:rPr>
        <w:t>n implementation</w:t>
      </w:r>
      <w:r w:rsidR="008823A7" w:rsidRPr="00150CD2">
        <w:rPr>
          <w:rFonts w:cs="Arial"/>
        </w:rPr>
        <w:t xml:space="preserve"> evaluation will be used to support the ‘Try, Learn and Adjust’ approach being adopted for Mana Whaikaha and to help drive meaningful change throughout the prototype period.</w:t>
      </w:r>
    </w:p>
    <w:p w14:paraId="49EA349B" w14:textId="5E1B82FB" w:rsidR="008823A7" w:rsidRPr="00150CD2" w:rsidRDefault="008823A7" w:rsidP="00BA2F93">
      <w:pPr>
        <w:pStyle w:val="EYBodytextwithparaspace"/>
        <w:rPr>
          <w:rFonts w:cs="Arial"/>
        </w:rPr>
      </w:pPr>
      <w:r w:rsidRPr="00150CD2">
        <w:rPr>
          <w:rFonts w:cs="Arial"/>
        </w:rPr>
        <w:t xml:space="preserve">The Ministry commissioned EY to undertake the quantitative analysis component of the longitudinal outcome’s </w:t>
      </w:r>
      <w:r w:rsidR="00C30557" w:rsidRPr="00150CD2">
        <w:rPr>
          <w:rFonts w:cs="Arial"/>
        </w:rPr>
        <w:t xml:space="preserve">baseline </w:t>
      </w:r>
      <w:r w:rsidRPr="00150CD2">
        <w:rPr>
          <w:rFonts w:cs="Arial"/>
        </w:rPr>
        <w:t xml:space="preserve">evaluation and the </w:t>
      </w:r>
      <w:r w:rsidR="000D7705" w:rsidRPr="00150CD2">
        <w:rPr>
          <w:rFonts w:cs="Arial"/>
        </w:rPr>
        <w:t xml:space="preserve">feasibility </w:t>
      </w:r>
      <w:r w:rsidR="00D5507C" w:rsidRPr="00150CD2">
        <w:rPr>
          <w:rFonts w:cs="Arial"/>
        </w:rPr>
        <w:t xml:space="preserve">assessment </w:t>
      </w:r>
      <w:r w:rsidR="000D7705" w:rsidRPr="00150CD2">
        <w:rPr>
          <w:rFonts w:cs="Arial"/>
        </w:rPr>
        <w:t xml:space="preserve">of </w:t>
      </w:r>
      <w:r w:rsidRPr="00150CD2">
        <w:rPr>
          <w:rFonts w:cs="Arial"/>
        </w:rPr>
        <w:t xml:space="preserve">a social cost benefit analysis model. This report is limited to findings from the quantitative analysis component for the </w:t>
      </w:r>
      <w:r w:rsidR="00231990" w:rsidRPr="00150CD2">
        <w:rPr>
          <w:rFonts w:cs="Arial"/>
        </w:rPr>
        <w:t>baseline evaluation</w:t>
      </w:r>
      <w:r w:rsidRPr="00150CD2">
        <w:rPr>
          <w:rFonts w:cs="Arial"/>
        </w:rPr>
        <w:t>.</w:t>
      </w:r>
    </w:p>
    <w:p w14:paraId="406D8374" w14:textId="77777777" w:rsidR="003B3FBC" w:rsidRPr="00150CD2" w:rsidRDefault="008823A7" w:rsidP="00BA2F93">
      <w:pPr>
        <w:pStyle w:val="EYBodytextwithparaspace"/>
        <w:rPr>
          <w:rFonts w:cs="Arial"/>
        </w:rPr>
      </w:pPr>
      <w:r w:rsidRPr="00150CD2">
        <w:rPr>
          <w:rFonts w:cs="Arial"/>
        </w:rPr>
        <w:t xml:space="preserve">The quantitative analysis uses linked administrative data in </w:t>
      </w:r>
      <w:r w:rsidR="00231990" w:rsidRPr="00150CD2">
        <w:rPr>
          <w:rFonts w:cs="Arial"/>
        </w:rPr>
        <w:t xml:space="preserve">Statistics NZ’s </w:t>
      </w:r>
      <w:r w:rsidRPr="00150CD2">
        <w:rPr>
          <w:rFonts w:cs="Arial"/>
        </w:rPr>
        <w:t xml:space="preserve">Integrated Data Infrastructure to </w:t>
      </w:r>
      <w:r w:rsidR="00231990" w:rsidRPr="00150CD2">
        <w:rPr>
          <w:rFonts w:cs="Arial"/>
        </w:rPr>
        <w:t xml:space="preserve">describe </w:t>
      </w:r>
      <w:r w:rsidRPr="00150CD2">
        <w:rPr>
          <w:rFonts w:cs="Arial"/>
        </w:rPr>
        <w:t xml:space="preserve">wellbeing outcomes </w:t>
      </w:r>
      <w:r w:rsidR="00231990" w:rsidRPr="00150CD2">
        <w:rPr>
          <w:rFonts w:cs="Arial"/>
        </w:rPr>
        <w:t xml:space="preserve">and service contact experienced </w:t>
      </w:r>
      <w:r w:rsidRPr="00150CD2">
        <w:rPr>
          <w:rFonts w:cs="Arial"/>
        </w:rPr>
        <w:t>by disabled people and their family/whānau in the MidCentral area</w:t>
      </w:r>
      <w:r w:rsidR="00C30557" w:rsidRPr="00150CD2">
        <w:rPr>
          <w:rFonts w:cs="Arial"/>
        </w:rPr>
        <w:t xml:space="preserve"> prior to the introduction of Mana Whaikaha</w:t>
      </w:r>
      <w:r w:rsidRPr="00150CD2">
        <w:rPr>
          <w:rFonts w:cs="Arial"/>
        </w:rPr>
        <w:t xml:space="preserve">. </w:t>
      </w:r>
      <w:r w:rsidR="00904E67" w:rsidRPr="00150CD2">
        <w:rPr>
          <w:rFonts w:cs="Arial"/>
        </w:rPr>
        <w:t xml:space="preserve">Along with participant and whānau surveys and interviews, this analysis will help to inform the baseline of the Ministry’s longitudinal evaluation of outcomes for Mana Whaikaha. </w:t>
      </w:r>
    </w:p>
    <w:p w14:paraId="55EDE4BD" w14:textId="546B0F66" w:rsidR="00904E67" w:rsidRPr="00150CD2" w:rsidRDefault="00904E67" w:rsidP="00BA2F93">
      <w:pPr>
        <w:pStyle w:val="EYBodytextwithparaspace"/>
        <w:rPr>
          <w:rFonts w:cs="Arial"/>
        </w:rPr>
      </w:pPr>
      <w:r w:rsidRPr="00150CD2">
        <w:rPr>
          <w:rFonts w:cs="Arial"/>
        </w:rPr>
        <w:t xml:space="preserve">The evaluation will focus on specific outcome areas where Mana Whaikaha is expected to achieve change over the 3 year evaluation </w:t>
      </w:r>
      <w:r w:rsidR="00A72745" w:rsidRPr="00150CD2">
        <w:rPr>
          <w:rFonts w:cs="Arial"/>
        </w:rPr>
        <w:t>period. These</w:t>
      </w:r>
      <w:r w:rsidRPr="00150CD2">
        <w:rPr>
          <w:rFonts w:cs="Arial"/>
        </w:rPr>
        <w:t xml:space="preserve"> outcome areas will vary for different population groups (for example, between children, young people and adults). The Ministry </w:t>
      </w:r>
      <w:r w:rsidR="00C653E8" w:rsidRPr="00150CD2">
        <w:rPr>
          <w:rFonts w:cs="Arial"/>
        </w:rPr>
        <w:t>and Mana Whaikaha intend to</w:t>
      </w:r>
      <w:r w:rsidRPr="00150CD2">
        <w:rPr>
          <w:rFonts w:cs="Arial"/>
        </w:rPr>
        <w:t xml:space="preserve"> determine which indicators are appropriate for evaluating Mana Whaikaha's impact on these outcome areas </w:t>
      </w:r>
      <w:r w:rsidR="00971C78" w:rsidRPr="00150CD2">
        <w:rPr>
          <w:rFonts w:cs="Arial"/>
        </w:rPr>
        <w:t xml:space="preserve">and </w:t>
      </w:r>
      <w:r w:rsidRPr="00150CD2">
        <w:rPr>
          <w:rFonts w:cs="Arial"/>
        </w:rPr>
        <w:t>for each population group.</w:t>
      </w:r>
      <w:r w:rsidR="00971C78" w:rsidRPr="00150CD2">
        <w:rPr>
          <w:rFonts w:cs="Arial"/>
        </w:rPr>
        <w:t xml:space="preserve"> </w:t>
      </w:r>
    </w:p>
    <w:p w14:paraId="38F107A9" w14:textId="5FD1FC86" w:rsidR="008823A7" w:rsidRPr="00150CD2" w:rsidRDefault="00971C78" w:rsidP="00BA2F93">
      <w:pPr>
        <w:pStyle w:val="EYBodytextwithparaspace"/>
        <w:rPr>
          <w:rFonts w:cs="Arial"/>
        </w:rPr>
      </w:pPr>
      <w:r w:rsidRPr="00150CD2">
        <w:rPr>
          <w:rFonts w:cs="Arial"/>
        </w:rPr>
        <w:t xml:space="preserve">These evaluation </w:t>
      </w:r>
      <w:r w:rsidR="003B3FBC" w:rsidRPr="00150CD2">
        <w:rPr>
          <w:rFonts w:cs="Arial"/>
        </w:rPr>
        <w:t xml:space="preserve">outcome </w:t>
      </w:r>
      <w:r w:rsidRPr="00150CD2">
        <w:rPr>
          <w:rFonts w:cs="Arial"/>
        </w:rPr>
        <w:t xml:space="preserve">indicators </w:t>
      </w:r>
      <w:r w:rsidR="007A4E5B" w:rsidRPr="00150CD2">
        <w:rPr>
          <w:rFonts w:cs="Arial"/>
        </w:rPr>
        <w:t>were planned to</w:t>
      </w:r>
      <w:r w:rsidRPr="00150CD2">
        <w:rPr>
          <w:rFonts w:cs="Arial"/>
        </w:rPr>
        <w:t xml:space="preserve"> be measured 18 months after Mana Whaikaha was implemented </w:t>
      </w:r>
      <w:r w:rsidR="007A4E5B" w:rsidRPr="00150CD2">
        <w:rPr>
          <w:rFonts w:cs="Arial"/>
        </w:rPr>
        <w:t>(this has been affected by the COVID-19 pandemic)</w:t>
      </w:r>
      <w:r w:rsidRPr="00150CD2">
        <w:rPr>
          <w:rFonts w:cs="Arial"/>
        </w:rPr>
        <w:t xml:space="preserve"> and again after 3 years. </w:t>
      </w:r>
      <w:r w:rsidR="003B3FBC" w:rsidRPr="00150CD2">
        <w:rPr>
          <w:rFonts w:cs="Arial"/>
        </w:rPr>
        <w:t xml:space="preserve">Participant and whānau surveys and interviews, along with </w:t>
      </w:r>
      <w:r w:rsidR="004844AF" w:rsidRPr="00150CD2">
        <w:rPr>
          <w:rFonts w:cs="Arial"/>
        </w:rPr>
        <w:t>administrative data (where appropriate) will be used to capture updated information. D</w:t>
      </w:r>
      <w:r w:rsidR="00B93862" w:rsidRPr="00150CD2">
        <w:rPr>
          <w:rFonts w:cs="Arial"/>
        </w:rPr>
        <w:t>ifferences that are potentially attributable to the prototype</w:t>
      </w:r>
      <w:r w:rsidR="004844AF" w:rsidRPr="00150CD2">
        <w:rPr>
          <w:rFonts w:cs="Arial"/>
        </w:rPr>
        <w:t xml:space="preserve"> will</w:t>
      </w:r>
      <w:r w:rsidR="008823A7" w:rsidRPr="00150CD2">
        <w:rPr>
          <w:rFonts w:cs="Arial"/>
        </w:rPr>
        <w:t xml:space="preserve"> be identified by comparing outcome </w:t>
      </w:r>
      <w:r w:rsidR="00231990" w:rsidRPr="00150CD2">
        <w:rPr>
          <w:rFonts w:cs="Arial"/>
        </w:rPr>
        <w:t xml:space="preserve">and service contact </w:t>
      </w:r>
      <w:r w:rsidR="008823A7" w:rsidRPr="00150CD2">
        <w:rPr>
          <w:rFonts w:cs="Arial"/>
        </w:rPr>
        <w:t>indicators during and/or at the end of prototype period with outcome</w:t>
      </w:r>
      <w:r w:rsidR="00231990" w:rsidRPr="00150CD2">
        <w:rPr>
          <w:rFonts w:cs="Arial"/>
        </w:rPr>
        <w:t xml:space="preserve"> and service contact</w:t>
      </w:r>
      <w:r w:rsidR="008823A7" w:rsidRPr="00150CD2">
        <w:rPr>
          <w:rFonts w:cs="Arial"/>
        </w:rPr>
        <w:t xml:space="preserve"> indicators pre-prototype commencement.</w:t>
      </w:r>
    </w:p>
    <w:p w14:paraId="41DBD9CB" w14:textId="56C73588" w:rsidR="004B4C9D" w:rsidRPr="00150CD2" w:rsidRDefault="00231990" w:rsidP="003D11F1">
      <w:pPr>
        <w:pStyle w:val="EYBodytextwithparaspace"/>
        <w:rPr>
          <w:rFonts w:cs="Arial"/>
        </w:rPr>
      </w:pPr>
      <w:r w:rsidRPr="00150CD2">
        <w:rPr>
          <w:rFonts w:cs="Arial"/>
        </w:rPr>
        <w:t>The findings presented in this report are based on information relating to people allocated Ministry funded disability support services</w:t>
      </w:r>
      <w:r w:rsidRPr="00150CD2">
        <w:rPr>
          <w:rFonts w:cs="Arial"/>
          <w:vertAlign w:val="superscript"/>
        </w:rPr>
        <w:t>1</w:t>
      </w:r>
      <w:r w:rsidRPr="00150CD2">
        <w:rPr>
          <w:rFonts w:cs="Arial"/>
        </w:rPr>
        <w:t xml:space="preserve"> (DSS) by a </w:t>
      </w:r>
      <w:r w:rsidR="00594882" w:rsidRPr="00150CD2">
        <w:rPr>
          <w:rFonts w:cs="Arial"/>
        </w:rPr>
        <w:t>Needs Assessment and Service Co-ordination</w:t>
      </w:r>
      <w:r w:rsidRPr="00150CD2">
        <w:rPr>
          <w:rFonts w:cs="Arial"/>
        </w:rPr>
        <w:t xml:space="preserve"> organisation</w:t>
      </w:r>
      <w:r w:rsidRPr="00150CD2">
        <w:rPr>
          <w:rStyle w:val="FootnoteReference"/>
          <w:rFonts w:ascii="Arial" w:hAnsi="Arial" w:cs="Arial"/>
        </w:rPr>
        <w:footnoteReference w:id="8"/>
      </w:r>
      <w:r w:rsidR="002C6A49" w:rsidRPr="00150CD2">
        <w:rPr>
          <w:rFonts w:cs="Arial"/>
        </w:rPr>
        <w:t xml:space="preserve"> (NASC)</w:t>
      </w:r>
      <w:r w:rsidRPr="00150CD2">
        <w:rPr>
          <w:rFonts w:cs="Arial"/>
        </w:rPr>
        <w:t xml:space="preserve">. </w:t>
      </w:r>
      <w:r w:rsidR="004B4C9D" w:rsidRPr="00150CD2">
        <w:rPr>
          <w:rFonts w:cs="Arial"/>
        </w:rPr>
        <w:t>The information is derived from the Ministry</w:t>
      </w:r>
      <w:r w:rsidR="003D11F1" w:rsidRPr="00150CD2">
        <w:rPr>
          <w:rFonts w:cs="Arial"/>
        </w:rPr>
        <w:t xml:space="preserve">’s DSS </w:t>
      </w:r>
      <w:r w:rsidR="004B4C9D" w:rsidRPr="00150CD2">
        <w:rPr>
          <w:rFonts w:cs="Arial"/>
        </w:rPr>
        <w:t xml:space="preserve">Information System which records information about the </w:t>
      </w:r>
      <w:r w:rsidR="003D11F1" w:rsidRPr="00150CD2">
        <w:rPr>
          <w:rFonts w:cs="Arial"/>
        </w:rPr>
        <w:t xml:space="preserve">allocation </w:t>
      </w:r>
      <w:r w:rsidR="004B4C9D" w:rsidRPr="00150CD2">
        <w:rPr>
          <w:rFonts w:cs="Arial"/>
        </w:rPr>
        <w:t>of a range of services to people</w:t>
      </w:r>
      <w:r w:rsidR="003D11F1" w:rsidRPr="00150CD2">
        <w:rPr>
          <w:rFonts w:cs="Arial"/>
        </w:rPr>
        <w:t xml:space="preserve"> allocated DSS funding</w:t>
      </w:r>
      <w:r w:rsidR="004B4C9D" w:rsidRPr="00150CD2">
        <w:rPr>
          <w:rFonts w:cs="Arial"/>
        </w:rPr>
        <w:t>.</w:t>
      </w:r>
      <w:r w:rsidR="003D11F1" w:rsidRPr="00150CD2">
        <w:rPr>
          <w:rFonts w:cs="Arial"/>
        </w:rPr>
        <w:t xml:space="preserve"> It is important to note that this report is not based on information for all disabled New Zealanders, and its findings may not be representative of the experiences of the broader New Zealand disabled population.</w:t>
      </w:r>
    </w:p>
    <w:p w14:paraId="3479499B" w14:textId="07DD632F" w:rsidR="003116E1" w:rsidRPr="00150CD2" w:rsidRDefault="008823A7" w:rsidP="00184038">
      <w:pPr>
        <w:pStyle w:val="EYHeading2"/>
      </w:pPr>
      <w:bookmarkStart w:id="28" w:name="_Toc46365133"/>
      <w:bookmarkStart w:id="29" w:name="_Toc48752351"/>
      <w:r w:rsidRPr="00150CD2">
        <w:lastRenderedPageBreak/>
        <w:t>Purpose</w:t>
      </w:r>
      <w:bookmarkEnd w:id="28"/>
      <w:bookmarkEnd w:id="29"/>
    </w:p>
    <w:p w14:paraId="55A59F9C" w14:textId="0628653A" w:rsidR="003116E1" w:rsidRPr="00150CD2" w:rsidRDefault="002171A4" w:rsidP="002171A4">
      <w:pPr>
        <w:pStyle w:val="EYBodytextwithparaspace"/>
        <w:rPr>
          <w:rFonts w:cs="Arial"/>
        </w:rPr>
      </w:pPr>
      <w:r w:rsidRPr="00150CD2">
        <w:rPr>
          <w:rFonts w:cs="Arial"/>
        </w:rPr>
        <w:t>This report summarises findings from</w:t>
      </w:r>
      <w:r w:rsidR="00E33456" w:rsidRPr="00150CD2">
        <w:rPr>
          <w:rFonts w:cs="Arial"/>
        </w:rPr>
        <w:t xml:space="preserve"> two work phases:</w:t>
      </w:r>
    </w:p>
    <w:p w14:paraId="2D52C8D7" w14:textId="5BEFBD9D" w:rsidR="00A9641F" w:rsidRPr="00150CD2" w:rsidRDefault="00A9641F" w:rsidP="00DF715E">
      <w:pPr>
        <w:pStyle w:val="EYBodytextwithparaspace"/>
        <w:ind w:left="432" w:hanging="432"/>
        <w:rPr>
          <w:rFonts w:cs="Arial"/>
        </w:rPr>
      </w:pPr>
      <w:bookmarkStart w:id="30" w:name="_Ref34052244"/>
      <w:r w:rsidRPr="00150CD2">
        <w:rPr>
          <w:rFonts w:cs="Arial"/>
        </w:rPr>
        <w:t xml:space="preserve">1. </w:t>
      </w:r>
      <w:r w:rsidRPr="00150CD2">
        <w:rPr>
          <w:rFonts w:cs="Arial"/>
        </w:rPr>
        <w:tab/>
      </w:r>
      <w:r w:rsidR="003116E1" w:rsidRPr="00150CD2">
        <w:rPr>
          <w:rFonts w:cs="Arial"/>
        </w:rPr>
        <w:t>F</w:t>
      </w:r>
      <w:r w:rsidR="002171A4" w:rsidRPr="00150CD2">
        <w:rPr>
          <w:rFonts w:cs="Arial"/>
        </w:rPr>
        <w:t xml:space="preserve">easibility assessment of potential </w:t>
      </w:r>
      <w:r w:rsidR="00EA0E3A" w:rsidRPr="00150CD2">
        <w:rPr>
          <w:rFonts w:cs="Arial"/>
        </w:rPr>
        <w:t xml:space="preserve">baseline </w:t>
      </w:r>
      <w:r w:rsidR="002171A4" w:rsidRPr="00150CD2">
        <w:rPr>
          <w:rFonts w:cs="Arial"/>
        </w:rPr>
        <w:t>outcomes indicators and analysis cohorts</w:t>
      </w:r>
      <w:bookmarkEnd w:id="30"/>
    </w:p>
    <w:p w14:paraId="7F86A1D7" w14:textId="5B87D039" w:rsidR="002171A4" w:rsidRPr="00150CD2" w:rsidRDefault="00A9641F" w:rsidP="00DF715E">
      <w:pPr>
        <w:pStyle w:val="EY1Number"/>
        <w:numPr>
          <w:ilvl w:val="0"/>
          <w:numId w:val="0"/>
        </w:numPr>
        <w:ind w:left="432" w:hanging="432"/>
        <w:rPr>
          <w:rFonts w:cs="Arial"/>
        </w:rPr>
      </w:pPr>
      <w:r w:rsidRPr="00150CD2">
        <w:rPr>
          <w:rFonts w:cs="Arial"/>
        </w:rPr>
        <w:t xml:space="preserve">2. </w:t>
      </w:r>
      <w:r w:rsidRPr="00150CD2">
        <w:rPr>
          <w:rFonts w:cs="Arial"/>
        </w:rPr>
        <w:tab/>
      </w:r>
      <w:r w:rsidR="004A54B7" w:rsidRPr="00150CD2">
        <w:rPr>
          <w:rFonts w:cs="Arial"/>
        </w:rPr>
        <w:t>B</w:t>
      </w:r>
      <w:r w:rsidR="003116E1" w:rsidRPr="00150CD2">
        <w:rPr>
          <w:rFonts w:cs="Arial"/>
        </w:rPr>
        <w:t>aseline outcomes analysis</w:t>
      </w:r>
      <w:r w:rsidR="00E33456" w:rsidRPr="00150CD2">
        <w:rPr>
          <w:rFonts w:cs="Arial"/>
        </w:rPr>
        <w:t xml:space="preserve"> </w:t>
      </w:r>
      <w:r w:rsidR="00227F79" w:rsidRPr="00150CD2">
        <w:rPr>
          <w:rFonts w:cs="Arial"/>
        </w:rPr>
        <w:t xml:space="preserve">of </w:t>
      </w:r>
      <w:r w:rsidR="004A54B7" w:rsidRPr="00150CD2">
        <w:rPr>
          <w:rFonts w:cs="Arial"/>
        </w:rPr>
        <w:t xml:space="preserve">administrative and population survey based </w:t>
      </w:r>
      <w:r w:rsidR="00227F79" w:rsidRPr="00150CD2">
        <w:rPr>
          <w:rFonts w:cs="Arial"/>
        </w:rPr>
        <w:t>indicators</w:t>
      </w:r>
      <w:r w:rsidR="004A54B7" w:rsidRPr="00150CD2">
        <w:rPr>
          <w:rFonts w:cs="Arial"/>
        </w:rPr>
        <w:t xml:space="preserve">, using </w:t>
      </w:r>
      <w:r w:rsidR="00227F79" w:rsidRPr="00150CD2">
        <w:rPr>
          <w:rFonts w:cs="Arial"/>
        </w:rPr>
        <w:t>Statistics NZ’s Integrated Data Infrastructure (IDI)</w:t>
      </w:r>
    </w:p>
    <w:p w14:paraId="723A8A2D" w14:textId="2113C974" w:rsidR="009A5037" w:rsidRPr="00150CD2" w:rsidRDefault="00B2156C" w:rsidP="00E33456">
      <w:pPr>
        <w:pStyle w:val="EYBodytextwithparaspace"/>
        <w:rPr>
          <w:rFonts w:cs="Arial"/>
        </w:rPr>
      </w:pPr>
      <w:r w:rsidRPr="00150CD2">
        <w:rPr>
          <w:rFonts w:cs="Arial"/>
        </w:rPr>
        <w:t xml:space="preserve">The analysis findings </w:t>
      </w:r>
      <w:r w:rsidR="00E33456" w:rsidRPr="00150CD2">
        <w:rPr>
          <w:rFonts w:cs="Arial"/>
        </w:rPr>
        <w:t xml:space="preserve">will </w:t>
      </w:r>
      <w:r w:rsidR="003116E1" w:rsidRPr="00150CD2">
        <w:rPr>
          <w:rFonts w:cs="Arial"/>
        </w:rPr>
        <w:t xml:space="preserve">support </w:t>
      </w:r>
      <w:r w:rsidRPr="00150CD2">
        <w:rPr>
          <w:rFonts w:cs="Arial"/>
          <w:b/>
          <w:bCs/>
        </w:rPr>
        <w:t xml:space="preserve">understanding of baseline outcomes prior to Mana Whaikaha and </w:t>
      </w:r>
      <w:r w:rsidR="003116E1" w:rsidRPr="00150CD2">
        <w:rPr>
          <w:rFonts w:cs="Arial"/>
          <w:b/>
          <w:bCs/>
        </w:rPr>
        <w:t>ongoing Ministry monitoring and evaluation</w:t>
      </w:r>
      <w:r w:rsidR="00855BC0" w:rsidRPr="00150CD2">
        <w:rPr>
          <w:rFonts w:cs="Arial"/>
          <w:b/>
          <w:bCs/>
        </w:rPr>
        <w:t>.</w:t>
      </w:r>
      <w:r w:rsidR="00E33456" w:rsidRPr="00150CD2">
        <w:rPr>
          <w:rFonts w:cs="Arial"/>
        </w:rPr>
        <w:t xml:space="preserve"> Findings will </w:t>
      </w:r>
      <w:r w:rsidR="002171A4" w:rsidRPr="00150CD2">
        <w:rPr>
          <w:rFonts w:cs="Arial"/>
        </w:rPr>
        <w:t>help stakeholders understand if the objectives for the transformed system are being achieved, to what extent</w:t>
      </w:r>
      <w:r w:rsidR="00E33456" w:rsidRPr="00150CD2">
        <w:rPr>
          <w:rFonts w:cs="Arial"/>
        </w:rPr>
        <w:t xml:space="preserve"> and</w:t>
      </w:r>
      <w:r w:rsidR="002171A4" w:rsidRPr="00150CD2">
        <w:rPr>
          <w:rFonts w:cs="Arial"/>
        </w:rPr>
        <w:t xml:space="preserve"> where improvements are needed, and if and how the approach should be adapted or expanded.</w:t>
      </w:r>
    </w:p>
    <w:p w14:paraId="425FC602" w14:textId="52741AD5" w:rsidR="00E33456" w:rsidRPr="00150CD2" w:rsidRDefault="00E33456" w:rsidP="00D1176D">
      <w:pPr>
        <w:pStyle w:val="EYBodytextwithparaspace"/>
        <w:rPr>
          <w:rFonts w:cs="Arial"/>
        </w:rPr>
      </w:pPr>
      <w:r w:rsidRPr="00150CD2">
        <w:rPr>
          <w:rFonts w:cs="Arial"/>
        </w:rPr>
        <w:t xml:space="preserve">A second purpose of the outcome indicators and baseline analysis is to </w:t>
      </w:r>
      <w:r w:rsidRPr="00150CD2">
        <w:rPr>
          <w:rFonts w:cs="Arial"/>
          <w:b/>
        </w:rPr>
        <w:t>describe the characteristics and outcomes of the broader population across New Zealand</w:t>
      </w:r>
      <w:r w:rsidRPr="00150CD2">
        <w:rPr>
          <w:rFonts w:cs="Arial"/>
        </w:rPr>
        <w:t xml:space="preserve">. This information will help to validate the baseline profile of Mana Whaikaha participants and can inform baseline outcome estimates for populations outside the Mana Whaikaha cohort. A greater range of data sources can be used for this purpose, since </w:t>
      </w:r>
      <w:r w:rsidR="00227F79" w:rsidRPr="00150CD2">
        <w:rPr>
          <w:rFonts w:cs="Arial"/>
        </w:rPr>
        <w:t>some sources (such as linked population surveys) have feasible response counts at a national level but not at the MidCentral level</w:t>
      </w:r>
      <w:r w:rsidRPr="00150CD2">
        <w:rPr>
          <w:rFonts w:cs="Arial"/>
        </w:rPr>
        <w:t>.</w:t>
      </w:r>
    </w:p>
    <w:p w14:paraId="7EB5BE63" w14:textId="571714A2" w:rsidR="00227F79" w:rsidRPr="00150CD2" w:rsidRDefault="00227F79" w:rsidP="00184038">
      <w:pPr>
        <w:pStyle w:val="EYHeading1"/>
      </w:pPr>
      <w:bookmarkStart w:id="31" w:name="_Ref34052269"/>
      <w:bookmarkStart w:id="32" w:name="_Toc46365134"/>
      <w:bookmarkStart w:id="33" w:name="_Toc48752352"/>
      <w:r w:rsidRPr="00150CD2">
        <w:lastRenderedPageBreak/>
        <w:t>Data sources and assessment criteria</w:t>
      </w:r>
      <w:bookmarkEnd w:id="31"/>
      <w:bookmarkEnd w:id="32"/>
      <w:bookmarkEnd w:id="33"/>
    </w:p>
    <w:p w14:paraId="7D24550F" w14:textId="14E1D544" w:rsidR="00257126" w:rsidRPr="00150CD2" w:rsidRDefault="00257126" w:rsidP="00184038">
      <w:pPr>
        <w:pStyle w:val="EYHeading2"/>
      </w:pPr>
      <w:bookmarkStart w:id="34" w:name="_Toc46365135"/>
      <w:bookmarkStart w:id="35" w:name="_Toc48752353"/>
      <w:r w:rsidRPr="00150CD2">
        <w:t>Data sources available</w:t>
      </w:r>
      <w:bookmarkEnd w:id="34"/>
      <w:bookmarkEnd w:id="35"/>
    </w:p>
    <w:p w14:paraId="074464C4" w14:textId="346C259C" w:rsidR="00DD57DA" w:rsidRPr="00150CD2" w:rsidRDefault="00DD57DA" w:rsidP="00DD57DA">
      <w:pPr>
        <w:pStyle w:val="EYBodytextwithparaspace"/>
        <w:tabs>
          <w:tab w:val="left" w:pos="900"/>
        </w:tabs>
        <w:rPr>
          <w:rFonts w:cs="Arial"/>
        </w:rPr>
      </w:pPr>
      <w:r w:rsidRPr="00150CD2">
        <w:rPr>
          <w:rFonts w:cs="Arial"/>
        </w:rPr>
        <w:t xml:space="preserve">The following </w:t>
      </w:r>
      <w:r w:rsidR="00911860" w:rsidRPr="00150CD2">
        <w:rPr>
          <w:rFonts w:cs="Arial"/>
        </w:rPr>
        <w:t>data sources</w:t>
      </w:r>
      <w:r w:rsidRPr="00150CD2">
        <w:rPr>
          <w:rFonts w:cs="Arial"/>
        </w:rPr>
        <w:t xml:space="preserve"> were considered as potential sources of information on </w:t>
      </w:r>
      <w:r w:rsidR="003A54B3" w:rsidRPr="00150CD2">
        <w:rPr>
          <w:rFonts w:cs="Arial"/>
        </w:rPr>
        <w:t>MidCentral/</w:t>
      </w:r>
      <w:r w:rsidRPr="00150CD2">
        <w:rPr>
          <w:rFonts w:cs="Arial"/>
        </w:rPr>
        <w:t>Mana W</w:t>
      </w:r>
      <w:r w:rsidR="00C609F6" w:rsidRPr="00150CD2">
        <w:rPr>
          <w:rFonts w:cs="Arial"/>
        </w:rPr>
        <w:t>h</w:t>
      </w:r>
      <w:r w:rsidRPr="00150CD2">
        <w:rPr>
          <w:rFonts w:cs="Arial"/>
        </w:rPr>
        <w:t xml:space="preserve">aikaha </w:t>
      </w:r>
      <w:r w:rsidR="00357FD9" w:rsidRPr="00150CD2">
        <w:rPr>
          <w:rFonts w:cs="Arial"/>
        </w:rPr>
        <w:t>and/</w:t>
      </w:r>
      <w:r w:rsidRPr="00150CD2">
        <w:rPr>
          <w:rFonts w:cs="Arial"/>
        </w:rPr>
        <w:t xml:space="preserve">or </w:t>
      </w:r>
      <w:r w:rsidR="00446448" w:rsidRPr="00150CD2">
        <w:rPr>
          <w:rFonts w:cs="Arial"/>
        </w:rPr>
        <w:t xml:space="preserve">the </w:t>
      </w:r>
      <w:r w:rsidRPr="00150CD2">
        <w:rPr>
          <w:rFonts w:cs="Arial"/>
        </w:rPr>
        <w:t xml:space="preserve">broader New Zealand population supported by disability funding: </w:t>
      </w:r>
    </w:p>
    <w:p w14:paraId="7DEF114E" w14:textId="1C074E09" w:rsidR="00F67EE5" w:rsidRPr="00150CD2" w:rsidRDefault="00174F49" w:rsidP="001B7515">
      <w:pPr>
        <w:pStyle w:val="EYBodytextwithparaspace"/>
        <w:numPr>
          <w:ilvl w:val="0"/>
          <w:numId w:val="10"/>
        </w:numPr>
        <w:tabs>
          <w:tab w:val="left" w:pos="900"/>
        </w:tabs>
        <w:rPr>
          <w:rFonts w:cs="Arial"/>
        </w:rPr>
      </w:pPr>
      <w:r w:rsidRPr="00150CD2">
        <w:rPr>
          <w:rFonts w:cs="Arial"/>
          <w:b/>
        </w:rPr>
        <w:t>Baseline</w:t>
      </w:r>
      <w:r w:rsidR="00245437" w:rsidRPr="00150CD2">
        <w:rPr>
          <w:rFonts w:cs="Arial"/>
          <w:b/>
        </w:rPr>
        <w:t xml:space="preserve"> (prior to Mana Whaikaha</w:t>
      </w:r>
      <w:r w:rsidR="00446448" w:rsidRPr="00150CD2">
        <w:rPr>
          <w:rFonts w:cs="Arial"/>
          <w:b/>
        </w:rPr>
        <w:t>)</w:t>
      </w:r>
      <w:r w:rsidR="00207868" w:rsidRPr="00150CD2">
        <w:rPr>
          <w:rFonts w:cs="Arial"/>
          <w:b/>
        </w:rPr>
        <w:t xml:space="preserve"> </w:t>
      </w:r>
      <w:r w:rsidR="00DD57DA" w:rsidRPr="00150CD2">
        <w:rPr>
          <w:rFonts w:cs="Arial"/>
          <w:b/>
        </w:rPr>
        <w:t>survey</w:t>
      </w:r>
      <w:r w:rsidR="00C65A4E" w:rsidRPr="00150CD2">
        <w:rPr>
          <w:rFonts w:cs="Arial"/>
          <w:b/>
        </w:rPr>
        <w:t xml:space="preserve"> data</w:t>
      </w:r>
      <w:r w:rsidR="00F67EE5" w:rsidRPr="00150CD2">
        <w:rPr>
          <w:rFonts w:cs="Arial"/>
          <w:b/>
        </w:rPr>
        <w:t>.</w:t>
      </w:r>
      <w:r w:rsidR="00F67EE5" w:rsidRPr="00150CD2">
        <w:rPr>
          <w:rFonts w:cs="Arial"/>
        </w:rPr>
        <w:t xml:space="preserve"> </w:t>
      </w:r>
      <w:r w:rsidR="005C65B0" w:rsidRPr="00150CD2">
        <w:rPr>
          <w:rFonts w:cs="Arial"/>
        </w:rPr>
        <w:t>Survey r</w:t>
      </w:r>
      <w:r w:rsidR="00F67EE5" w:rsidRPr="00150CD2">
        <w:rPr>
          <w:rFonts w:cs="Arial"/>
        </w:rPr>
        <w:t>esponses were collected</w:t>
      </w:r>
      <w:r w:rsidR="00207868" w:rsidRPr="00150CD2">
        <w:rPr>
          <w:rFonts w:cs="Arial"/>
        </w:rPr>
        <w:t xml:space="preserve"> </w:t>
      </w:r>
      <w:r w:rsidR="00724004" w:rsidRPr="00150CD2">
        <w:rPr>
          <w:rFonts w:cs="Arial"/>
        </w:rPr>
        <w:t>before Mana Whaikaha started</w:t>
      </w:r>
      <w:r w:rsidR="00F67EE5" w:rsidRPr="00150CD2">
        <w:rPr>
          <w:rFonts w:cs="Arial"/>
        </w:rPr>
        <w:t xml:space="preserve"> and additional responses </w:t>
      </w:r>
      <w:r w:rsidR="008D72A5" w:rsidRPr="00150CD2">
        <w:rPr>
          <w:rFonts w:cs="Arial"/>
        </w:rPr>
        <w:t>were planned to</w:t>
      </w:r>
      <w:r w:rsidR="00F67EE5" w:rsidRPr="00150CD2">
        <w:rPr>
          <w:rFonts w:cs="Arial"/>
        </w:rPr>
        <w:t xml:space="preserve"> be collected at 18 </w:t>
      </w:r>
      <w:r w:rsidR="008D72A5" w:rsidRPr="00150CD2">
        <w:rPr>
          <w:rFonts w:cs="Arial"/>
        </w:rPr>
        <w:t>mo</w:t>
      </w:r>
      <w:r w:rsidR="0048344F" w:rsidRPr="00150CD2">
        <w:rPr>
          <w:rFonts w:cs="Arial"/>
        </w:rPr>
        <w:t>n</w:t>
      </w:r>
      <w:r w:rsidR="008D72A5" w:rsidRPr="00150CD2">
        <w:rPr>
          <w:rFonts w:cs="Arial"/>
        </w:rPr>
        <w:t xml:space="preserve">ths and </w:t>
      </w:r>
      <w:r w:rsidR="00067538" w:rsidRPr="00150CD2">
        <w:rPr>
          <w:rFonts w:cs="Arial"/>
        </w:rPr>
        <w:t>after three</w:t>
      </w:r>
      <w:r w:rsidR="0048344F" w:rsidRPr="00150CD2">
        <w:rPr>
          <w:rFonts w:cs="Arial"/>
        </w:rPr>
        <w:t xml:space="preserve"> years</w:t>
      </w:r>
      <w:r w:rsidR="009B4E0F" w:rsidRPr="00150CD2">
        <w:rPr>
          <w:rFonts w:cs="Arial"/>
        </w:rPr>
        <w:t>.</w:t>
      </w:r>
      <w:r w:rsidR="0048344F" w:rsidRPr="00150CD2">
        <w:rPr>
          <w:rFonts w:cs="Arial"/>
        </w:rPr>
        <w:t xml:space="preserve"> </w:t>
      </w:r>
      <w:r w:rsidR="009B4E0F" w:rsidRPr="00150CD2">
        <w:rPr>
          <w:rFonts w:cs="Arial"/>
        </w:rPr>
        <w:t>The planned</w:t>
      </w:r>
      <w:r w:rsidR="00F67EE5" w:rsidRPr="00150CD2">
        <w:rPr>
          <w:rFonts w:cs="Arial"/>
        </w:rPr>
        <w:t xml:space="preserve"> 18 month </w:t>
      </w:r>
      <w:r w:rsidR="009B4E0F" w:rsidRPr="00150CD2">
        <w:rPr>
          <w:rFonts w:cs="Arial"/>
        </w:rPr>
        <w:t>survey</w:t>
      </w:r>
      <w:r w:rsidR="00225F3F" w:rsidRPr="00150CD2">
        <w:rPr>
          <w:rFonts w:cs="Arial"/>
        </w:rPr>
        <w:t xml:space="preserve">s were postponed due to </w:t>
      </w:r>
      <w:r w:rsidR="0044144A" w:rsidRPr="00150CD2">
        <w:rPr>
          <w:rFonts w:cs="Arial"/>
        </w:rPr>
        <w:t xml:space="preserve">the </w:t>
      </w:r>
      <w:r w:rsidR="00225F3F" w:rsidRPr="00150CD2">
        <w:rPr>
          <w:rFonts w:cs="Arial"/>
        </w:rPr>
        <w:t>COVID-19</w:t>
      </w:r>
      <w:r w:rsidR="00FF40FB" w:rsidRPr="00150CD2">
        <w:rPr>
          <w:rFonts w:cs="Arial"/>
        </w:rPr>
        <w:t xml:space="preserve"> pandemic and timing of future surveys is still to be determined.</w:t>
      </w:r>
      <w:r w:rsidR="00065EF0" w:rsidRPr="00150CD2">
        <w:rPr>
          <w:rFonts w:cs="Arial"/>
        </w:rPr>
        <w:t xml:space="preserve"> </w:t>
      </w:r>
      <w:r w:rsidR="005C65B0" w:rsidRPr="00150CD2">
        <w:rPr>
          <w:rFonts w:cs="Arial"/>
        </w:rPr>
        <w:t xml:space="preserve">This data </w:t>
      </w:r>
      <w:r w:rsidR="00C65A4E" w:rsidRPr="00150CD2">
        <w:rPr>
          <w:rFonts w:cs="Arial"/>
        </w:rPr>
        <w:t xml:space="preserve">provides a cross-sectional view of the profile of participants across all outcome domains. It is an important source of information </w:t>
      </w:r>
      <w:r w:rsidR="00624952" w:rsidRPr="00150CD2">
        <w:rPr>
          <w:rFonts w:cs="Arial"/>
        </w:rPr>
        <w:t>on Mana Whaikaha participant outcomes in d</w:t>
      </w:r>
      <w:r w:rsidR="00C65A4E" w:rsidRPr="00150CD2">
        <w:rPr>
          <w:rFonts w:cs="Arial"/>
        </w:rPr>
        <w:t xml:space="preserve">omains described by self-reported, </w:t>
      </w:r>
      <w:r w:rsidR="00DD57DA" w:rsidRPr="00150CD2">
        <w:rPr>
          <w:rFonts w:cs="Arial"/>
        </w:rPr>
        <w:t>behavioural and preference-based measures</w:t>
      </w:r>
      <w:r w:rsidR="00357FD9" w:rsidRPr="00150CD2">
        <w:rPr>
          <w:rFonts w:cs="Arial"/>
        </w:rPr>
        <w:t xml:space="preserve">, as these cannot be </w:t>
      </w:r>
      <w:r w:rsidR="00624952" w:rsidRPr="00150CD2">
        <w:rPr>
          <w:rFonts w:cs="Arial"/>
        </w:rPr>
        <w:t>described</w:t>
      </w:r>
      <w:r w:rsidR="00357FD9" w:rsidRPr="00150CD2">
        <w:rPr>
          <w:rFonts w:cs="Arial"/>
        </w:rPr>
        <w:t xml:space="preserve"> by </w:t>
      </w:r>
      <w:r w:rsidR="00624952" w:rsidRPr="00150CD2">
        <w:rPr>
          <w:rFonts w:cs="Arial"/>
        </w:rPr>
        <w:t>administrative and survey datasets</w:t>
      </w:r>
      <w:r w:rsidR="00357FD9" w:rsidRPr="00150CD2">
        <w:rPr>
          <w:rFonts w:cs="Arial"/>
        </w:rPr>
        <w:t>.</w:t>
      </w:r>
    </w:p>
    <w:p w14:paraId="44B0037F" w14:textId="337AA51F" w:rsidR="00C65A4E" w:rsidRPr="00150CD2" w:rsidRDefault="00C65A4E" w:rsidP="001B7515">
      <w:pPr>
        <w:pStyle w:val="EYBodytextwithparaspace"/>
        <w:numPr>
          <w:ilvl w:val="0"/>
          <w:numId w:val="10"/>
        </w:numPr>
        <w:tabs>
          <w:tab w:val="left" w:pos="900"/>
        </w:tabs>
        <w:rPr>
          <w:rFonts w:cs="Arial"/>
        </w:rPr>
      </w:pPr>
      <w:r w:rsidRPr="00150CD2">
        <w:rPr>
          <w:rFonts w:cs="Arial"/>
          <w:b/>
        </w:rPr>
        <w:t>Mana Whaikaha monitoring data.</w:t>
      </w:r>
      <w:r w:rsidRPr="00150CD2">
        <w:rPr>
          <w:rFonts w:cs="Arial"/>
        </w:rPr>
        <w:t xml:space="preserve"> </w:t>
      </w:r>
      <w:r w:rsidR="00624952" w:rsidRPr="00150CD2">
        <w:rPr>
          <w:rFonts w:cs="Arial"/>
        </w:rPr>
        <w:t xml:space="preserve">Other sources of information collected through the program </w:t>
      </w:r>
      <w:r w:rsidR="0070532E" w:rsidRPr="00150CD2">
        <w:rPr>
          <w:rFonts w:cs="Arial"/>
        </w:rPr>
        <w:t xml:space="preserve"> </w:t>
      </w:r>
      <w:r w:rsidR="00624952" w:rsidRPr="00150CD2">
        <w:rPr>
          <w:rFonts w:cs="Arial"/>
        </w:rPr>
        <w:t xml:space="preserve">may also help to describe in-depth outcomes experienced by participants. </w:t>
      </w:r>
    </w:p>
    <w:p w14:paraId="1EBCE812" w14:textId="722D7B3B" w:rsidR="0088591C" w:rsidRPr="00150CD2" w:rsidRDefault="00F67EE5" w:rsidP="001B7515">
      <w:pPr>
        <w:pStyle w:val="EYBodytextwithparaspace"/>
        <w:numPr>
          <w:ilvl w:val="0"/>
          <w:numId w:val="10"/>
        </w:numPr>
        <w:tabs>
          <w:tab w:val="left" w:pos="900"/>
        </w:tabs>
        <w:rPr>
          <w:rFonts w:cs="Arial"/>
        </w:rPr>
      </w:pPr>
      <w:r w:rsidRPr="00150CD2">
        <w:rPr>
          <w:rFonts w:cs="Arial"/>
          <w:b/>
        </w:rPr>
        <w:t>Population surveys linked within the IDI</w:t>
      </w:r>
      <w:r w:rsidRPr="00150CD2">
        <w:rPr>
          <w:rFonts w:cs="Arial"/>
        </w:rPr>
        <w:t>, including the Disability Survey and General Social Surveys.</w:t>
      </w:r>
      <w:r w:rsidR="00DD57DA" w:rsidRPr="00150CD2">
        <w:rPr>
          <w:rFonts w:cs="Arial"/>
        </w:rPr>
        <w:t xml:space="preserve"> </w:t>
      </w:r>
      <w:r w:rsidR="00624952" w:rsidRPr="00150CD2">
        <w:rPr>
          <w:rFonts w:cs="Arial"/>
        </w:rPr>
        <w:t xml:space="preserve">These </w:t>
      </w:r>
      <w:r w:rsidR="0088591C" w:rsidRPr="00150CD2">
        <w:rPr>
          <w:rFonts w:cs="Arial"/>
        </w:rPr>
        <w:t xml:space="preserve">cross-sectional </w:t>
      </w:r>
      <w:r w:rsidR="00624952" w:rsidRPr="00150CD2">
        <w:rPr>
          <w:rFonts w:cs="Arial"/>
        </w:rPr>
        <w:t>surveys provide a reasonable number of indicators across the outcome domains</w:t>
      </w:r>
      <w:r w:rsidR="0088591C" w:rsidRPr="00150CD2">
        <w:rPr>
          <w:rFonts w:cs="Arial"/>
        </w:rPr>
        <w:t>. The limited number of disability support clients who responded or whose household members responded means that this data can only be used to describe the point-in-time profile of disability support clients at a national level</w:t>
      </w:r>
      <w:r w:rsidR="0070532E" w:rsidRPr="00150CD2">
        <w:rPr>
          <w:rFonts w:cs="Arial"/>
        </w:rPr>
        <w:t>.</w:t>
      </w:r>
    </w:p>
    <w:p w14:paraId="15EE5BE3" w14:textId="1F79B833" w:rsidR="00DD57DA" w:rsidRPr="00150CD2" w:rsidRDefault="00760125" w:rsidP="001B7515">
      <w:pPr>
        <w:pStyle w:val="EYBodytextwithparaspace"/>
        <w:numPr>
          <w:ilvl w:val="0"/>
          <w:numId w:val="10"/>
        </w:numPr>
        <w:tabs>
          <w:tab w:val="left" w:pos="900"/>
        </w:tabs>
        <w:rPr>
          <w:rFonts w:cs="Arial"/>
        </w:rPr>
      </w:pPr>
      <w:r w:rsidRPr="00150CD2">
        <w:rPr>
          <w:rFonts w:cs="Arial"/>
          <w:b/>
        </w:rPr>
        <w:t>Census 2013 data in the IDI</w:t>
      </w:r>
      <w:r w:rsidR="00DD57DA" w:rsidRPr="00150CD2">
        <w:rPr>
          <w:rFonts w:cs="Arial"/>
        </w:rPr>
        <w:t>.</w:t>
      </w:r>
      <w:r w:rsidRPr="00150CD2">
        <w:rPr>
          <w:rFonts w:cs="Arial"/>
        </w:rPr>
        <w:t xml:space="preserve"> Provides a cross-sectional view of the profile of participants across some outcome domains and is a key source of information on households as at 2013, both for Mana Whaikaha participants and the </w:t>
      </w:r>
      <w:r w:rsidR="0070532E" w:rsidRPr="00150CD2">
        <w:rPr>
          <w:rFonts w:cs="Arial"/>
        </w:rPr>
        <w:t>national</w:t>
      </w:r>
      <w:r w:rsidRPr="00150CD2">
        <w:rPr>
          <w:rFonts w:cs="Arial"/>
        </w:rPr>
        <w:t xml:space="preserve"> disability support client population.</w:t>
      </w:r>
      <w:r w:rsidR="00207868" w:rsidRPr="00150CD2">
        <w:rPr>
          <w:rFonts w:cs="Arial"/>
        </w:rPr>
        <w:t xml:space="preserve"> </w:t>
      </w:r>
      <w:r w:rsidR="00DF62CF" w:rsidRPr="00150CD2">
        <w:rPr>
          <w:rFonts w:cs="Arial"/>
        </w:rPr>
        <w:t>Census 2018</w:t>
      </w:r>
      <w:r w:rsidR="00687AD1" w:rsidRPr="00150CD2">
        <w:rPr>
          <w:rFonts w:cs="Arial"/>
        </w:rPr>
        <w:t xml:space="preserve"> data</w:t>
      </w:r>
      <w:r w:rsidR="00DF62CF" w:rsidRPr="00150CD2">
        <w:rPr>
          <w:rFonts w:cs="Arial"/>
        </w:rPr>
        <w:t xml:space="preserve"> was not </w:t>
      </w:r>
      <w:r w:rsidR="003F2235" w:rsidRPr="00150CD2">
        <w:rPr>
          <w:rFonts w:cs="Arial"/>
        </w:rPr>
        <w:t xml:space="preserve">yet </w:t>
      </w:r>
      <w:r w:rsidR="00DF62CF" w:rsidRPr="00150CD2">
        <w:rPr>
          <w:rFonts w:cs="Arial"/>
        </w:rPr>
        <w:t xml:space="preserve">available in the IDI </w:t>
      </w:r>
      <w:r w:rsidR="00687AD1" w:rsidRPr="00150CD2">
        <w:rPr>
          <w:rFonts w:cs="Arial"/>
        </w:rPr>
        <w:t xml:space="preserve">when this project was undertaken. </w:t>
      </w:r>
      <w:r w:rsidRPr="00150CD2">
        <w:rPr>
          <w:rFonts w:cs="Arial"/>
        </w:rPr>
        <w:t xml:space="preserve"> </w:t>
      </w:r>
    </w:p>
    <w:p w14:paraId="1F1EE721" w14:textId="4DF2AFAA" w:rsidR="00F67EE5" w:rsidRPr="00150CD2" w:rsidRDefault="00F67EE5" w:rsidP="001B7515">
      <w:pPr>
        <w:pStyle w:val="EYBodytextwithparaspace"/>
        <w:numPr>
          <w:ilvl w:val="0"/>
          <w:numId w:val="10"/>
        </w:numPr>
        <w:tabs>
          <w:tab w:val="left" w:pos="900"/>
        </w:tabs>
        <w:rPr>
          <w:rFonts w:cs="Arial"/>
        </w:rPr>
      </w:pPr>
      <w:r w:rsidRPr="00150CD2">
        <w:rPr>
          <w:rFonts w:cs="Arial"/>
          <w:b/>
        </w:rPr>
        <w:t>Administrative datasets in the IDI</w:t>
      </w:r>
      <w:r w:rsidRPr="00150CD2">
        <w:rPr>
          <w:rFonts w:cs="Arial"/>
        </w:rPr>
        <w:t>.</w:t>
      </w:r>
      <w:r w:rsidR="0070532E" w:rsidRPr="00150CD2">
        <w:rPr>
          <w:rFonts w:cs="Arial"/>
        </w:rPr>
        <w:t xml:space="preserve"> Provides a longitudinal view of service contact</w:t>
      </w:r>
      <w:r w:rsidR="00064F6C" w:rsidRPr="00150CD2">
        <w:rPr>
          <w:rFonts w:cs="Arial"/>
        </w:rPr>
        <w:t xml:space="preserve"> which helps to </w:t>
      </w:r>
      <w:r w:rsidR="00B41ED9" w:rsidRPr="00150CD2">
        <w:rPr>
          <w:rFonts w:cs="Arial"/>
        </w:rPr>
        <w:t>describe</w:t>
      </w:r>
      <w:r w:rsidR="00064F6C" w:rsidRPr="00150CD2">
        <w:rPr>
          <w:rFonts w:cs="Arial"/>
        </w:rPr>
        <w:t xml:space="preserve"> </w:t>
      </w:r>
      <w:r w:rsidR="0070532E" w:rsidRPr="00150CD2">
        <w:rPr>
          <w:rFonts w:cs="Arial"/>
        </w:rPr>
        <w:t xml:space="preserve">specific outcome </w:t>
      </w:r>
      <w:r w:rsidR="00064F6C" w:rsidRPr="00150CD2">
        <w:rPr>
          <w:rFonts w:cs="Arial"/>
        </w:rPr>
        <w:t>domains for both Mana Whaikaha participants and the national disability support client population. Examples include employment, income and benefit support, education enrolment and attainment.</w:t>
      </w:r>
    </w:p>
    <w:p w14:paraId="51E72880" w14:textId="56797387" w:rsidR="009E6D0A" w:rsidRPr="00150CD2" w:rsidRDefault="00687AD1" w:rsidP="001B7515">
      <w:pPr>
        <w:pStyle w:val="EYBodytextwithparaspace"/>
        <w:numPr>
          <w:ilvl w:val="0"/>
          <w:numId w:val="10"/>
        </w:numPr>
        <w:tabs>
          <w:tab w:val="left" w:pos="900"/>
        </w:tabs>
        <w:rPr>
          <w:rFonts w:cs="Arial"/>
        </w:rPr>
      </w:pPr>
      <w:r w:rsidRPr="00150CD2">
        <w:rPr>
          <w:rFonts w:cs="Arial"/>
          <w:b/>
        </w:rPr>
        <w:t>Other health</w:t>
      </w:r>
      <w:r w:rsidR="00F67EE5" w:rsidRPr="00150CD2">
        <w:rPr>
          <w:rFonts w:cs="Arial"/>
          <w:b/>
        </w:rPr>
        <w:t xml:space="preserve"> datasets</w:t>
      </w:r>
      <w:r w:rsidRPr="00150CD2">
        <w:rPr>
          <w:rFonts w:cs="Arial"/>
          <w:b/>
        </w:rPr>
        <w:t xml:space="preserve"> which are not in the IDI</w:t>
      </w:r>
      <w:r w:rsidR="00313578" w:rsidRPr="00150CD2">
        <w:rPr>
          <w:rFonts w:cs="Arial"/>
        </w:rPr>
        <w:t>, such as Child Development Service and screening data, can be potentially linked with disability support client data to describe health system related characteristics of Mana Whaikaha and broader population groups. The Ministry is investigating the potential scope of this information.</w:t>
      </w:r>
    </w:p>
    <w:p w14:paraId="14EC3A85" w14:textId="458DADA6" w:rsidR="00B262C7" w:rsidRPr="00150CD2" w:rsidRDefault="00122045" w:rsidP="00B262C7">
      <w:pPr>
        <w:pStyle w:val="EYBodytextwithparaspace"/>
        <w:rPr>
          <w:rFonts w:cs="Arial"/>
        </w:rPr>
      </w:pPr>
      <w:r w:rsidRPr="00150CD2">
        <w:rPr>
          <w:rFonts w:cs="Arial"/>
        </w:rPr>
        <w:t>The feasibility assessment considered indicators from sources 1-5, while the current state and baseline outcomes analysis focuses</w:t>
      </w:r>
      <w:r w:rsidR="00446448" w:rsidRPr="00150CD2">
        <w:rPr>
          <w:rFonts w:cs="Arial"/>
        </w:rPr>
        <w:t xml:space="preserve"> in this report</w:t>
      </w:r>
      <w:r w:rsidRPr="00150CD2">
        <w:rPr>
          <w:rFonts w:cs="Arial"/>
        </w:rPr>
        <w:t xml:space="preserve"> on information from linked administrative and population survey datasets within the IDI (sources 3-5).</w:t>
      </w:r>
    </w:p>
    <w:p w14:paraId="183208A6" w14:textId="7020E720" w:rsidR="00103594" w:rsidRPr="00150CD2" w:rsidRDefault="00103594" w:rsidP="00B262C7">
      <w:pPr>
        <w:pStyle w:val="EYBodytextwithparaspace"/>
        <w:rPr>
          <w:rFonts w:cs="Arial"/>
        </w:rPr>
      </w:pPr>
    </w:p>
    <w:p w14:paraId="434A72BF" w14:textId="5230466B" w:rsidR="004015BE" w:rsidRPr="00150CD2" w:rsidRDefault="00514B1C" w:rsidP="00184038">
      <w:pPr>
        <w:pStyle w:val="EYHeading2"/>
      </w:pPr>
      <w:bookmarkStart w:id="36" w:name="_Toc33645471"/>
      <w:bookmarkStart w:id="37" w:name="_Toc33895996"/>
      <w:bookmarkStart w:id="38" w:name="_Toc33980620"/>
      <w:bookmarkStart w:id="39" w:name="_Toc34052734"/>
      <w:bookmarkStart w:id="40" w:name="_Toc34054058"/>
      <w:bookmarkStart w:id="41" w:name="_Toc34055376"/>
      <w:bookmarkStart w:id="42" w:name="_Toc34056694"/>
      <w:bookmarkStart w:id="43" w:name="_Toc34077112"/>
      <w:bookmarkStart w:id="44" w:name="_Toc34091140"/>
      <w:bookmarkStart w:id="45" w:name="_Toc34095653"/>
      <w:bookmarkStart w:id="46" w:name="_Ref24639289"/>
      <w:bookmarkStart w:id="47" w:name="_Toc46365136"/>
      <w:bookmarkStart w:id="48" w:name="_Toc48752354"/>
      <w:bookmarkEnd w:id="36"/>
      <w:bookmarkEnd w:id="37"/>
      <w:bookmarkEnd w:id="38"/>
      <w:bookmarkEnd w:id="39"/>
      <w:bookmarkEnd w:id="40"/>
      <w:bookmarkEnd w:id="41"/>
      <w:bookmarkEnd w:id="42"/>
      <w:bookmarkEnd w:id="43"/>
      <w:bookmarkEnd w:id="44"/>
      <w:bookmarkEnd w:id="45"/>
      <w:r w:rsidRPr="00150CD2">
        <w:t>Outcome i</w:t>
      </w:r>
      <w:r w:rsidR="009E6D0A" w:rsidRPr="00150CD2">
        <w:t xml:space="preserve">ndicator assessment </w:t>
      </w:r>
      <w:r w:rsidR="004015BE" w:rsidRPr="00150CD2">
        <w:t>criteria</w:t>
      </w:r>
      <w:bookmarkEnd w:id="46"/>
      <w:bookmarkEnd w:id="47"/>
      <w:bookmarkEnd w:id="48"/>
    </w:p>
    <w:p w14:paraId="3D55629D" w14:textId="7868C30E" w:rsidR="00FA2FF3" w:rsidRPr="00150CD2" w:rsidRDefault="00257126" w:rsidP="004015BE">
      <w:pPr>
        <w:pStyle w:val="EYBodytextwithparaspace"/>
        <w:rPr>
          <w:rFonts w:cs="Arial"/>
        </w:rPr>
      </w:pPr>
      <w:bookmarkStart w:id="49" w:name="_Hlk32075530"/>
      <w:r w:rsidRPr="00150CD2">
        <w:rPr>
          <w:rFonts w:cs="Arial"/>
        </w:rPr>
        <w:t>K</w:t>
      </w:r>
      <w:r w:rsidR="004015BE" w:rsidRPr="00150CD2">
        <w:rPr>
          <w:rFonts w:cs="Arial"/>
        </w:rPr>
        <w:t xml:space="preserve">ey criteria used to assess the potential of available data to help describe </w:t>
      </w:r>
      <w:r w:rsidR="00FA2FF3" w:rsidRPr="00150CD2">
        <w:rPr>
          <w:rFonts w:cs="Arial"/>
        </w:rPr>
        <w:t>part</w:t>
      </w:r>
      <w:r w:rsidR="00F67EE5" w:rsidRPr="00150CD2">
        <w:rPr>
          <w:rFonts w:cs="Arial"/>
        </w:rPr>
        <w:t>i</w:t>
      </w:r>
      <w:r w:rsidR="00FA2FF3" w:rsidRPr="00150CD2">
        <w:rPr>
          <w:rFonts w:cs="Arial"/>
        </w:rPr>
        <w:t>cipant outcomes</w:t>
      </w:r>
      <w:r w:rsidRPr="00150CD2">
        <w:rPr>
          <w:rFonts w:cs="Arial"/>
        </w:rPr>
        <w:t xml:space="preserve"> </w:t>
      </w:r>
      <w:r w:rsidR="00EF51F1" w:rsidRPr="00150CD2">
        <w:rPr>
          <w:rFonts w:cs="Arial"/>
        </w:rPr>
        <w:t>p</w:t>
      </w:r>
      <w:r w:rsidR="00834D05" w:rsidRPr="00150CD2">
        <w:rPr>
          <w:rFonts w:cs="Arial"/>
        </w:rPr>
        <w:t xml:space="preserve">rior to Mana Whaikaha’s </w:t>
      </w:r>
      <w:r w:rsidR="00EF51F1" w:rsidRPr="00150CD2">
        <w:rPr>
          <w:rFonts w:cs="Arial"/>
        </w:rPr>
        <w:t xml:space="preserve">commencement </w:t>
      </w:r>
      <w:r w:rsidRPr="00150CD2">
        <w:rPr>
          <w:rFonts w:cs="Arial"/>
        </w:rPr>
        <w:t>are listed below:</w:t>
      </w:r>
    </w:p>
    <w:p w14:paraId="5D250DD4" w14:textId="77777777" w:rsidR="004015BE" w:rsidRPr="00150CD2" w:rsidRDefault="004015BE" w:rsidP="001B7515">
      <w:pPr>
        <w:pStyle w:val="EYBulletedText2"/>
        <w:numPr>
          <w:ilvl w:val="0"/>
          <w:numId w:val="7"/>
        </w:numPr>
        <w:rPr>
          <w:rFonts w:cs="Arial"/>
          <w:lang w:eastAsia="en-AU"/>
        </w:rPr>
      </w:pPr>
      <w:r w:rsidRPr="00150CD2">
        <w:rPr>
          <w:rFonts w:cs="Arial"/>
          <w:b/>
          <w:lang w:eastAsia="en-AU"/>
        </w:rPr>
        <w:t>Validity</w:t>
      </w:r>
      <w:r w:rsidRPr="00150CD2">
        <w:rPr>
          <w:rFonts w:cs="Arial"/>
          <w:lang w:eastAsia="en-AU"/>
        </w:rPr>
        <w:t xml:space="preserve"> - does the indicator reflects the underlying outcome it is intended to measure? Is it aligned with the Mana Whaikaha outcome framework and intervention logic?</w:t>
      </w:r>
    </w:p>
    <w:p w14:paraId="71906E55" w14:textId="77777777" w:rsidR="004015BE" w:rsidRPr="00150CD2" w:rsidRDefault="004015BE" w:rsidP="001B7515">
      <w:pPr>
        <w:pStyle w:val="EYBulletedText2"/>
        <w:numPr>
          <w:ilvl w:val="0"/>
          <w:numId w:val="7"/>
        </w:numPr>
        <w:rPr>
          <w:rFonts w:cs="Arial"/>
          <w:lang w:eastAsia="en-AU"/>
        </w:rPr>
      </w:pPr>
      <w:r w:rsidRPr="00150CD2">
        <w:rPr>
          <w:rFonts w:cs="Arial"/>
          <w:b/>
          <w:lang w:eastAsia="en-AU"/>
        </w:rPr>
        <w:t>Acceptance</w:t>
      </w:r>
      <w:r w:rsidRPr="00150CD2">
        <w:rPr>
          <w:rFonts w:cs="Arial"/>
          <w:lang w:eastAsia="en-AU"/>
        </w:rPr>
        <w:t xml:space="preserve"> - is the indicator considered relevant, reasonable and straightforward to interpret by stakeholders, in particular for people with disabilities and their </w:t>
      </w:r>
      <w:r w:rsidRPr="00150CD2">
        <w:rPr>
          <w:rFonts w:cs="Arial"/>
        </w:rPr>
        <w:t>whānau</w:t>
      </w:r>
      <w:r w:rsidRPr="00150CD2">
        <w:rPr>
          <w:rFonts w:cs="Arial"/>
          <w:lang w:eastAsia="en-AU"/>
        </w:rPr>
        <w:t>?</w:t>
      </w:r>
    </w:p>
    <w:p w14:paraId="4CE5976F" w14:textId="77777777" w:rsidR="004015BE" w:rsidRPr="00150CD2" w:rsidRDefault="004015BE" w:rsidP="001B7515">
      <w:pPr>
        <w:pStyle w:val="EYBulletedText2"/>
        <w:numPr>
          <w:ilvl w:val="0"/>
          <w:numId w:val="7"/>
        </w:numPr>
        <w:rPr>
          <w:rFonts w:cs="Arial"/>
          <w:lang w:eastAsia="en-AU"/>
        </w:rPr>
      </w:pPr>
      <w:r w:rsidRPr="00150CD2">
        <w:rPr>
          <w:rFonts w:cs="Arial"/>
          <w:b/>
          <w:lang w:eastAsia="en-AU"/>
        </w:rPr>
        <w:t>Reliability/completeness</w:t>
      </w:r>
      <w:r w:rsidRPr="00150CD2">
        <w:rPr>
          <w:rFonts w:cs="Arial"/>
          <w:lang w:eastAsia="en-AU"/>
        </w:rPr>
        <w:t xml:space="preserve"> - does the supporting data provides reasonable coverage for the population groups with disabilities, in the MidCentral region and for other groups of interest? Is the data overly influenced by variations in work and/or recording practices (i.e. across different users or agency sites)?</w:t>
      </w:r>
    </w:p>
    <w:p w14:paraId="1EEF4E2D" w14:textId="1AB33EA1" w:rsidR="004015BE" w:rsidRPr="00150CD2" w:rsidRDefault="004015BE" w:rsidP="001B7515">
      <w:pPr>
        <w:pStyle w:val="EYBulletedText2"/>
        <w:numPr>
          <w:ilvl w:val="0"/>
          <w:numId w:val="7"/>
        </w:numPr>
        <w:rPr>
          <w:rFonts w:cs="Arial"/>
          <w:lang w:eastAsia="en-AU"/>
        </w:rPr>
      </w:pPr>
      <w:r w:rsidRPr="00150CD2">
        <w:rPr>
          <w:rFonts w:cs="Arial"/>
          <w:b/>
          <w:lang w:eastAsia="en-AU"/>
        </w:rPr>
        <w:t>Comparability</w:t>
      </w:r>
      <w:r w:rsidRPr="00150CD2">
        <w:rPr>
          <w:rFonts w:cs="Arial"/>
          <w:lang w:eastAsia="en-AU"/>
        </w:rPr>
        <w:t xml:space="preserve"> - has the underlying data been recorded in a reasonably consistent fashion over time</w:t>
      </w:r>
      <w:r w:rsidR="00C11CE4" w:rsidRPr="00150CD2">
        <w:rPr>
          <w:rFonts w:cs="Arial"/>
          <w:lang w:eastAsia="en-AU"/>
        </w:rPr>
        <w:t>, and will it continue to be available in the future</w:t>
      </w:r>
      <w:r w:rsidRPr="00150CD2">
        <w:rPr>
          <w:rFonts w:cs="Arial"/>
          <w:lang w:eastAsia="en-AU"/>
        </w:rPr>
        <w:t>? i.e. does the indicator reflect actual shifts in the underlying outcome of interest over a 1 to 3-year period, while not being unduly impacted by changes in policy, work and/or recording practices over time?</w:t>
      </w:r>
    </w:p>
    <w:p w14:paraId="5D96C773" w14:textId="77777777" w:rsidR="004015BE" w:rsidRPr="00150CD2" w:rsidRDefault="004015BE" w:rsidP="001B7515">
      <w:pPr>
        <w:pStyle w:val="EYBulletedText2"/>
        <w:numPr>
          <w:ilvl w:val="0"/>
          <w:numId w:val="7"/>
        </w:numPr>
        <w:rPr>
          <w:rFonts w:cs="Arial"/>
          <w:lang w:eastAsia="en-AU"/>
        </w:rPr>
      </w:pPr>
      <w:r w:rsidRPr="00150CD2">
        <w:rPr>
          <w:rFonts w:cs="Arial"/>
          <w:b/>
          <w:lang w:eastAsia="en-AU"/>
        </w:rPr>
        <w:t>Feasibility</w:t>
      </w:r>
      <w:r w:rsidRPr="00150CD2">
        <w:rPr>
          <w:rFonts w:cs="Arial"/>
          <w:lang w:eastAsia="en-AU"/>
        </w:rPr>
        <w:t xml:space="preserve"> - is the data available in a timely manner, and can it be segmented for key subgroups (e.g. by location, gender and disability type)?</w:t>
      </w:r>
    </w:p>
    <w:p w14:paraId="7C6E5BF8" w14:textId="77777777" w:rsidR="004015BE" w:rsidRPr="00150CD2" w:rsidRDefault="004015BE" w:rsidP="001B7515">
      <w:pPr>
        <w:pStyle w:val="EYBulletedText2"/>
        <w:numPr>
          <w:ilvl w:val="0"/>
          <w:numId w:val="7"/>
        </w:numPr>
        <w:rPr>
          <w:rFonts w:cs="Arial"/>
          <w:lang w:eastAsia="en-AU"/>
        </w:rPr>
      </w:pPr>
      <w:r w:rsidRPr="00150CD2">
        <w:rPr>
          <w:rFonts w:cs="Arial"/>
          <w:b/>
          <w:lang w:eastAsia="en-AU"/>
        </w:rPr>
        <w:t>Equity</w:t>
      </w:r>
      <w:r w:rsidRPr="00150CD2">
        <w:rPr>
          <w:rFonts w:cs="Arial"/>
          <w:lang w:eastAsia="en-AU"/>
        </w:rPr>
        <w:t xml:space="preserve"> – can the indicator be used to highlight areas of potential inequities between population groups, and to reflect changes in equity between population groups over the evaluation period?</w:t>
      </w:r>
    </w:p>
    <w:p w14:paraId="011C5974" w14:textId="7660D6A6" w:rsidR="009E6D0A" w:rsidRPr="00150CD2" w:rsidRDefault="00DB59C9" w:rsidP="009E6D0A">
      <w:pPr>
        <w:pStyle w:val="EYBodytextwithparaspace"/>
        <w:rPr>
          <w:rFonts w:cs="Arial"/>
        </w:rPr>
      </w:pPr>
      <w:r w:rsidRPr="00150CD2">
        <w:rPr>
          <w:rFonts w:cs="Arial"/>
        </w:rPr>
        <w:t xml:space="preserve">These criteria were developed with reference to </w:t>
      </w:r>
      <w:r w:rsidR="009E6D0A" w:rsidRPr="00150CD2">
        <w:rPr>
          <w:rFonts w:cs="Arial"/>
        </w:rPr>
        <w:t xml:space="preserve">existing Government guidance on assessing potential outcome indicators and general social sector practices in assessing population level indicators, as well as knowledge of variations in </w:t>
      </w:r>
      <w:r w:rsidR="00F239FB" w:rsidRPr="00150CD2">
        <w:rPr>
          <w:rFonts w:cs="Arial"/>
        </w:rPr>
        <w:t>the</w:t>
      </w:r>
      <w:r w:rsidR="00C822C9" w:rsidRPr="00150CD2">
        <w:rPr>
          <w:rFonts w:cs="Arial"/>
        </w:rPr>
        <w:t xml:space="preserve"> coverage, comparability and validity of data contained in </w:t>
      </w:r>
      <w:r w:rsidR="009E6D0A" w:rsidRPr="00150CD2">
        <w:rPr>
          <w:rFonts w:cs="Arial"/>
        </w:rPr>
        <w:t xml:space="preserve">IDI administrative datasets. </w:t>
      </w:r>
    </w:p>
    <w:bookmarkEnd w:id="49"/>
    <w:p w14:paraId="730A16DE" w14:textId="23A4CEF5" w:rsidR="00103594" w:rsidRPr="00150CD2" w:rsidRDefault="00103594">
      <w:pPr>
        <w:autoSpaceDE/>
        <w:autoSpaceDN/>
        <w:adjustRightInd/>
        <w:rPr>
          <w:rFonts w:cs="Arial"/>
        </w:rPr>
      </w:pPr>
      <w:r w:rsidRPr="00150CD2">
        <w:rPr>
          <w:rFonts w:cs="Arial"/>
        </w:rPr>
        <w:br w:type="page"/>
      </w:r>
    </w:p>
    <w:p w14:paraId="0508D6A3" w14:textId="72537FC4" w:rsidR="004E5D87" w:rsidRPr="00150CD2" w:rsidRDefault="00C822C9" w:rsidP="00184038">
      <w:pPr>
        <w:pStyle w:val="EYHeading2"/>
      </w:pPr>
      <w:bookmarkStart w:id="50" w:name="_Toc46365137"/>
      <w:bookmarkStart w:id="51" w:name="_Toc48752355"/>
      <w:r w:rsidRPr="00150CD2">
        <w:lastRenderedPageBreak/>
        <w:t>Population groups of interest</w:t>
      </w:r>
      <w:bookmarkEnd w:id="50"/>
      <w:bookmarkEnd w:id="51"/>
    </w:p>
    <w:p w14:paraId="4975E93B" w14:textId="001BBA38" w:rsidR="000563BF" w:rsidRPr="00150CD2" w:rsidRDefault="00C822C9" w:rsidP="00C822C9">
      <w:pPr>
        <w:pStyle w:val="EYBodytextwithparaspace"/>
        <w:rPr>
          <w:rFonts w:cs="Arial"/>
        </w:rPr>
      </w:pPr>
      <w:r w:rsidRPr="00150CD2">
        <w:rPr>
          <w:rFonts w:cs="Arial"/>
        </w:rPr>
        <w:t xml:space="preserve">The Ministry identified </w:t>
      </w:r>
      <w:r w:rsidR="000563BF" w:rsidRPr="00150CD2">
        <w:rPr>
          <w:rFonts w:cs="Arial"/>
        </w:rPr>
        <w:t>several</w:t>
      </w:r>
      <w:r w:rsidRPr="00150CD2">
        <w:rPr>
          <w:rFonts w:cs="Arial"/>
        </w:rPr>
        <w:t xml:space="preserve"> population </w:t>
      </w:r>
      <w:r w:rsidR="005E773C" w:rsidRPr="00150CD2">
        <w:rPr>
          <w:rFonts w:cs="Arial"/>
        </w:rPr>
        <w:t>dimensions</w:t>
      </w:r>
      <w:r w:rsidRPr="00150CD2">
        <w:rPr>
          <w:rFonts w:cs="Arial"/>
        </w:rPr>
        <w:t xml:space="preserve"> </w:t>
      </w:r>
      <w:r w:rsidR="000563BF" w:rsidRPr="00150CD2">
        <w:rPr>
          <w:rFonts w:cs="Arial"/>
        </w:rPr>
        <w:t>where there was interest in exploring potential variations in service contact and outcomes.</w:t>
      </w:r>
      <w:r w:rsidR="005E773C" w:rsidRPr="00150CD2">
        <w:rPr>
          <w:rFonts w:cs="Arial"/>
        </w:rPr>
        <w:t xml:space="preserve"> </w:t>
      </w:r>
    </w:p>
    <w:p w14:paraId="1A322951" w14:textId="72B2E08A" w:rsidR="000563BF" w:rsidRPr="00150CD2" w:rsidRDefault="000563BF" w:rsidP="00C822C9">
      <w:pPr>
        <w:pStyle w:val="EYBodytextwithparaspace"/>
        <w:rPr>
          <w:rFonts w:cs="Arial"/>
        </w:rPr>
      </w:pPr>
      <w:r w:rsidRPr="00150CD2">
        <w:rPr>
          <w:rFonts w:cs="Arial"/>
        </w:rPr>
        <w:t xml:space="preserve">We assessed the </w:t>
      </w:r>
      <w:r w:rsidR="00C609F6" w:rsidRPr="00150CD2">
        <w:rPr>
          <w:rFonts w:cs="Arial"/>
        </w:rPr>
        <w:t>feasibility</w:t>
      </w:r>
      <w:r w:rsidRPr="00150CD2">
        <w:rPr>
          <w:rFonts w:cs="Arial"/>
        </w:rPr>
        <w:t xml:space="preserve"> of extracting findings for each subgroup in light of the constraints imposed by confidentiality rules applicable to IDI results, survey response counts and population sizes. Feasibility </w:t>
      </w:r>
      <w:r w:rsidR="006577F7" w:rsidRPr="00150CD2">
        <w:rPr>
          <w:rFonts w:cs="Arial"/>
        </w:rPr>
        <w:t xml:space="preserve">also varied by indicator, with larger groups required to support meaningful observations for less frequent events. </w:t>
      </w:r>
      <w:r w:rsidR="00D14B34" w:rsidRPr="00150CD2">
        <w:rPr>
          <w:rFonts w:cs="Arial"/>
        </w:rPr>
        <w:t>Where possible</w:t>
      </w:r>
      <w:r w:rsidR="00446448" w:rsidRPr="00150CD2">
        <w:rPr>
          <w:rFonts w:cs="Arial"/>
        </w:rPr>
        <w:t>,</w:t>
      </w:r>
      <w:r w:rsidR="00D14B34" w:rsidRPr="00150CD2">
        <w:rPr>
          <w:rFonts w:cs="Arial"/>
        </w:rPr>
        <w:t xml:space="preserve"> we focused on retaining subgroups that </w:t>
      </w:r>
      <w:r w:rsidR="005E773C" w:rsidRPr="00150CD2">
        <w:rPr>
          <w:rFonts w:cs="Arial"/>
        </w:rPr>
        <w:t>appear to experience</w:t>
      </w:r>
      <w:r w:rsidR="00D14B34" w:rsidRPr="00150CD2">
        <w:rPr>
          <w:rFonts w:cs="Arial"/>
        </w:rPr>
        <w:t xml:space="preserve"> substantial differences in service contact or outcomes. </w:t>
      </w:r>
      <w:r w:rsidR="006577F7" w:rsidRPr="00150CD2">
        <w:rPr>
          <w:rFonts w:cs="Arial"/>
        </w:rPr>
        <w:t xml:space="preserve">Confidence interval estimates have been included in our main findings to provide an indication of relative variability across key indicators and populations. </w:t>
      </w:r>
    </w:p>
    <w:p w14:paraId="08597872" w14:textId="495A6697" w:rsidR="00C822C9" w:rsidRPr="00150CD2" w:rsidRDefault="00D14B34" w:rsidP="00C822C9">
      <w:pPr>
        <w:pStyle w:val="EYBodytextwithparaspace"/>
        <w:rPr>
          <w:rFonts w:cs="Arial"/>
        </w:rPr>
      </w:pPr>
      <w:r w:rsidRPr="00150CD2">
        <w:rPr>
          <w:rFonts w:cs="Arial"/>
        </w:rPr>
        <w:t xml:space="preserve">The findings section highlights </w:t>
      </w:r>
      <w:r w:rsidR="003A027D" w:rsidRPr="00150CD2">
        <w:rPr>
          <w:rFonts w:cs="Arial"/>
        </w:rPr>
        <w:t>differences</w:t>
      </w:r>
      <w:r w:rsidRPr="00150CD2">
        <w:rPr>
          <w:rFonts w:cs="Arial"/>
        </w:rPr>
        <w:t xml:space="preserve"> for the following population subgroups:</w:t>
      </w:r>
    </w:p>
    <w:p w14:paraId="7DA1E18B" w14:textId="53D1C404" w:rsidR="003A027D" w:rsidRPr="00150CD2" w:rsidRDefault="00D14B34" w:rsidP="00C822C9">
      <w:pPr>
        <w:pStyle w:val="EYBulletedText1"/>
        <w:rPr>
          <w:rFonts w:cs="Arial"/>
        </w:rPr>
      </w:pPr>
      <w:r w:rsidRPr="00150CD2">
        <w:rPr>
          <w:rFonts w:cs="Arial"/>
          <w:b/>
        </w:rPr>
        <w:t>Age</w:t>
      </w:r>
      <w:r w:rsidRPr="00150CD2">
        <w:rPr>
          <w:rFonts w:cs="Arial"/>
        </w:rPr>
        <w:t xml:space="preserve"> – Lifecourse stages are important influences on service usage patterns and outcomes. Findings have been grouped by age groups loosely corresponding to lifecourse stages: 0-4 (early childhood), 5-9 (middle childhood), 10-1</w:t>
      </w:r>
      <w:r w:rsidR="00207868" w:rsidRPr="00150CD2">
        <w:rPr>
          <w:rFonts w:cs="Arial"/>
        </w:rPr>
        <w:t>4</w:t>
      </w:r>
      <w:r w:rsidRPr="00150CD2">
        <w:rPr>
          <w:rFonts w:cs="Arial"/>
        </w:rPr>
        <w:t xml:space="preserve"> (teenage years), 1</w:t>
      </w:r>
      <w:r w:rsidR="00207868" w:rsidRPr="00150CD2">
        <w:rPr>
          <w:rFonts w:cs="Arial"/>
        </w:rPr>
        <w:t>5</w:t>
      </w:r>
      <w:r w:rsidRPr="00150CD2">
        <w:rPr>
          <w:rFonts w:cs="Arial"/>
        </w:rPr>
        <w:t>-</w:t>
      </w:r>
      <w:r w:rsidR="00207868" w:rsidRPr="00150CD2">
        <w:rPr>
          <w:rFonts w:cs="Arial"/>
        </w:rPr>
        <w:t>19</w:t>
      </w:r>
      <w:r w:rsidRPr="00150CD2">
        <w:rPr>
          <w:rFonts w:cs="Arial"/>
        </w:rPr>
        <w:t xml:space="preserve"> (late teenage/early adult years), 2</w:t>
      </w:r>
      <w:r w:rsidR="00207868" w:rsidRPr="00150CD2">
        <w:rPr>
          <w:rFonts w:cs="Arial"/>
        </w:rPr>
        <w:t>0</w:t>
      </w:r>
      <w:r w:rsidRPr="00150CD2">
        <w:rPr>
          <w:rFonts w:cs="Arial"/>
        </w:rPr>
        <w:t>-2</w:t>
      </w:r>
      <w:r w:rsidR="00207868" w:rsidRPr="00150CD2">
        <w:rPr>
          <w:rFonts w:cs="Arial"/>
        </w:rPr>
        <w:t>4</w:t>
      </w:r>
      <w:r w:rsidRPr="00150CD2">
        <w:rPr>
          <w:rFonts w:cs="Arial"/>
        </w:rPr>
        <w:t xml:space="preserve"> (young adulthood), 2</w:t>
      </w:r>
      <w:r w:rsidR="00207868" w:rsidRPr="00150CD2">
        <w:rPr>
          <w:rFonts w:cs="Arial"/>
        </w:rPr>
        <w:t>5</w:t>
      </w:r>
      <w:r w:rsidRPr="00150CD2">
        <w:rPr>
          <w:rFonts w:cs="Arial"/>
        </w:rPr>
        <w:t>-4</w:t>
      </w:r>
      <w:r w:rsidR="00207868" w:rsidRPr="00150CD2">
        <w:rPr>
          <w:rFonts w:cs="Arial"/>
        </w:rPr>
        <w:t>4</w:t>
      </w:r>
      <w:r w:rsidRPr="00150CD2">
        <w:rPr>
          <w:rFonts w:cs="Arial"/>
        </w:rPr>
        <w:t>, 4</w:t>
      </w:r>
      <w:r w:rsidR="00207868" w:rsidRPr="00150CD2">
        <w:rPr>
          <w:rFonts w:cs="Arial"/>
        </w:rPr>
        <w:t>5</w:t>
      </w:r>
      <w:r w:rsidRPr="00150CD2">
        <w:rPr>
          <w:rFonts w:cs="Arial"/>
        </w:rPr>
        <w:t>-6</w:t>
      </w:r>
      <w:r w:rsidR="00207868" w:rsidRPr="00150CD2">
        <w:rPr>
          <w:rFonts w:cs="Arial"/>
        </w:rPr>
        <w:t>4</w:t>
      </w:r>
      <w:r w:rsidRPr="00150CD2">
        <w:rPr>
          <w:rFonts w:cs="Arial"/>
        </w:rPr>
        <w:t xml:space="preserve"> (middle adulthood) and 65 plus (retirement years). </w:t>
      </w:r>
    </w:p>
    <w:p w14:paraId="206C1561" w14:textId="5001DE1D" w:rsidR="00C822C9" w:rsidRPr="00150CD2" w:rsidRDefault="003A027D" w:rsidP="00C822C9">
      <w:pPr>
        <w:pStyle w:val="EYBulletedText1"/>
        <w:rPr>
          <w:rFonts w:cs="Arial"/>
          <w:b/>
        </w:rPr>
      </w:pPr>
      <w:r w:rsidRPr="00150CD2">
        <w:rPr>
          <w:rFonts w:cs="Arial"/>
          <w:b/>
        </w:rPr>
        <w:t xml:space="preserve">MidCentral DHB </w:t>
      </w:r>
      <w:r w:rsidR="00446448" w:rsidRPr="00150CD2">
        <w:rPr>
          <w:rFonts w:cs="Arial"/>
          <w:b/>
        </w:rPr>
        <w:t>region</w:t>
      </w:r>
      <w:r w:rsidRPr="00150CD2">
        <w:rPr>
          <w:rFonts w:cs="Arial"/>
          <w:b/>
        </w:rPr>
        <w:t>–</w:t>
      </w:r>
      <w:r w:rsidRPr="00150CD2">
        <w:rPr>
          <w:rFonts w:cs="Arial"/>
        </w:rPr>
        <w:t xml:space="preserve"> Differences between </w:t>
      </w:r>
      <w:r w:rsidR="004A54B7" w:rsidRPr="00150CD2">
        <w:rPr>
          <w:rFonts w:cs="Arial"/>
        </w:rPr>
        <w:t>DS</w:t>
      </w:r>
      <w:r w:rsidR="00563404" w:rsidRPr="00150CD2">
        <w:rPr>
          <w:rFonts w:cs="Arial"/>
        </w:rPr>
        <w:t>S</w:t>
      </w:r>
      <w:r w:rsidR="004A54B7" w:rsidRPr="00150CD2">
        <w:rPr>
          <w:rFonts w:cs="Arial"/>
        </w:rPr>
        <w:t xml:space="preserve"> clients living in the MidCentral DHB region versus other DHB regions</w:t>
      </w:r>
      <w:r w:rsidRPr="00150CD2">
        <w:rPr>
          <w:rFonts w:cs="Arial"/>
        </w:rPr>
        <w:t>, and between DS</w:t>
      </w:r>
      <w:r w:rsidR="00563404" w:rsidRPr="00150CD2">
        <w:rPr>
          <w:rFonts w:cs="Arial"/>
        </w:rPr>
        <w:t>S</w:t>
      </w:r>
      <w:r w:rsidRPr="00150CD2">
        <w:rPr>
          <w:rFonts w:cs="Arial"/>
        </w:rPr>
        <w:t xml:space="preserve"> </w:t>
      </w:r>
      <w:r w:rsidR="004A54B7" w:rsidRPr="00150CD2">
        <w:rPr>
          <w:rFonts w:cs="Arial"/>
        </w:rPr>
        <w:t>clients and the general population residing in the MidCentral DHB region</w:t>
      </w:r>
      <w:r w:rsidRPr="00150CD2">
        <w:rPr>
          <w:rFonts w:cs="Arial"/>
        </w:rPr>
        <w:t>, were considered across all indicators and age groups.</w:t>
      </w:r>
    </w:p>
    <w:p w14:paraId="549669C8" w14:textId="352E8EC4" w:rsidR="003A027D" w:rsidRPr="00150CD2" w:rsidRDefault="003A027D" w:rsidP="00C822C9">
      <w:pPr>
        <w:pStyle w:val="EYBulletedText1"/>
        <w:rPr>
          <w:rFonts w:cs="Arial"/>
          <w:b/>
        </w:rPr>
      </w:pPr>
      <w:r w:rsidRPr="00150CD2">
        <w:rPr>
          <w:rFonts w:cs="Arial"/>
          <w:b/>
        </w:rPr>
        <w:t xml:space="preserve">Ethnicity – </w:t>
      </w:r>
      <w:r w:rsidRPr="00150CD2">
        <w:rPr>
          <w:rFonts w:cs="Arial"/>
        </w:rPr>
        <w:t>Differences across Māori and non-Māori population groups were considered across all indicators, age groups and in/out of MidCentral. The relatively small MidCentral DS</w:t>
      </w:r>
      <w:r w:rsidR="00563404" w:rsidRPr="00150CD2">
        <w:rPr>
          <w:rFonts w:cs="Arial"/>
        </w:rPr>
        <w:t>S</w:t>
      </w:r>
      <w:r w:rsidRPr="00150CD2">
        <w:rPr>
          <w:rFonts w:cs="Arial"/>
        </w:rPr>
        <w:t xml:space="preserve"> client population </w:t>
      </w:r>
      <w:r w:rsidR="002D76ED" w:rsidRPr="00150CD2">
        <w:rPr>
          <w:rFonts w:cs="Arial"/>
        </w:rPr>
        <w:t>(</w:t>
      </w:r>
      <w:r w:rsidRPr="00150CD2">
        <w:rPr>
          <w:rFonts w:cs="Arial"/>
        </w:rPr>
        <w:t>once split by age group) meant that further ethnicity breakdowns were not always feasible.</w:t>
      </w:r>
    </w:p>
    <w:p w14:paraId="11CFAB01" w14:textId="66ECE0A7" w:rsidR="003A027D" w:rsidRPr="00150CD2" w:rsidRDefault="003A027D" w:rsidP="00C822C9">
      <w:pPr>
        <w:pStyle w:val="EYBulletedText1"/>
        <w:rPr>
          <w:rFonts w:cs="Arial"/>
          <w:b/>
        </w:rPr>
      </w:pPr>
      <w:r w:rsidRPr="00150CD2">
        <w:rPr>
          <w:rFonts w:cs="Arial"/>
          <w:b/>
        </w:rPr>
        <w:t>Gender</w:t>
      </w:r>
    </w:p>
    <w:p w14:paraId="28735F4E" w14:textId="6C34C635" w:rsidR="003A027D" w:rsidRPr="00150CD2" w:rsidRDefault="003A027D" w:rsidP="00101A85">
      <w:pPr>
        <w:pStyle w:val="EYBulletnoparaspace"/>
        <w:rPr>
          <w:rFonts w:cs="Arial"/>
          <w:b/>
        </w:rPr>
      </w:pPr>
      <w:r w:rsidRPr="00150CD2">
        <w:rPr>
          <w:rFonts w:cs="Arial"/>
          <w:b/>
        </w:rPr>
        <w:t>Disability type</w:t>
      </w:r>
      <w:r w:rsidR="002D76ED" w:rsidRPr="00150CD2">
        <w:rPr>
          <w:rFonts w:cs="Arial"/>
        </w:rPr>
        <w:t xml:space="preserve"> – The following categories were used, in prioritised order:</w:t>
      </w:r>
    </w:p>
    <w:p w14:paraId="38F575D6" w14:textId="70FEB59A" w:rsidR="00C822C9" w:rsidRPr="00150CD2" w:rsidRDefault="00C822C9" w:rsidP="00101A85">
      <w:pPr>
        <w:pStyle w:val="EYBullet2noparaspace"/>
        <w:rPr>
          <w:rFonts w:cs="Arial"/>
          <w:lang w:eastAsia="en-AU"/>
        </w:rPr>
      </w:pPr>
      <w:r w:rsidRPr="00150CD2">
        <w:rPr>
          <w:rFonts w:cs="Arial"/>
          <w:lang w:eastAsia="en-AU"/>
        </w:rPr>
        <w:t>Intellectual</w:t>
      </w:r>
      <w:r w:rsidR="00446448" w:rsidRPr="00150CD2">
        <w:rPr>
          <w:rFonts w:cs="Arial"/>
          <w:lang w:eastAsia="en-AU"/>
        </w:rPr>
        <w:t xml:space="preserve"> </w:t>
      </w:r>
    </w:p>
    <w:p w14:paraId="3BB656B4" w14:textId="77777777" w:rsidR="00C822C9" w:rsidRPr="00150CD2" w:rsidRDefault="00C822C9" w:rsidP="00101A85">
      <w:pPr>
        <w:pStyle w:val="EYBullet2noparaspace"/>
        <w:rPr>
          <w:rFonts w:cs="Arial"/>
          <w:lang w:eastAsia="en-AU"/>
        </w:rPr>
      </w:pPr>
      <w:r w:rsidRPr="00150CD2">
        <w:rPr>
          <w:rFonts w:cs="Arial"/>
          <w:lang w:eastAsia="en-AU"/>
        </w:rPr>
        <w:t>Sensory</w:t>
      </w:r>
    </w:p>
    <w:p w14:paraId="5D290790" w14:textId="77777777" w:rsidR="00C822C9" w:rsidRPr="00150CD2" w:rsidRDefault="00C822C9" w:rsidP="00101A85">
      <w:pPr>
        <w:pStyle w:val="EYBullet2noparaspace"/>
        <w:rPr>
          <w:rFonts w:cs="Arial"/>
          <w:lang w:eastAsia="en-AU"/>
        </w:rPr>
      </w:pPr>
      <w:r w:rsidRPr="00150CD2">
        <w:rPr>
          <w:rFonts w:cs="Arial"/>
          <w:lang w:eastAsia="en-AU"/>
        </w:rPr>
        <w:t xml:space="preserve">Physical </w:t>
      </w:r>
    </w:p>
    <w:p w14:paraId="0A1406CB" w14:textId="77777777" w:rsidR="00C822C9" w:rsidRPr="00150CD2" w:rsidRDefault="00C822C9" w:rsidP="00101A85">
      <w:pPr>
        <w:pStyle w:val="EYBullet2noparaspace"/>
        <w:rPr>
          <w:rFonts w:cs="Arial"/>
          <w:lang w:eastAsia="en-AU"/>
        </w:rPr>
      </w:pPr>
      <w:r w:rsidRPr="00150CD2">
        <w:rPr>
          <w:rFonts w:cs="Arial"/>
          <w:lang w:eastAsia="en-AU"/>
        </w:rPr>
        <w:t>Neurological</w:t>
      </w:r>
    </w:p>
    <w:p w14:paraId="3D55474E" w14:textId="77777777" w:rsidR="00C822C9" w:rsidRPr="00150CD2" w:rsidRDefault="00C822C9" w:rsidP="00101A85">
      <w:pPr>
        <w:pStyle w:val="EYBullet2noparaspace"/>
        <w:rPr>
          <w:rFonts w:cs="Arial"/>
          <w:lang w:eastAsia="en-AU"/>
        </w:rPr>
      </w:pPr>
      <w:r w:rsidRPr="00150CD2">
        <w:rPr>
          <w:rFonts w:cs="Arial"/>
          <w:lang w:eastAsia="en-AU"/>
        </w:rPr>
        <w:t>Autism Spectrum Disorder</w:t>
      </w:r>
    </w:p>
    <w:p w14:paraId="0B9D3F99" w14:textId="77777777" w:rsidR="00C822C9" w:rsidRPr="00150CD2" w:rsidRDefault="00C822C9" w:rsidP="00101A85">
      <w:pPr>
        <w:pStyle w:val="EYBullet2noparaspace"/>
        <w:rPr>
          <w:rFonts w:cs="Arial"/>
          <w:lang w:eastAsia="en-AU"/>
        </w:rPr>
      </w:pPr>
      <w:r w:rsidRPr="00150CD2">
        <w:rPr>
          <w:rFonts w:cs="Arial"/>
          <w:lang w:eastAsia="en-AU"/>
        </w:rPr>
        <w:t>Other</w:t>
      </w:r>
    </w:p>
    <w:p w14:paraId="30BBF8AB" w14:textId="134C1351" w:rsidR="002D76ED" w:rsidRPr="00150CD2" w:rsidRDefault="00207868" w:rsidP="005309A4">
      <w:pPr>
        <w:pStyle w:val="EYIndent1"/>
        <w:rPr>
          <w:rFonts w:cs="Arial"/>
        </w:rPr>
      </w:pPr>
      <w:r w:rsidRPr="00150CD2">
        <w:rPr>
          <w:rFonts w:cs="Arial"/>
        </w:rPr>
        <w:br/>
      </w:r>
      <w:r w:rsidR="005309A4" w:rsidRPr="00150CD2">
        <w:rPr>
          <w:rFonts w:cs="Arial"/>
        </w:rPr>
        <w:t>People with intellectual disabilities experience differences to other DS</w:t>
      </w:r>
      <w:r w:rsidR="00563404" w:rsidRPr="00150CD2">
        <w:rPr>
          <w:rFonts w:cs="Arial"/>
        </w:rPr>
        <w:t>S</w:t>
      </w:r>
      <w:r w:rsidR="005309A4" w:rsidRPr="00150CD2">
        <w:rPr>
          <w:rFonts w:cs="Arial"/>
        </w:rPr>
        <w:t xml:space="preserve"> clients across several health and socioeconomic indicators (as </w:t>
      </w:r>
      <w:r w:rsidR="00103594" w:rsidRPr="00150CD2">
        <w:rPr>
          <w:rFonts w:cs="Arial"/>
        </w:rPr>
        <w:t xml:space="preserve">described </w:t>
      </w:r>
      <w:r w:rsidR="005309A4" w:rsidRPr="00150CD2">
        <w:rPr>
          <w:rFonts w:cs="Arial"/>
        </w:rPr>
        <w:t xml:space="preserve">in the Ministry’s </w:t>
      </w:r>
      <w:r w:rsidR="00103594" w:rsidRPr="00150CD2">
        <w:rPr>
          <w:rFonts w:cs="Arial"/>
          <w:i/>
        </w:rPr>
        <w:t xml:space="preserve">Health indicators for New Zealanders with Intellectual Disability </w:t>
      </w:r>
      <w:r w:rsidR="00103594" w:rsidRPr="00150CD2">
        <w:rPr>
          <w:rFonts w:cs="Arial"/>
        </w:rPr>
        <w:t>report</w:t>
      </w:r>
      <w:r w:rsidR="00103594" w:rsidRPr="00150CD2">
        <w:rPr>
          <w:rStyle w:val="FootnoteReference"/>
          <w:rFonts w:ascii="Arial" w:hAnsi="Arial" w:cs="Arial"/>
        </w:rPr>
        <w:footnoteReference w:id="9"/>
      </w:r>
      <w:r w:rsidR="005309A4" w:rsidRPr="00150CD2">
        <w:rPr>
          <w:rFonts w:cs="Arial"/>
        </w:rPr>
        <w:t xml:space="preserve">). </w:t>
      </w:r>
      <w:r w:rsidR="00200A85" w:rsidRPr="00150CD2">
        <w:rPr>
          <w:rFonts w:cs="Arial"/>
        </w:rPr>
        <w:t>For the MidCentral DS</w:t>
      </w:r>
      <w:r w:rsidR="00563404" w:rsidRPr="00150CD2">
        <w:rPr>
          <w:rFonts w:cs="Arial"/>
        </w:rPr>
        <w:t>S</w:t>
      </w:r>
      <w:r w:rsidR="00200A85" w:rsidRPr="00150CD2">
        <w:rPr>
          <w:rFonts w:cs="Arial"/>
        </w:rPr>
        <w:t xml:space="preserve"> client population, non-intellectual disability types </w:t>
      </w:r>
      <w:r w:rsidR="005309A4" w:rsidRPr="00150CD2">
        <w:rPr>
          <w:rFonts w:cs="Arial"/>
        </w:rPr>
        <w:t xml:space="preserve">were grouped together </w:t>
      </w:r>
      <w:r w:rsidR="00200A85" w:rsidRPr="00150CD2">
        <w:rPr>
          <w:rFonts w:cs="Arial"/>
        </w:rPr>
        <w:t xml:space="preserve">due to small </w:t>
      </w:r>
      <w:r w:rsidR="005309A4" w:rsidRPr="00150CD2">
        <w:rPr>
          <w:rFonts w:cs="Arial"/>
        </w:rPr>
        <w:t>counts</w:t>
      </w:r>
      <w:r w:rsidR="00200A85" w:rsidRPr="00150CD2">
        <w:rPr>
          <w:rFonts w:cs="Arial"/>
        </w:rPr>
        <w:t xml:space="preserve"> </w:t>
      </w:r>
      <w:r w:rsidR="005309A4" w:rsidRPr="00150CD2">
        <w:rPr>
          <w:rFonts w:cs="Arial"/>
        </w:rPr>
        <w:t xml:space="preserve">post </w:t>
      </w:r>
      <w:r w:rsidRPr="00150CD2">
        <w:rPr>
          <w:rFonts w:cs="Arial"/>
        </w:rPr>
        <w:t xml:space="preserve">segmentation by </w:t>
      </w:r>
      <w:r w:rsidR="005309A4" w:rsidRPr="00150CD2">
        <w:rPr>
          <w:rFonts w:cs="Arial"/>
        </w:rPr>
        <w:t>age group.</w:t>
      </w:r>
    </w:p>
    <w:p w14:paraId="201B1182" w14:textId="425D39A9" w:rsidR="00A10CB3" w:rsidRPr="00150CD2" w:rsidRDefault="00C822C9" w:rsidP="00DE7D64">
      <w:pPr>
        <w:pStyle w:val="EYBulletedText1"/>
        <w:rPr>
          <w:rFonts w:cs="Arial"/>
        </w:rPr>
      </w:pPr>
      <w:r w:rsidRPr="00150CD2">
        <w:rPr>
          <w:rFonts w:cs="Arial"/>
          <w:b/>
        </w:rPr>
        <w:lastRenderedPageBreak/>
        <w:t>S</w:t>
      </w:r>
      <w:r w:rsidR="005C37C4" w:rsidRPr="00150CD2">
        <w:rPr>
          <w:rFonts w:cs="Arial"/>
          <w:b/>
        </w:rPr>
        <w:t>upport Package Allocation (SPA)</w:t>
      </w:r>
      <w:r w:rsidRPr="00150CD2">
        <w:rPr>
          <w:rFonts w:cs="Arial"/>
          <w:b/>
        </w:rPr>
        <w:t xml:space="preserve"> level</w:t>
      </w:r>
      <w:r w:rsidRPr="00150CD2">
        <w:rPr>
          <w:rFonts w:cs="Arial"/>
        </w:rPr>
        <w:t xml:space="preserve"> </w:t>
      </w:r>
      <w:r w:rsidR="005309A4" w:rsidRPr="00150CD2">
        <w:rPr>
          <w:rFonts w:cs="Arial"/>
        </w:rPr>
        <w:t xml:space="preserve">– Differences across those with “High” or “Very high” versus “Medium”, “Low” or “Very low” assessed </w:t>
      </w:r>
      <w:r w:rsidR="003139AB" w:rsidRPr="00150CD2">
        <w:rPr>
          <w:rFonts w:cs="Arial"/>
        </w:rPr>
        <w:t>needs levels</w:t>
      </w:r>
      <w:r w:rsidR="00FC6402" w:rsidRPr="00150CD2">
        <w:rPr>
          <w:rStyle w:val="FootnoteReference"/>
          <w:rFonts w:ascii="Arial" w:hAnsi="Arial" w:cs="Arial"/>
        </w:rPr>
        <w:footnoteReference w:id="10"/>
      </w:r>
      <w:r w:rsidR="003139AB" w:rsidRPr="00150CD2">
        <w:rPr>
          <w:rFonts w:cs="Arial"/>
        </w:rPr>
        <w:t xml:space="preserve"> were considered across all indicators, age groups and in/out of MidCentral. </w:t>
      </w:r>
      <w:r w:rsidR="004274A8" w:rsidRPr="00150CD2">
        <w:rPr>
          <w:rFonts w:cs="Arial"/>
        </w:rPr>
        <w:t>O</w:t>
      </w:r>
      <w:r w:rsidR="003139AB" w:rsidRPr="00150CD2">
        <w:rPr>
          <w:rFonts w:cs="Arial"/>
        </w:rPr>
        <w:t>nly a small proportion of DS</w:t>
      </w:r>
      <w:r w:rsidR="00563404" w:rsidRPr="00150CD2">
        <w:rPr>
          <w:rFonts w:cs="Arial"/>
        </w:rPr>
        <w:t>S</w:t>
      </w:r>
      <w:r w:rsidR="003139AB" w:rsidRPr="00150CD2">
        <w:rPr>
          <w:rFonts w:cs="Arial"/>
        </w:rPr>
        <w:t xml:space="preserve"> clients have a “low” or “very low” SPA level.</w:t>
      </w:r>
    </w:p>
    <w:p w14:paraId="11292272" w14:textId="324B76CB" w:rsidR="00A10CB3" w:rsidRPr="00150CD2" w:rsidRDefault="00A10CB3" w:rsidP="00A10CB3">
      <w:pPr>
        <w:pStyle w:val="EYBodytextwithparaspace"/>
        <w:rPr>
          <w:rFonts w:cs="Arial"/>
        </w:rPr>
      </w:pPr>
    </w:p>
    <w:p w14:paraId="3405CF6F" w14:textId="18047684" w:rsidR="00A10CB3" w:rsidRPr="00150CD2" w:rsidRDefault="00A10CB3" w:rsidP="00184038">
      <w:pPr>
        <w:pStyle w:val="EYHeading1"/>
      </w:pPr>
      <w:bookmarkStart w:id="52" w:name="_Ref34056682"/>
      <w:bookmarkStart w:id="53" w:name="_Toc46365138"/>
      <w:bookmarkStart w:id="54" w:name="_Toc48752356"/>
      <w:r w:rsidRPr="00150CD2">
        <w:lastRenderedPageBreak/>
        <w:t>Proposed outcome and service contact indicators from feasibility assessment</w:t>
      </w:r>
      <w:bookmarkEnd w:id="52"/>
      <w:bookmarkEnd w:id="53"/>
      <w:bookmarkEnd w:id="54"/>
    </w:p>
    <w:p w14:paraId="5DF3A1E6" w14:textId="4B9AAEFA" w:rsidR="00A10CB3" w:rsidRPr="00150CD2" w:rsidRDefault="00A10CB3" w:rsidP="00A10CB3">
      <w:pPr>
        <w:pStyle w:val="EYBodytextwithparaspace"/>
        <w:rPr>
          <w:rFonts w:cs="Arial"/>
        </w:rPr>
      </w:pPr>
      <w:r w:rsidRPr="00150CD2">
        <w:rPr>
          <w:rFonts w:cs="Arial"/>
        </w:rPr>
        <w:t xml:space="preserve">The table below provides an overview of indicators from </w:t>
      </w:r>
      <w:r w:rsidR="00AE59E9" w:rsidRPr="00150CD2">
        <w:rPr>
          <w:rFonts w:cs="Arial"/>
        </w:rPr>
        <w:t xml:space="preserve">the </w:t>
      </w:r>
      <w:r w:rsidRPr="00150CD2">
        <w:rPr>
          <w:rFonts w:cs="Arial"/>
        </w:rPr>
        <w:t>IDI and Mana Whaikaha baseline surveys available to help inform understanding of current state outcomes</w:t>
      </w:r>
      <w:r w:rsidR="00AE59E9" w:rsidRPr="00150CD2">
        <w:rPr>
          <w:rFonts w:cs="Arial"/>
        </w:rPr>
        <w:t xml:space="preserve"> and service contact</w:t>
      </w:r>
      <w:r w:rsidRPr="00150CD2">
        <w:rPr>
          <w:rFonts w:cs="Arial"/>
        </w:rPr>
        <w:t xml:space="preserve"> for Mana Whaikaha and national </w:t>
      </w:r>
      <w:r w:rsidR="00514B1C" w:rsidRPr="00150CD2">
        <w:rPr>
          <w:rFonts w:cs="Arial"/>
        </w:rPr>
        <w:t>DSS</w:t>
      </w:r>
      <w:r w:rsidRPr="00150CD2">
        <w:rPr>
          <w:rFonts w:cs="Arial"/>
        </w:rPr>
        <w:t xml:space="preserve"> clients. Indicators have been mapped to the outcome domains within the draft Mana Whaikaha outcomes framework. </w:t>
      </w:r>
    </w:p>
    <w:p w14:paraId="6696E6D1" w14:textId="77777777" w:rsidR="00A10CB3" w:rsidRPr="00150CD2" w:rsidRDefault="00A10CB3" w:rsidP="00A10CB3">
      <w:pPr>
        <w:pStyle w:val="EYBodytextwithparaspace"/>
        <w:rPr>
          <w:rFonts w:cs="Arial"/>
        </w:rPr>
      </w:pPr>
      <w:r w:rsidRPr="00150CD2">
        <w:rPr>
          <w:rFonts w:cs="Arial"/>
        </w:rPr>
        <w:t>We assessed potentially relevant indicators against the criteria outlined in section 2.2 and have highlighted where there are considerations around the validity, reliability/completeness, comparability and/or feasibility of using these indicators to describe the population and identify changes over time. In general:</w:t>
      </w:r>
    </w:p>
    <w:p w14:paraId="4621E034" w14:textId="2CF07944" w:rsidR="00A10CB3" w:rsidRPr="00150CD2" w:rsidRDefault="00A10CB3" w:rsidP="00A10CB3">
      <w:pPr>
        <w:pStyle w:val="EYBulletedText1"/>
        <w:rPr>
          <w:rFonts w:cs="Arial"/>
        </w:rPr>
      </w:pPr>
      <w:r w:rsidRPr="00150CD2">
        <w:rPr>
          <w:rFonts w:cs="Arial"/>
        </w:rPr>
        <w:t>Administrative data within the IDI provides longitudinal information and can feasibly be used for both Mana Whaikaha and broader DSS client populations. Care is required when interpreting analysis results as there can be some degree of variation introduced by differences in service provision, recording practices and coverage for different population groups. It is important to note that most indicators are based on service provision and so may relate to, but are not direct measures of, wellbeing.</w:t>
      </w:r>
    </w:p>
    <w:p w14:paraId="2068DE47" w14:textId="64923881" w:rsidR="00562F48" w:rsidRPr="00150CD2" w:rsidRDefault="00562F48" w:rsidP="00A10CB3">
      <w:pPr>
        <w:pStyle w:val="EYBulletedText1"/>
        <w:rPr>
          <w:rFonts w:cs="Arial"/>
        </w:rPr>
      </w:pPr>
      <w:r w:rsidRPr="00150CD2">
        <w:rPr>
          <w:rFonts w:cs="Arial"/>
        </w:rPr>
        <w:t xml:space="preserve">The 2013 Census within the IDI provides some additional point-in-time information for both Mana Whaikaha and broader DSS client populations. </w:t>
      </w:r>
      <w:r w:rsidR="001937B8" w:rsidRPr="00150CD2">
        <w:rPr>
          <w:rFonts w:cs="Arial"/>
        </w:rPr>
        <w:t>The 2018 Census, once available, will provide more recent point-in-time information prior to the start of Mana Whaikaha.</w:t>
      </w:r>
    </w:p>
    <w:p w14:paraId="1CA30389" w14:textId="135F5613" w:rsidR="00A10CB3" w:rsidRPr="00150CD2" w:rsidRDefault="00A10CB3" w:rsidP="00A10CB3">
      <w:pPr>
        <w:pStyle w:val="EYBulletedText1"/>
        <w:rPr>
          <w:rFonts w:cs="Arial"/>
        </w:rPr>
      </w:pPr>
      <w:r w:rsidRPr="00150CD2">
        <w:rPr>
          <w:rFonts w:cs="Arial"/>
        </w:rPr>
        <w:t>Population surveys within the IDI</w:t>
      </w:r>
      <w:r w:rsidR="00562F48" w:rsidRPr="00150CD2">
        <w:rPr>
          <w:rFonts w:cs="Arial"/>
        </w:rPr>
        <w:t>, including the General Social Survey (GSS) from 2014 and 2016 and the Disability Survey (DS) from 2013</w:t>
      </w:r>
      <w:r w:rsidRPr="00150CD2">
        <w:rPr>
          <w:rFonts w:cs="Arial"/>
        </w:rPr>
        <w:t xml:space="preserve"> provide more direct measures of wellbeing, such as self-reported life satisfaction and health. However, they are only available as point-in-time measures and can only be used to describe DSS clients at a national level given </w:t>
      </w:r>
      <w:r w:rsidR="00562F48" w:rsidRPr="00150CD2">
        <w:rPr>
          <w:rFonts w:cs="Arial"/>
        </w:rPr>
        <w:t xml:space="preserve">the </w:t>
      </w:r>
      <w:r w:rsidRPr="00150CD2">
        <w:rPr>
          <w:rFonts w:cs="Arial"/>
        </w:rPr>
        <w:t>limited numbers of survey respondents</w:t>
      </w:r>
      <w:r w:rsidR="00562F48" w:rsidRPr="00150CD2">
        <w:rPr>
          <w:rFonts w:cs="Arial"/>
        </w:rPr>
        <w:t xml:space="preserve"> who are also DSS clients. They cannot be used to ascertain information for the MidCentral DSS population.</w:t>
      </w:r>
    </w:p>
    <w:p w14:paraId="2B5700D1" w14:textId="5D823463" w:rsidR="002C123D" w:rsidRPr="00150CD2" w:rsidRDefault="00A10CB3" w:rsidP="002C123D">
      <w:pPr>
        <w:pStyle w:val="EYBodytextwithparaspace"/>
        <w:rPr>
          <w:rFonts w:cs="Arial"/>
        </w:rPr>
      </w:pPr>
      <w:r w:rsidRPr="00150CD2">
        <w:rPr>
          <w:rFonts w:cs="Arial"/>
        </w:rPr>
        <w:fldChar w:fldCharType="begin"/>
      </w:r>
      <w:r w:rsidRPr="00150CD2">
        <w:rPr>
          <w:rFonts w:cs="Arial"/>
        </w:rPr>
        <w:instrText xml:space="preserve"> REF _Ref31186838 \r \h </w:instrText>
      </w:r>
      <w:r w:rsidR="00150CD2">
        <w:rPr>
          <w:rFonts w:cs="Arial"/>
        </w:rPr>
        <w:instrText xml:space="preserve"> \* MERGEFORMAT </w:instrText>
      </w:r>
      <w:r w:rsidRPr="00150CD2">
        <w:rPr>
          <w:rFonts w:cs="Arial"/>
        </w:rPr>
      </w:r>
      <w:r w:rsidRPr="00150CD2">
        <w:rPr>
          <w:rFonts w:cs="Arial"/>
        </w:rPr>
        <w:fldChar w:fldCharType="separate"/>
      </w:r>
      <w:r w:rsidR="00053D9A" w:rsidRPr="00150CD2">
        <w:rPr>
          <w:rFonts w:cs="Arial"/>
        </w:rPr>
        <w:t>Appendix E</w:t>
      </w:r>
      <w:r w:rsidRPr="00150CD2">
        <w:rPr>
          <w:rFonts w:cs="Arial"/>
        </w:rPr>
        <w:fldChar w:fldCharType="end"/>
      </w:r>
      <w:r w:rsidRPr="00150CD2">
        <w:rPr>
          <w:rFonts w:cs="Arial"/>
        </w:rPr>
        <w:t xml:space="preserve"> sets out our methodology for identifying potential indicators and assessing against the criteria, and </w:t>
      </w:r>
      <w:r w:rsidRPr="00150CD2">
        <w:rPr>
          <w:rFonts w:cs="Arial"/>
        </w:rPr>
        <w:fldChar w:fldCharType="begin"/>
      </w:r>
      <w:r w:rsidRPr="00150CD2">
        <w:rPr>
          <w:rFonts w:cs="Arial"/>
        </w:rPr>
        <w:instrText xml:space="preserve"> REF _Ref31186848 \r \h </w:instrText>
      </w:r>
      <w:r w:rsidR="00150CD2">
        <w:rPr>
          <w:rFonts w:cs="Arial"/>
        </w:rPr>
        <w:instrText xml:space="preserve"> \* MERGEFORMAT </w:instrText>
      </w:r>
      <w:r w:rsidRPr="00150CD2">
        <w:rPr>
          <w:rFonts w:cs="Arial"/>
        </w:rPr>
      </w:r>
      <w:r w:rsidRPr="00150CD2">
        <w:rPr>
          <w:rFonts w:cs="Arial"/>
        </w:rPr>
        <w:fldChar w:fldCharType="separate"/>
      </w:r>
      <w:r w:rsidR="00053D9A" w:rsidRPr="00150CD2">
        <w:rPr>
          <w:rFonts w:cs="Arial"/>
        </w:rPr>
        <w:t>Appendix I</w:t>
      </w:r>
      <w:r w:rsidRPr="00150CD2">
        <w:rPr>
          <w:rFonts w:cs="Arial"/>
        </w:rPr>
        <w:fldChar w:fldCharType="end"/>
      </w:r>
      <w:r w:rsidRPr="00150CD2">
        <w:rPr>
          <w:rFonts w:cs="Arial"/>
        </w:rPr>
        <w:t xml:space="preserve"> sets out further detail on our assessment findings for each indicator.</w:t>
      </w:r>
    </w:p>
    <w:p w14:paraId="769113E4" w14:textId="7821243C" w:rsidR="00A31987" w:rsidRPr="00150CD2" w:rsidRDefault="00A31987" w:rsidP="00A31987">
      <w:pPr>
        <w:pStyle w:val="EYBodytextwithparaspace"/>
        <w:rPr>
          <w:rFonts w:cs="Arial"/>
        </w:rPr>
      </w:pPr>
    </w:p>
    <w:p w14:paraId="09337CA4" w14:textId="3FEB95E4" w:rsidR="00301DE2" w:rsidRPr="00150CD2" w:rsidRDefault="00301DE2" w:rsidP="00301DE2">
      <w:pPr>
        <w:pStyle w:val="EYBodytextwithparaspace"/>
        <w:rPr>
          <w:rFonts w:cs="Arial"/>
        </w:rPr>
      </w:pPr>
      <w:r w:rsidRPr="00150CD2">
        <w:rPr>
          <w:rFonts w:cs="Arial"/>
        </w:rPr>
        <w:t>In interpreting these findings, it is important to distinguish between the use of indicators:</w:t>
      </w:r>
    </w:p>
    <w:p w14:paraId="10D37C07" w14:textId="1F6861A9" w:rsidR="00301DE2" w:rsidRPr="00150CD2" w:rsidRDefault="00301DE2" w:rsidP="00A31987">
      <w:pPr>
        <w:pStyle w:val="EYBodytextwithparaspace"/>
        <w:numPr>
          <w:ilvl w:val="0"/>
          <w:numId w:val="51"/>
        </w:numPr>
        <w:contextualSpacing/>
        <w:rPr>
          <w:rFonts w:cs="Arial"/>
        </w:rPr>
      </w:pPr>
      <w:r w:rsidRPr="00150CD2">
        <w:rPr>
          <w:rFonts w:cs="Arial"/>
        </w:rPr>
        <w:t xml:space="preserve">For the purpose of </w:t>
      </w:r>
      <w:r w:rsidR="002C123D" w:rsidRPr="00150CD2">
        <w:rPr>
          <w:rFonts w:cs="Arial"/>
        </w:rPr>
        <w:t>describing outcomes and service contact</w:t>
      </w:r>
      <w:r w:rsidRPr="00150CD2">
        <w:rPr>
          <w:rFonts w:cs="Arial"/>
        </w:rPr>
        <w:t>,</w:t>
      </w:r>
      <w:r w:rsidR="002C123D" w:rsidRPr="00150CD2">
        <w:rPr>
          <w:rFonts w:cs="Arial"/>
        </w:rPr>
        <w:t xml:space="preserve"> </w:t>
      </w:r>
      <w:r w:rsidRPr="00150CD2">
        <w:rPr>
          <w:rFonts w:cs="Arial"/>
        </w:rPr>
        <w:t>including</w:t>
      </w:r>
      <w:r w:rsidR="002C123D" w:rsidRPr="00150CD2">
        <w:rPr>
          <w:rFonts w:cs="Arial"/>
        </w:rPr>
        <w:t xml:space="preserve"> changes over time</w:t>
      </w:r>
    </w:p>
    <w:p w14:paraId="409DA33F" w14:textId="1965543D" w:rsidR="00301DE2" w:rsidRPr="00150CD2" w:rsidRDefault="00301DE2" w:rsidP="00440505">
      <w:pPr>
        <w:pStyle w:val="EYBodytextwithparaspace"/>
        <w:numPr>
          <w:ilvl w:val="0"/>
          <w:numId w:val="51"/>
        </w:numPr>
        <w:rPr>
          <w:rFonts w:cs="Arial"/>
        </w:rPr>
      </w:pPr>
      <w:r w:rsidRPr="00150CD2">
        <w:rPr>
          <w:rFonts w:cs="Arial"/>
        </w:rPr>
        <w:t>For the purpose of evaluating the impact of Mana Whaikaha on outcomes and service contact</w:t>
      </w:r>
    </w:p>
    <w:p w14:paraId="0640C424" w14:textId="5F49795F" w:rsidR="00827364" w:rsidRPr="00150CD2" w:rsidRDefault="008725B9" w:rsidP="00827364">
      <w:pPr>
        <w:pStyle w:val="EYBodytextwithparaspace"/>
        <w:rPr>
          <w:rFonts w:cs="Arial"/>
        </w:rPr>
      </w:pPr>
      <w:r w:rsidRPr="00150CD2">
        <w:rPr>
          <w:rFonts w:cs="Arial"/>
        </w:rPr>
        <w:lastRenderedPageBreak/>
        <w:t>This</w:t>
      </w:r>
      <w:r w:rsidR="00301DE2" w:rsidRPr="00150CD2">
        <w:rPr>
          <w:rFonts w:cs="Arial"/>
        </w:rPr>
        <w:t xml:space="preserve"> assessment focuses on the feasibility of indicators for describing outcomes and service contact over time. </w:t>
      </w:r>
      <w:r w:rsidRPr="00150CD2">
        <w:rPr>
          <w:rFonts w:cs="Arial"/>
        </w:rPr>
        <w:t xml:space="preserve">It does not </w:t>
      </w:r>
      <w:r w:rsidR="00301DE2" w:rsidRPr="00150CD2">
        <w:rPr>
          <w:rFonts w:cs="Arial"/>
        </w:rPr>
        <w:t xml:space="preserve">identify which </w:t>
      </w:r>
      <w:r w:rsidR="002C123D" w:rsidRPr="00150CD2">
        <w:rPr>
          <w:rFonts w:cs="Arial"/>
        </w:rPr>
        <w:t xml:space="preserve">indicators are appropriate for </w:t>
      </w:r>
      <w:r w:rsidR="00301DE2" w:rsidRPr="00150CD2">
        <w:rPr>
          <w:rFonts w:cs="Arial"/>
        </w:rPr>
        <w:t>evaluating impact</w:t>
      </w:r>
      <w:r w:rsidRPr="00150CD2">
        <w:rPr>
          <w:rFonts w:cs="Arial"/>
        </w:rPr>
        <w:t xml:space="preserve"> attributable to Mana Whaikaha</w:t>
      </w:r>
      <w:r w:rsidR="005E7C0A" w:rsidRPr="00150CD2">
        <w:rPr>
          <w:rFonts w:cs="Arial"/>
        </w:rPr>
        <w:t xml:space="preserve">. This is because </w:t>
      </w:r>
      <w:r w:rsidR="00A31987" w:rsidRPr="00150CD2">
        <w:rPr>
          <w:rFonts w:cs="Arial"/>
        </w:rPr>
        <w:t xml:space="preserve">additional criteria apply for this purpose, and key </w:t>
      </w:r>
      <w:r w:rsidRPr="00150CD2">
        <w:rPr>
          <w:rFonts w:cs="Arial"/>
        </w:rPr>
        <w:t>information required is not yet available</w:t>
      </w:r>
      <w:r w:rsidR="00C4686C" w:rsidRPr="00150CD2">
        <w:rPr>
          <w:rFonts w:cs="Arial"/>
        </w:rPr>
        <w:t>. This will be addressed by the Ministry in the future</w:t>
      </w:r>
      <w:r w:rsidR="00A31987" w:rsidRPr="00150CD2">
        <w:rPr>
          <w:rFonts w:cs="Arial"/>
        </w:rPr>
        <w:t>.</w:t>
      </w:r>
      <w:r w:rsidR="00827364" w:rsidRPr="00150CD2">
        <w:rPr>
          <w:rFonts w:cs="Arial"/>
        </w:rPr>
        <w:t xml:space="preserve"> </w:t>
      </w:r>
    </w:p>
    <w:p w14:paraId="34CB4DAD" w14:textId="6720B392" w:rsidR="00A10CB3" w:rsidRPr="00150CD2" w:rsidRDefault="00827364" w:rsidP="00A10CB3">
      <w:pPr>
        <w:pStyle w:val="EYBodytextwithparaspace"/>
        <w:rPr>
          <w:rFonts w:cs="Arial"/>
        </w:rPr>
      </w:pPr>
      <w:r w:rsidRPr="00150CD2">
        <w:rPr>
          <w:rFonts w:cs="Arial"/>
        </w:rPr>
        <w:t xml:space="preserve">Section </w:t>
      </w:r>
      <w:r w:rsidRPr="00150CD2">
        <w:rPr>
          <w:rFonts w:cs="Arial"/>
        </w:rPr>
        <w:fldChar w:fldCharType="begin"/>
      </w:r>
      <w:r w:rsidRPr="00150CD2">
        <w:rPr>
          <w:rFonts w:cs="Arial"/>
        </w:rPr>
        <w:instrText xml:space="preserve"> REF _Ref44554835 \r \h </w:instrText>
      </w:r>
      <w:r w:rsidR="00150CD2">
        <w:rPr>
          <w:rFonts w:cs="Arial"/>
        </w:rPr>
        <w:instrText xml:space="preserve"> \* MERGEFORMAT </w:instrText>
      </w:r>
      <w:r w:rsidRPr="00150CD2">
        <w:rPr>
          <w:rFonts w:cs="Arial"/>
        </w:rPr>
      </w:r>
      <w:r w:rsidRPr="00150CD2">
        <w:rPr>
          <w:rFonts w:cs="Arial"/>
        </w:rPr>
        <w:fldChar w:fldCharType="separate"/>
      </w:r>
      <w:r w:rsidR="00053D9A" w:rsidRPr="00150CD2">
        <w:rPr>
          <w:rFonts w:cs="Arial"/>
        </w:rPr>
        <w:t>7</w:t>
      </w:r>
      <w:r w:rsidRPr="00150CD2">
        <w:rPr>
          <w:rFonts w:cs="Arial"/>
        </w:rPr>
        <w:fldChar w:fldCharType="end"/>
      </w:r>
      <w:r w:rsidRPr="00150CD2">
        <w:rPr>
          <w:rFonts w:cs="Arial"/>
        </w:rPr>
        <w:t xml:space="preserve"> sets out further information on the criteria and information required for selecting evaluation impact indicators.</w:t>
      </w:r>
    </w:p>
    <w:p w14:paraId="766FB472" w14:textId="77777777" w:rsidR="00A10CB3" w:rsidRPr="00150CD2" w:rsidRDefault="00A10CB3" w:rsidP="00A10CB3">
      <w:pPr>
        <w:pStyle w:val="EYBodytextwithparaspace"/>
        <w:rPr>
          <w:rFonts w:cs="Arial"/>
          <w:lang w:val="en-US"/>
        </w:rPr>
      </w:pPr>
    </w:p>
    <w:p w14:paraId="366A6802" w14:textId="77777777" w:rsidR="00A10CB3" w:rsidRPr="00150CD2" w:rsidRDefault="00A10CB3" w:rsidP="00A10CB3">
      <w:pPr>
        <w:autoSpaceDE/>
        <w:autoSpaceDN/>
        <w:adjustRightInd/>
        <w:rPr>
          <w:rFonts w:cs="Arial"/>
        </w:rPr>
        <w:sectPr w:rsidR="00A10CB3" w:rsidRPr="00150CD2" w:rsidSect="00003A2A">
          <w:footerReference w:type="default" r:id="rId17"/>
          <w:pgSz w:w="11909" w:h="16834" w:code="9"/>
          <w:pgMar w:top="1440" w:right="1440" w:bottom="1440" w:left="1440" w:header="720" w:footer="720" w:gutter="0"/>
          <w:cols w:space="720"/>
          <w:docGrid w:linePitch="360"/>
        </w:sectPr>
      </w:pPr>
    </w:p>
    <w:p w14:paraId="2A985CDC" w14:textId="2976AE8F" w:rsidR="00A10CB3" w:rsidRPr="00150CD2" w:rsidRDefault="00AE59E9" w:rsidP="0024127F">
      <w:pPr>
        <w:pStyle w:val="Caption"/>
        <w:rPr>
          <w:rFonts w:cs="Arial"/>
        </w:rPr>
      </w:pPr>
      <w:r w:rsidRPr="00150CD2">
        <w:rPr>
          <w:rFonts w:cs="Arial"/>
        </w:rPr>
        <w:lastRenderedPageBreak/>
        <w:t xml:space="preserve">Table </w:t>
      </w:r>
      <w:r w:rsidRPr="00150CD2">
        <w:rPr>
          <w:rFonts w:cs="Arial"/>
        </w:rPr>
        <w:fldChar w:fldCharType="begin"/>
      </w:r>
      <w:r w:rsidRPr="00150CD2">
        <w:rPr>
          <w:rFonts w:cs="Arial"/>
        </w:rPr>
        <w:instrText xml:space="preserve"> SEQ Table \* ARABIC </w:instrText>
      </w:r>
      <w:r w:rsidRPr="00150CD2">
        <w:rPr>
          <w:rFonts w:cs="Arial"/>
        </w:rPr>
        <w:fldChar w:fldCharType="separate"/>
      </w:r>
      <w:r w:rsidR="00053D9A" w:rsidRPr="00150CD2">
        <w:rPr>
          <w:rFonts w:cs="Arial"/>
          <w:noProof/>
        </w:rPr>
        <w:t>1</w:t>
      </w:r>
      <w:r w:rsidRPr="00150CD2">
        <w:rPr>
          <w:rFonts w:cs="Arial"/>
        </w:rPr>
        <w:fldChar w:fldCharType="end"/>
      </w:r>
      <w:r w:rsidRPr="00150CD2">
        <w:rPr>
          <w:rFonts w:cs="Arial"/>
        </w:rPr>
        <w:t>: Overview of indicators from the IDI and Mana Whaikaha baseline surveys assessed as potential outcome and service contact indicators for Mana Whaikaha and national DSS clients</w:t>
      </w:r>
    </w:p>
    <w:tbl>
      <w:tblPr>
        <w:tblW w:w="13912" w:type="dxa"/>
        <w:tblCellMar>
          <w:left w:w="43" w:type="dxa"/>
          <w:right w:w="43" w:type="dxa"/>
        </w:tblCellMar>
        <w:tblLook w:val="04A0" w:firstRow="1" w:lastRow="0" w:firstColumn="1" w:lastColumn="0" w:noHBand="0" w:noVBand="1"/>
      </w:tblPr>
      <w:tblGrid>
        <w:gridCol w:w="1960"/>
        <w:gridCol w:w="11952"/>
      </w:tblGrid>
      <w:tr w:rsidR="004127DE" w:rsidRPr="00150CD2" w14:paraId="22AE31D6" w14:textId="77777777" w:rsidTr="00D5507C">
        <w:tc>
          <w:tcPr>
            <w:tcW w:w="1960" w:type="dxa"/>
            <w:tcBorders>
              <w:top w:val="nil"/>
              <w:left w:val="nil"/>
              <w:bottom w:val="nil"/>
              <w:right w:val="nil"/>
            </w:tcBorders>
            <w:shd w:val="clear" w:color="auto" w:fill="auto"/>
            <w:noWrap/>
            <w:vAlign w:val="bottom"/>
            <w:hideMark/>
          </w:tcPr>
          <w:p w14:paraId="7654F482" w14:textId="77777777" w:rsidR="004127DE" w:rsidRPr="00150CD2" w:rsidRDefault="004127DE" w:rsidP="00CF4D8B">
            <w:pPr>
              <w:pStyle w:val="EYTableHeading"/>
              <w:rPr>
                <w:rFonts w:cs="Arial"/>
              </w:rPr>
            </w:pPr>
            <w:r w:rsidRPr="00150CD2">
              <w:rPr>
                <w:rFonts w:cs="Arial"/>
              </w:rPr>
              <w:t>Legend</w:t>
            </w:r>
          </w:p>
        </w:tc>
        <w:tc>
          <w:tcPr>
            <w:tcW w:w="11952" w:type="dxa"/>
            <w:tcBorders>
              <w:top w:val="nil"/>
              <w:left w:val="nil"/>
              <w:bottom w:val="nil"/>
              <w:right w:val="nil"/>
            </w:tcBorders>
            <w:shd w:val="clear" w:color="auto" w:fill="auto"/>
            <w:noWrap/>
            <w:vAlign w:val="bottom"/>
            <w:hideMark/>
          </w:tcPr>
          <w:p w14:paraId="7611C48C" w14:textId="77777777" w:rsidR="004127DE" w:rsidRPr="00150CD2" w:rsidRDefault="004127DE" w:rsidP="00CF4D8B">
            <w:pPr>
              <w:pStyle w:val="EYTableText"/>
              <w:rPr>
                <w:rFonts w:cs="Arial"/>
              </w:rPr>
            </w:pPr>
          </w:p>
        </w:tc>
      </w:tr>
      <w:tr w:rsidR="00AE59E9" w:rsidRPr="00150CD2" w14:paraId="1C903E6B" w14:textId="77777777" w:rsidTr="00D5507C">
        <w:tc>
          <w:tcPr>
            <w:tcW w:w="19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FBAA5B4" w14:textId="77777777" w:rsidR="00AE59E9" w:rsidRPr="00150CD2" w:rsidRDefault="00AE59E9" w:rsidP="00CF4D8B">
            <w:pPr>
              <w:pStyle w:val="EYTableText"/>
              <w:rPr>
                <w:rFonts w:cs="Arial"/>
              </w:rPr>
            </w:pPr>
            <w:r w:rsidRPr="00150CD2">
              <w:rPr>
                <w:rFonts w:cs="Arial"/>
              </w:rPr>
              <w:t> </w:t>
            </w:r>
          </w:p>
        </w:tc>
        <w:tc>
          <w:tcPr>
            <w:tcW w:w="11952" w:type="dxa"/>
            <w:tcBorders>
              <w:top w:val="nil"/>
              <w:left w:val="nil"/>
              <w:bottom w:val="nil"/>
              <w:right w:val="nil"/>
            </w:tcBorders>
            <w:shd w:val="clear" w:color="auto" w:fill="auto"/>
            <w:noWrap/>
            <w:hideMark/>
          </w:tcPr>
          <w:p w14:paraId="06739E65" w14:textId="77777777" w:rsidR="00AE59E9" w:rsidRPr="00150CD2" w:rsidRDefault="00AE59E9" w:rsidP="00CF4D8B">
            <w:pPr>
              <w:pStyle w:val="EYTableText"/>
              <w:rPr>
                <w:rFonts w:cs="Arial"/>
              </w:rPr>
            </w:pPr>
            <w:r w:rsidRPr="00150CD2">
              <w:rPr>
                <w:rFonts w:cs="Arial"/>
              </w:rPr>
              <w:t>Information available</w:t>
            </w:r>
          </w:p>
        </w:tc>
      </w:tr>
      <w:tr w:rsidR="00AE59E9" w:rsidRPr="00150CD2" w14:paraId="12626687" w14:textId="77777777" w:rsidTr="00D5507C">
        <w:tc>
          <w:tcPr>
            <w:tcW w:w="1960" w:type="dxa"/>
            <w:tcBorders>
              <w:top w:val="nil"/>
              <w:left w:val="single" w:sz="4" w:space="0" w:color="auto"/>
              <w:bottom w:val="single" w:sz="4" w:space="0" w:color="auto"/>
              <w:right w:val="single" w:sz="4" w:space="0" w:color="auto"/>
            </w:tcBorders>
            <w:shd w:val="clear" w:color="000000" w:fill="FFE600"/>
            <w:noWrap/>
            <w:vAlign w:val="bottom"/>
            <w:hideMark/>
          </w:tcPr>
          <w:p w14:paraId="64B74B69" w14:textId="77777777" w:rsidR="00AE59E9" w:rsidRPr="00150CD2" w:rsidRDefault="00AE59E9" w:rsidP="00CF4D8B">
            <w:pPr>
              <w:pStyle w:val="EYTableText"/>
              <w:rPr>
                <w:rFonts w:cs="Arial"/>
              </w:rPr>
            </w:pPr>
            <w:r w:rsidRPr="00150CD2">
              <w:rPr>
                <w:rFonts w:cs="Arial"/>
              </w:rPr>
              <w:t> </w:t>
            </w:r>
          </w:p>
        </w:tc>
        <w:tc>
          <w:tcPr>
            <w:tcW w:w="11952" w:type="dxa"/>
            <w:tcBorders>
              <w:top w:val="nil"/>
              <w:left w:val="nil"/>
              <w:bottom w:val="nil"/>
              <w:right w:val="nil"/>
            </w:tcBorders>
            <w:shd w:val="clear" w:color="auto" w:fill="auto"/>
            <w:noWrap/>
            <w:hideMark/>
          </w:tcPr>
          <w:p w14:paraId="66D4F25A" w14:textId="4628F43A" w:rsidR="00AE59E9" w:rsidRPr="00150CD2" w:rsidRDefault="00AE59E9" w:rsidP="00CF4D8B">
            <w:pPr>
              <w:pStyle w:val="EYTableText"/>
              <w:rPr>
                <w:rFonts w:cs="Arial"/>
              </w:rPr>
            </w:pPr>
            <w:r w:rsidRPr="00150CD2">
              <w:rPr>
                <w:rFonts w:cs="Arial"/>
              </w:rPr>
              <w:t>Information available, with some caveats</w:t>
            </w:r>
            <w:r w:rsidR="004127DE" w:rsidRPr="00150CD2">
              <w:rPr>
                <w:rFonts w:cs="Arial"/>
              </w:rPr>
              <w:t xml:space="preserve"> (</w:t>
            </w:r>
            <w:r w:rsidR="0080592B" w:rsidRPr="00150CD2">
              <w:rPr>
                <w:rFonts w:cs="Arial"/>
              </w:rPr>
              <w:t>for example,</w:t>
            </w:r>
            <w:r w:rsidR="004127DE" w:rsidRPr="00150CD2">
              <w:rPr>
                <w:rFonts w:cs="Arial"/>
              </w:rPr>
              <w:t xml:space="preserve"> </w:t>
            </w:r>
            <w:r w:rsidR="0080592B" w:rsidRPr="00150CD2">
              <w:rPr>
                <w:rFonts w:cs="Arial"/>
              </w:rPr>
              <w:t>considerations around unknown/unmet need, or known variations in service access)</w:t>
            </w:r>
          </w:p>
        </w:tc>
      </w:tr>
      <w:tr w:rsidR="00AE59E9" w:rsidRPr="00150CD2" w14:paraId="19915D15" w14:textId="77777777" w:rsidTr="00D5507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403F7DF" w14:textId="77777777" w:rsidR="00AE59E9" w:rsidRPr="00150CD2" w:rsidRDefault="00AE59E9" w:rsidP="00CF4D8B">
            <w:pPr>
              <w:pStyle w:val="EYTableText"/>
              <w:rPr>
                <w:rFonts w:cs="Arial"/>
              </w:rPr>
            </w:pPr>
            <w:r w:rsidRPr="00150CD2">
              <w:rPr>
                <w:rFonts w:cs="Arial"/>
              </w:rPr>
              <w:t> </w:t>
            </w:r>
          </w:p>
        </w:tc>
        <w:tc>
          <w:tcPr>
            <w:tcW w:w="11952" w:type="dxa"/>
            <w:tcBorders>
              <w:top w:val="nil"/>
              <w:left w:val="nil"/>
              <w:bottom w:val="nil"/>
              <w:right w:val="nil"/>
            </w:tcBorders>
            <w:shd w:val="clear" w:color="auto" w:fill="auto"/>
            <w:noWrap/>
            <w:hideMark/>
          </w:tcPr>
          <w:p w14:paraId="07491403" w14:textId="77777777" w:rsidR="00AE59E9" w:rsidRPr="00150CD2" w:rsidRDefault="00AE59E9" w:rsidP="00CF4D8B">
            <w:pPr>
              <w:pStyle w:val="EYTableText"/>
              <w:rPr>
                <w:rFonts w:cs="Arial"/>
              </w:rPr>
            </w:pPr>
            <w:r w:rsidRPr="00150CD2">
              <w:rPr>
                <w:rFonts w:cs="Arial"/>
              </w:rPr>
              <w:t>Information not available</w:t>
            </w:r>
          </w:p>
        </w:tc>
      </w:tr>
    </w:tbl>
    <w:p w14:paraId="3C845E4D" w14:textId="77777777" w:rsidR="00AE59E9" w:rsidRPr="00150CD2" w:rsidRDefault="00AE59E9" w:rsidP="00A10CB3">
      <w:pPr>
        <w:pStyle w:val="EYBodytextwithoutparaspace"/>
        <w:rPr>
          <w:rFonts w:cs="Arial"/>
        </w:rPr>
      </w:pPr>
    </w:p>
    <w:tbl>
      <w:tblPr>
        <w:tblW w:w="13892" w:type="dxa"/>
        <w:tblLayout w:type="fixed"/>
        <w:tblCellMar>
          <w:left w:w="43" w:type="dxa"/>
          <w:right w:w="43" w:type="dxa"/>
        </w:tblCellMar>
        <w:tblLook w:val="04A0" w:firstRow="1" w:lastRow="0" w:firstColumn="1" w:lastColumn="0" w:noHBand="0" w:noVBand="1"/>
      </w:tblPr>
      <w:tblGrid>
        <w:gridCol w:w="1184"/>
        <w:gridCol w:w="2016"/>
        <w:gridCol w:w="612"/>
        <w:gridCol w:w="3600"/>
        <w:gridCol w:w="1584"/>
        <w:gridCol w:w="1224"/>
        <w:gridCol w:w="1224"/>
        <w:gridCol w:w="1224"/>
        <w:gridCol w:w="1224"/>
      </w:tblGrid>
      <w:tr w:rsidR="004127DE" w:rsidRPr="00150CD2" w14:paraId="1490DE93" w14:textId="77777777" w:rsidTr="00D5507C">
        <w:trPr>
          <w:tblHeader/>
        </w:trPr>
        <w:tc>
          <w:tcPr>
            <w:tcW w:w="1184" w:type="dxa"/>
            <w:tcBorders>
              <w:top w:val="nil"/>
              <w:left w:val="nil"/>
              <w:bottom w:val="nil"/>
              <w:right w:val="nil"/>
            </w:tcBorders>
            <w:shd w:val="clear" w:color="auto" w:fill="auto"/>
            <w:noWrap/>
            <w:tcMar>
              <w:left w:w="72" w:type="dxa"/>
            </w:tcMar>
            <w:vAlign w:val="bottom"/>
          </w:tcPr>
          <w:p w14:paraId="322F20EA" w14:textId="77777777" w:rsidR="004127DE" w:rsidRPr="00150CD2" w:rsidRDefault="004127DE" w:rsidP="0039393C">
            <w:pPr>
              <w:pStyle w:val="EYTableHeading"/>
              <w:rPr>
                <w:rFonts w:cs="Arial"/>
              </w:rPr>
            </w:pPr>
          </w:p>
        </w:tc>
        <w:tc>
          <w:tcPr>
            <w:tcW w:w="2016" w:type="dxa"/>
            <w:tcBorders>
              <w:top w:val="nil"/>
              <w:left w:val="nil"/>
              <w:bottom w:val="nil"/>
              <w:right w:val="nil"/>
            </w:tcBorders>
            <w:shd w:val="clear" w:color="auto" w:fill="auto"/>
            <w:noWrap/>
            <w:tcMar>
              <w:left w:w="72" w:type="dxa"/>
            </w:tcMar>
            <w:vAlign w:val="bottom"/>
          </w:tcPr>
          <w:p w14:paraId="550E854D" w14:textId="77777777" w:rsidR="004127DE" w:rsidRPr="00150CD2" w:rsidRDefault="004127DE" w:rsidP="0039393C">
            <w:pPr>
              <w:pStyle w:val="EYTableHeading"/>
              <w:rPr>
                <w:rFonts w:cs="Arial"/>
              </w:rPr>
            </w:pPr>
          </w:p>
        </w:tc>
        <w:tc>
          <w:tcPr>
            <w:tcW w:w="612" w:type="dxa"/>
            <w:tcBorders>
              <w:top w:val="nil"/>
              <w:left w:val="nil"/>
              <w:bottom w:val="nil"/>
              <w:right w:val="nil"/>
            </w:tcBorders>
            <w:shd w:val="clear" w:color="auto" w:fill="auto"/>
            <w:noWrap/>
            <w:tcMar>
              <w:left w:w="72" w:type="dxa"/>
            </w:tcMar>
            <w:vAlign w:val="bottom"/>
          </w:tcPr>
          <w:p w14:paraId="291CC213" w14:textId="77777777" w:rsidR="004127DE" w:rsidRPr="00150CD2" w:rsidRDefault="004127DE" w:rsidP="0039393C">
            <w:pPr>
              <w:pStyle w:val="EYTableHeading"/>
              <w:rPr>
                <w:rFonts w:cs="Arial"/>
              </w:rPr>
            </w:pPr>
          </w:p>
        </w:tc>
        <w:tc>
          <w:tcPr>
            <w:tcW w:w="3600" w:type="dxa"/>
            <w:tcBorders>
              <w:top w:val="nil"/>
              <w:left w:val="nil"/>
              <w:bottom w:val="nil"/>
              <w:right w:val="nil"/>
            </w:tcBorders>
            <w:shd w:val="clear" w:color="auto" w:fill="auto"/>
            <w:noWrap/>
            <w:vAlign w:val="bottom"/>
          </w:tcPr>
          <w:p w14:paraId="4F4E2A58" w14:textId="77777777" w:rsidR="004127DE" w:rsidRPr="00150CD2" w:rsidRDefault="004127DE" w:rsidP="0039393C">
            <w:pPr>
              <w:pStyle w:val="EYTableHeading"/>
              <w:rPr>
                <w:rFonts w:cs="Arial"/>
              </w:rPr>
            </w:pPr>
          </w:p>
        </w:tc>
        <w:tc>
          <w:tcPr>
            <w:tcW w:w="1584" w:type="dxa"/>
            <w:tcBorders>
              <w:top w:val="nil"/>
              <w:left w:val="nil"/>
              <w:bottom w:val="nil"/>
              <w:right w:val="nil"/>
            </w:tcBorders>
            <w:shd w:val="clear" w:color="auto" w:fill="auto"/>
            <w:noWrap/>
            <w:vAlign w:val="bottom"/>
          </w:tcPr>
          <w:p w14:paraId="04BB4AD6" w14:textId="77777777" w:rsidR="004127DE" w:rsidRPr="00150CD2" w:rsidRDefault="004127DE" w:rsidP="0039393C">
            <w:pPr>
              <w:pStyle w:val="EYTableHeading"/>
              <w:rPr>
                <w:rFonts w:cs="Arial"/>
              </w:rPr>
            </w:pPr>
          </w:p>
        </w:tc>
        <w:tc>
          <w:tcPr>
            <w:tcW w:w="1224" w:type="dxa"/>
            <w:tcBorders>
              <w:top w:val="single" w:sz="4" w:space="0" w:color="auto"/>
              <w:left w:val="single" w:sz="4" w:space="0" w:color="auto"/>
              <w:bottom w:val="single" w:sz="4" w:space="0" w:color="auto"/>
              <w:right w:val="nil"/>
            </w:tcBorders>
            <w:shd w:val="clear" w:color="000000" w:fill="D9D9D9"/>
            <w:vAlign w:val="center"/>
          </w:tcPr>
          <w:p w14:paraId="2032B78E" w14:textId="77777777" w:rsidR="004127DE" w:rsidRPr="00150CD2" w:rsidRDefault="004127DE" w:rsidP="0039393C">
            <w:pPr>
              <w:pStyle w:val="EYTableHeading"/>
              <w:rPr>
                <w:rFonts w:cs="Arial"/>
              </w:rPr>
            </w:pPr>
            <w:r w:rsidRPr="00150CD2">
              <w:rPr>
                <w:rFonts w:cs="Arial"/>
              </w:rPr>
              <w:t>Sources</w:t>
            </w:r>
          </w:p>
        </w:tc>
        <w:tc>
          <w:tcPr>
            <w:tcW w:w="1224" w:type="dxa"/>
            <w:tcBorders>
              <w:top w:val="single" w:sz="4" w:space="0" w:color="auto"/>
              <w:left w:val="nil"/>
              <w:bottom w:val="single" w:sz="4" w:space="0" w:color="auto"/>
              <w:right w:val="nil"/>
            </w:tcBorders>
            <w:shd w:val="clear" w:color="000000" w:fill="D9D9D9"/>
            <w:vAlign w:val="center"/>
          </w:tcPr>
          <w:p w14:paraId="45CC5C02" w14:textId="77777777" w:rsidR="004127DE" w:rsidRPr="00150CD2" w:rsidRDefault="004127DE" w:rsidP="0039393C">
            <w:pPr>
              <w:pStyle w:val="EYTableHeading"/>
              <w:rPr>
                <w:rFonts w:cs="Arial"/>
              </w:rPr>
            </w:pPr>
          </w:p>
        </w:tc>
        <w:tc>
          <w:tcPr>
            <w:tcW w:w="1224" w:type="dxa"/>
            <w:tcBorders>
              <w:top w:val="single" w:sz="4" w:space="0" w:color="auto"/>
              <w:left w:val="nil"/>
              <w:bottom w:val="single" w:sz="4" w:space="0" w:color="auto"/>
              <w:right w:val="nil"/>
            </w:tcBorders>
            <w:shd w:val="clear" w:color="000000" w:fill="D9D9D9"/>
            <w:vAlign w:val="center"/>
          </w:tcPr>
          <w:p w14:paraId="32EDC1DC" w14:textId="77777777" w:rsidR="004127DE" w:rsidRPr="00150CD2" w:rsidRDefault="004127DE" w:rsidP="0039393C">
            <w:pPr>
              <w:pStyle w:val="EYTableHeading"/>
              <w:rPr>
                <w:rFonts w:cs="Arial"/>
              </w:rPr>
            </w:pPr>
          </w:p>
        </w:tc>
        <w:tc>
          <w:tcPr>
            <w:tcW w:w="1224" w:type="dxa"/>
            <w:tcBorders>
              <w:top w:val="single" w:sz="4" w:space="0" w:color="auto"/>
              <w:left w:val="nil"/>
              <w:bottom w:val="single" w:sz="4" w:space="0" w:color="auto"/>
              <w:right w:val="single" w:sz="4" w:space="0" w:color="auto"/>
            </w:tcBorders>
            <w:shd w:val="clear" w:color="000000" w:fill="D9D9D9"/>
            <w:vAlign w:val="center"/>
          </w:tcPr>
          <w:p w14:paraId="6632DD73" w14:textId="77777777" w:rsidR="004127DE" w:rsidRPr="00150CD2" w:rsidRDefault="004127DE" w:rsidP="0039393C">
            <w:pPr>
              <w:pStyle w:val="EYTableHeading"/>
              <w:rPr>
                <w:rFonts w:cs="Arial"/>
              </w:rPr>
            </w:pPr>
          </w:p>
        </w:tc>
      </w:tr>
      <w:tr w:rsidR="0024127F" w:rsidRPr="00150CD2" w14:paraId="30D9E5FE" w14:textId="77777777" w:rsidTr="00DF5185">
        <w:trPr>
          <w:tblHeader/>
        </w:trPr>
        <w:tc>
          <w:tcPr>
            <w:tcW w:w="1184" w:type="dxa"/>
            <w:tcBorders>
              <w:top w:val="single" w:sz="4" w:space="0" w:color="auto"/>
              <w:left w:val="single" w:sz="4" w:space="0" w:color="auto"/>
              <w:bottom w:val="single" w:sz="4" w:space="0" w:color="auto"/>
              <w:right w:val="single" w:sz="4" w:space="0" w:color="auto"/>
            </w:tcBorders>
            <w:shd w:val="clear" w:color="000000" w:fill="D9D9D9"/>
            <w:tcMar>
              <w:left w:w="72" w:type="dxa"/>
            </w:tcMar>
            <w:vAlign w:val="center"/>
            <w:hideMark/>
          </w:tcPr>
          <w:p w14:paraId="14B75AA9" w14:textId="77777777" w:rsidR="004127DE" w:rsidRPr="00150CD2" w:rsidRDefault="004127DE" w:rsidP="0039393C">
            <w:pPr>
              <w:pStyle w:val="EYTableHeading"/>
              <w:rPr>
                <w:rFonts w:cs="Arial"/>
                <w:lang w:eastAsia="en-AU"/>
              </w:rPr>
            </w:pPr>
            <w:r w:rsidRPr="00150CD2">
              <w:rPr>
                <w:rFonts w:cs="Arial"/>
                <w:lang w:eastAsia="en-AU"/>
              </w:rPr>
              <w:t>Wellbeing domain</w:t>
            </w:r>
          </w:p>
        </w:tc>
        <w:tc>
          <w:tcPr>
            <w:tcW w:w="2016" w:type="dxa"/>
            <w:tcBorders>
              <w:top w:val="single" w:sz="4" w:space="0" w:color="auto"/>
              <w:left w:val="nil"/>
              <w:bottom w:val="single" w:sz="4" w:space="0" w:color="auto"/>
              <w:right w:val="single" w:sz="4" w:space="0" w:color="auto"/>
            </w:tcBorders>
            <w:shd w:val="clear" w:color="000000" w:fill="D9D9D9"/>
            <w:tcMar>
              <w:left w:w="72" w:type="dxa"/>
            </w:tcMar>
            <w:vAlign w:val="center"/>
            <w:hideMark/>
          </w:tcPr>
          <w:p w14:paraId="591DD425" w14:textId="77777777" w:rsidR="004127DE" w:rsidRPr="00150CD2" w:rsidRDefault="004127DE" w:rsidP="0039393C">
            <w:pPr>
              <w:pStyle w:val="EYTableHeading"/>
              <w:rPr>
                <w:rFonts w:cs="Arial"/>
                <w:lang w:eastAsia="en-AU"/>
              </w:rPr>
            </w:pPr>
            <w:r w:rsidRPr="00150CD2">
              <w:rPr>
                <w:rFonts w:cs="Arial"/>
                <w:lang w:eastAsia="en-AU"/>
              </w:rPr>
              <w:t>Key outcomes</w:t>
            </w:r>
          </w:p>
        </w:tc>
        <w:tc>
          <w:tcPr>
            <w:tcW w:w="612" w:type="dxa"/>
            <w:tcBorders>
              <w:top w:val="single" w:sz="4" w:space="0" w:color="auto"/>
              <w:left w:val="nil"/>
              <w:bottom w:val="single" w:sz="4" w:space="0" w:color="auto"/>
              <w:right w:val="single" w:sz="4" w:space="0" w:color="auto"/>
            </w:tcBorders>
            <w:shd w:val="clear" w:color="000000" w:fill="D9D9D9"/>
            <w:tcMar>
              <w:left w:w="72" w:type="dxa"/>
            </w:tcMar>
            <w:vAlign w:val="center"/>
            <w:hideMark/>
          </w:tcPr>
          <w:p w14:paraId="6860659B" w14:textId="77777777" w:rsidR="004127DE" w:rsidRPr="00150CD2" w:rsidRDefault="004127DE" w:rsidP="0039393C">
            <w:pPr>
              <w:pStyle w:val="EYTableHeading"/>
              <w:rPr>
                <w:rFonts w:cs="Arial"/>
                <w:lang w:eastAsia="en-AU"/>
              </w:rPr>
            </w:pPr>
            <w:r w:rsidRPr="00150CD2">
              <w:rPr>
                <w:rFonts w:cs="Arial"/>
                <w:lang w:eastAsia="en-AU"/>
              </w:rPr>
              <w:t>IND #</w:t>
            </w:r>
          </w:p>
        </w:tc>
        <w:tc>
          <w:tcPr>
            <w:tcW w:w="3600" w:type="dxa"/>
            <w:tcBorders>
              <w:top w:val="single" w:sz="4" w:space="0" w:color="auto"/>
              <w:left w:val="nil"/>
              <w:bottom w:val="single" w:sz="4" w:space="0" w:color="auto"/>
              <w:right w:val="single" w:sz="4" w:space="0" w:color="auto"/>
            </w:tcBorders>
            <w:shd w:val="clear" w:color="000000" w:fill="D9D9D9"/>
            <w:vAlign w:val="center"/>
            <w:hideMark/>
          </w:tcPr>
          <w:p w14:paraId="5526E72A" w14:textId="77777777" w:rsidR="004127DE" w:rsidRPr="00150CD2" w:rsidRDefault="004127DE" w:rsidP="0039393C">
            <w:pPr>
              <w:pStyle w:val="EYTableHeading"/>
              <w:rPr>
                <w:rFonts w:cs="Arial"/>
                <w:lang w:eastAsia="en-AU"/>
              </w:rPr>
            </w:pPr>
            <w:r w:rsidRPr="00150CD2">
              <w:rPr>
                <w:rFonts w:cs="Arial"/>
                <w:lang w:eastAsia="en-AU"/>
              </w:rPr>
              <w:t>Key indicators</w:t>
            </w:r>
          </w:p>
        </w:tc>
        <w:tc>
          <w:tcPr>
            <w:tcW w:w="1584" w:type="dxa"/>
            <w:tcBorders>
              <w:top w:val="single" w:sz="4" w:space="0" w:color="auto"/>
              <w:left w:val="nil"/>
              <w:bottom w:val="single" w:sz="4" w:space="0" w:color="auto"/>
              <w:right w:val="single" w:sz="4" w:space="0" w:color="auto"/>
            </w:tcBorders>
            <w:shd w:val="clear" w:color="000000" w:fill="D9D9D9"/>
            <w:vAlign w:val="center"/>
            <w:hideMark/>
          </w:tcPr>
          <w:p w14:paraId="507F19C3" w14:textId="77777777" w:rsidR="004127DE" w:rsidRPr="00150CD2" w:rsidRDefault="004127DE" w:rsidP="0039393C">
            <w:pPr>
              <w:pStyle w:val="EYTableHeading"/>
              <w:rPr>
                <w:rFonts w:cs="Arial"/>
                <w:lang w:eastAsia="en-AU"/>
              </w:rPr>
            </w:pPr>
            <w:r w:rsidRPr="00150CD2">
              <w:rPr>
                <w:rFonts w:cs="Arial"/>
                <w:lang w:eastAsia="en-AU"/>
              </w:rPr>
              <w:t>Indicator level (Individual DS client or family member, household or community)</w:t>
            </w:r>
          </w:p>
        </w:tc>
        <w:tc>
          <w:tcPr>
            <w:tcW w:w="1224" w:type="dxa"/>
            <w:tcBorders>
              <w:top w:val="nil"/>
              <w:left w:val="nil"/>
              <w:bottom w:val="single" w:sz="4" w:space="0" w:color="auto"/>
              <w:right w:val="single" w:sz="4" w:space="0" w:color="auto"/>
            </w:tcBorders>
            <w:shd w:val="clear" w:color="000000" w:fill="D9D9D9"/>
            <w:hideMark/>
          </w:tcPr>
          <w:p w14:paraId="370C3012" w14:textId="77777777" w:rsidR="004127DE" w:rsidRPr="00150CD2" w:rsidRDefault="004127DE" w:rsidP="0039393C">
            <w:pPr>
              <w:pStyle w:val="EYTableHeading"/>
              <w:rPr>
                <w:rFonts w:cs="Arial"/>
                <w:lang w:eastAsia="en-AU"/>
              </w:rPr>
            </w:pPr>
            <w:r w:rsidRPr="00150CD2">
              <w:rPr>
                <w:rFonts w:cs="Arial"/>
                <w:lang w:eastAsia="en-AU"/>
              </w:rPr>
              <w:t>Pre-Mana Whaikaha (baseline) Survey</w:t>
            </w:r>
          </w:p>
        </w:tc>
        <w:tc>
          <w:tcPr>
            <w:tcW w:w="1224" w:type="dxa"/>
            <w:tcBorders>
              <w:top w:val="nil"/>
              <w:left w:val="nil"/>
              <w:bottom w:val="single" w:sz="4" w:space="0" w:color="auto"/>
              <w:right w:val="single" w:sz="4" w:space="0" w:color="auto"/>
            </w:tcBorders>
            <w:shd w:val="clear" w:color="000000" w:fill="D9D9D9"/>
            <w:hideMark/>
          </w:tcPr>
          <w:p w14:paraId="474B7E3F" w14:textId="29B5A7A4" w:rsidR="004127DE" w:rsidRPr="00150CD2" w:rsidRDefault="004127DE" w:rsidP="0039393C">
            <w:pPr>
              <w:pStyle w:val="EYTableHeading"/>
              <w:rPr>
                <w:rFonts w:cs="Arial"/>
                <w:lang w:eastAsia="en-AU"/>
              </w:rPr>
            </w:pPr>
            <w:r w:rsidRPr="00150CD2">
              <w:rPr>
                <w:rFonts w:cs="Arial"/>
                <w:lang w:eastAsia="en-AU"/>
              </w:rPr>
              <w:t>IDI –– Census, General Social Survey, Disability Survey</w:t>
            </w:r>
          </w:p>
        </w:tc>
        <w:tc>
          <w:tcPr>
            <w:tcW w:w="1224" w:type="dxa"/>
            <w:tcBorders>
              <w:top w:val="nil"/>
              <w:left w:val="nil"/>
              <w:bottom w:val="single" w:sz="4" w:space="0" w:color="auto"/>
              <w:right w:val="single" w:sz="4" w:space="0" w:color="auto"/>
            </w:tcBorders>
            <w:shd w:val="clear" w:color="000000" w:fill="D9D9D9"/>
            <w:hideMark/>
          </w:tcPr>
          <w:p w14:paraId="7855EF14" w14:textId="21DE4F6B" w:rsidR="004127DE" w:rsidRPr="00150CD2" w:rsidRDefault="004127DE" w:rsidP="0039393C">
            <w:pPr>
              <w:pStyle w:val="EYTableHeading"/>
              <w:rPr>
                <w:rFonts w:cs="Arial"/>
                <w:lang w:eastAsia="en-AU"/>
              </w:rPr>
            </w:pPr>
            <w:r w:rsidRPr="00150CD2">
              <w:rPr>
                <w:rFonts w:cs="Arial"/>
                <w:lang w:eastAsia="en-AU"/>
              </w:rPr>
              <w:t>IDI – Administrative data</w:t>
            </w:r>
          </w:p>
        </w:tc>
        <w:tc>
          <w:tcPr>
            <w:tcW w:w="1224" w:type="dxa"/>
            <w:tcBorders>
              <w:top w:val="nil"/>
              <w:left w:val="nil"/>
              <w:bottom w:val="single" w:sz="4" w:space="0" w:color="auto"/>
              <w:right w:val="single" w:sz="4" w:space="0" w:color="auto"/>
            </w:tcBorders>
            <w:shd w:val="clear" w:color="000000" w:fill="D9D9D9"/>
            <w:hideMark/>
          </w:tcPr>
          <w:p w14:paraId="13C1BE9D" w14:textId="79FE0ABA" w:rsidR="004127DE" w:rsidRPr="00150CD2" w:rsidRDefault="004127DE" w:rsidP="0039393C">
            <w:pPr>
              <w:pStyle w:val="EYTableHeading"/>
              <w:rPr>
                <w:rFonts w:cs="Arial"/>
              </w:rPr>
            </w:pPr>
            <w:r w:rsidRPr="00150CD2">
              <w:rPr>
                <w:rFonts w:cs="Arial"/>
              </w:rPr>
              <w:t>Other internal Ministry data sources</w:t>
            </w:r>
          </w:p>
        </w:tc>
      </w:tr>
      <w:tr w:rsidR="00DF5185" w:rsidRPr="00150CD2" w14:paraId="26749E8A" w14:textId="77777777" w:rsidTr="00DF5185">
        <w:tc>
          <w:tcPr>
            <w:tcW w:w="1184" w:type="dxa"/>
            <w:tcBorders>
              <w:top w:val="single" w:sz="4" w:space="0" w:color="auto"/>
              <w:left w:val="single" w:sz="4" w:space="0" w:color="auto"/>
              <w:right w:val="single" w:sz="4" w:space="0" w:color="auto"/>
            </w:tcBorders>
            <w:shd w:val="clear" w:color="000000" w:fill="0070C0"/>
            <w:tcMar>
              <w:left w:w="72" w:type="dxa"/>
            </w:tcMar>
            <w:hideMark/>
          </w:tcPr>
          <w:p w14:paraId="32591A4A" w14:textId="77777777" w:rsidR="00DF5185" w:rsidRPr="00150CD2" w:rsidRDefault="00DF5185" w:rsidP="00DF5185">
            <w:pPr>
              <w:pStyle w:val="EYTableText"/>
              <w:rPr>
                <w:rFonts w:cs="Arial"/>
                <w:color w:val="FFFFFF" w:themeColor="background1"/>
              </w:rPr>
            </w:pPr>
            <w:r w:rsidRPr="00150CD2">
              <w:rPr>
                <w:rFonts w:cs="Arial"/>
                <w:color w:val="FFFFFF" w:themeColor="background1"/>
              </w:rPr>
              <w:t>Are safe</w:t>
            </w:r>
          </w:p>
        </w:tc>
        <w:tc>
          <w:tcPr>
            <w:tcW w:w="2016" w:type="dxa"/>
            <w:tcBorders>
              <w:top w:val="single" w:sz="4" w:space="0" w:color="auto"/>
              <w:left w:val="single" w:sz="4" w:space="0" w:color="auto"/>
              <w:right w:val="single" w:sz="4" w:space="0" w:color="auto"/>
            </w:tcBorders>
            <w:shd w:val="clear" w:color="auto" w:fill="auto"/>
            <w:tcMar>
              <w:left w:w="72" w:type="dxa"/>
            </w:tcMar>
            <w:hideMark/>
          </w:tcPr>
          <w:p w14:paraId="1F525AA2" w14:textId="77777777" w:rsidR="00DF5185" w:rsidRPr="00150CD2" w:rsidRDefault="00DF5185" w:rsidP="00DF5185">
            <w:pPr>
              <w:pStyle w:val="EYTableText"/>
              <w:rPr>
                <w:rFonts w:cs="Arial"/>
                <w:lang w:eastAsia="en-AU"/>
              </w:rPr>
            </w:pPr>
            <w:r w:rsidRPr="00150CD2">
              <w:rPr>
                <w:rFonts w:cs="Arial"/>
                <w:lang w:eastAsia="en-AU"/>
              </w:rPr>
              <w:t>Are physically safe and live in a positive environment</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356BB2D9" w14:textId="77777777" w:rsidR="00DF5185" w:rsidRPr="00150CD2" w:rsidRDefault="00DF5185" w:rsidP="00DF5185">
            <w:pPr>
              <w:pStyle w:val="EYTableText"/>
              <w:rPr>
                <w:rFonts w:cs="Arial"/>
              </w:rPr>
            </w:pPr>
            <w:r w:rsidRPr="00150CD2">
              <w:rPr>
                <w:rFonts w:cs="Arial"/>
              </w:rPr>
              <w:t>1.1.1</w:t>
            </w:r>
          </w:p>
        </w:tc>
        <w:tc>
          <w:tcPr>
            <w:tcW w:w="3600" w:type="dxa"/>
            <w:tcBorders>
              <w:top w:val="nil"/>
              <w:left w:val="nil"/>
              <w:bottom w:val="single" w:sz="4" w:space="0" w:color="auto"/>
              <w:right w:val="single" w:sz="4" w:space="0" w:color="auto"/>
            </w:tcBorders>
            <w:shd w:val="clear" w:color="auto" w:fill="auto"/>
            <w:hideMark/>
          </w:tcPr>
          <w:p w14:paraId="7FB8F8EF" w14:textId="48A009BB" w:rsidR="00DF5185" w:rsidRPr="00150CD2" w:rsidRDefault="00DF5185" w:rsidP="00DF5185">
            <w:pPr>
              <w:pStyle w:val="EYTableText"/>
              <w:rPr>
                <w:rFonts w:cs="Arial"/>
              </w:rPr>
            </w:pPr>
            <w:r w:rsidRPr="00150CD2">
              <w:rPr>
                <w:rFonts w:cs="Arial"/>
              </w:rPr>
              <w:t>Variables relating to feelings of safety and security (e.g. "Feeling of safety when at home by yourself at night", "Feeling of safety when walking alone in the neighbourhood after dark", "when using public transport at night").</w:t>
            </w:r>
          </w:p>
        </w:tc>
        <w:tc>
          <w:tcPr>
            <w:tcW w:w="1584" w:type="dxa"/>
            <w:tcBorders>
              <w:top w:val="nil"/>
              <w:left w:val="nil"/>
              <w:bottom w:val="single" w:sz="4" w:space="0" w:color="auto"/>
              <w:right w:val="single" w:sz="4" w:space="0" w:color="auto"/>
            </w:tcBorders>
            <w:shd w:val="clear" w:color="auto" w:fill="auto"/>
            <w:hideMark/>
          </w:tcPr>
          <w:p w14:paraId="7632DB50" w14:textId="77777777" w:rsidR="00DF5185" w:rsidRPr="00150CD2" w:rsidRDefault="00DF5185"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18147AE2"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7473CB80"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99350E3"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4392D4E7"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44B4D45B" w14:textId="77777777" w:rsidTr="00DF5185">
        <w:tc>
          <w:tcPr>
            <w:tcW w:w="1184" w:type="dxa"/>
            <w:tcBorders>
              <w:top w:val="nil"/>
              <w:left w:val="single" w:sz="4" w:space="0" w:color="auto"/>
              <w:right w:val="single" w:sz="4" w:space="0" w:color="auto"/>
            </w:tcBorders>
            <w:shd w:val="clear" w:color="000000" w:fill="0070C0"/>
            <w:tcMar>
              <w:left w:w="72" w:type="dxa"/>
            </w:tcMar>
            <w:vAlign w:val="center"/>
            <w:hideMark/>
          </w:tcPr>
          <w:p w14:paraId="62F2CC07" w14:textId="77777777" w:rsidR="00DF5185" w:rsidRPr="00150CD2" w:rsidRDefault="00DF5185" w:rsidP="00DF5185">
            <w:pPr>
              <w:pStyle w:val="EYTableText"/>
              <w:rPr>
                <w:rFonts w:cs="Arial"/>
              </w:rPr>
            </w:pPr>
          </w:p>
        </w:tc>
        <w:tc>
          <w:tcPr>
            <w:tcW w:w="2016" w:type="dxa"/>
            <w:tcBorders>
              <w:top w:val="nil"/>
              <w:left w:val="single" w:sz="4" w:space="0" w:color="auto"/>
              <w:right w:val="single" w:sz="4" w:space="0" w:color="auto"/>
            </w:tcBorders>
            <w:shd w:val="clear" w:color="auto" w:fill="auto"/>
            <w:tcMar>
              <w:left w:w="72" w:type="dxa"/>
            </w:tcMar>
            <w:vAlign w:val="center"/>
            <w:hideMark/>
          </w:tcPr>
          <w:p w14:paraId="178A15B7"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276FD9E9" w14:textId="77777777" w:rsidR="00DF5185" w:rsidRPr="00150CD2" w:rsidRDefault="00DF5185" w:rsidP="00DF5185">
            <w:pPr>
              <w:pStyle w:val="EYTableText"/>
              <w:rPr>
                <w:rFonts w:cs="Arial"/>
              </w:rPr>
            </w:pPr>
            <w:r w:rsidRPr="00150CD2">
              <w:rPr>
                <w:rFonts w:cs="Arial"/>
              </w:rPr>
              <w:t>1.1.2</w:t>
            </w:r>
          </w:p>
        </w:tc>
        <w:tc>
          <w:tcPr>
            <w:tcW w:w="3600" w:type="dxa"/>
            <w:tcBorders>
              <w:top w:val="nil"/>
              <w:left w:val="nil"/>
              <w:bottom w:val="single" w:sz="4" w:space="0" w:color="auto"/>
              <w:right w:val="single" w:sz="4" w:space="0" w:color="auto"/>
            </w:tcBorders>
            <w:shd w:val="clear" w:color="auto" w:fill="auto"/>
            <w:hideMark/>
          </w:tcPr>
          <w:p w14:paraId="09077D9D" w14:textId="22384FF9" w:rsidR="00DF5185" w:rsidRPr="00150CD2" w:rsidRDefault="00DF5185" w:rsidP="00DF5185">
            <w:pPr>
              <w:pStyle w:val="EYTableText"/>
              <w:rPr>
                <w:rFonts w:cs="Arial"/>
              </w:rPr>
            </w:pPr>
            <w:r w:rsidRPr="00150CD2">
              <w:rPr>
                <w:rFonts w:cs="Arial"/>
              </w:rPr>
              <w:t>Victim of a crime in the last 12 months</w:t>
            </w:r>
          </w:p>
        </w:tc>
        <w:tc>
          <w:tcPr>
            <w:tcW w:w="1584" w:type="dxa"/>
            <w:tcBorders>
              <w:top w:val="nil"/>
              <w:left w:val="nil"/>
              <w:bottom w:val="single" w:sz="4" w:space="0" w:color="auto"/>
              <w:right w:val="single" w:sz="4" w:space="0" w:color="auto"/>
            </w:tcBorders>
            <w:shd w:val="clear" w:color="auto" w:fill="auto"/>
            <w:noWrap/>
            <w:hideMark/>
          </w:tcPr>
          <w:p w14:paraId="7F6AABD3" w14:textId="77777777" w:rsidR="00DF5185" w:rsidRPr="00150CD2" w:rsidRDefault="00DF5185"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3A4EBBE8"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92D050"/>
            <w:noWrap/>
            <w:hideMark/>
          </w:tcPr>
          <w:p w14:paraId="7A136B89"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FFE600"/>
            <w:noWrap/>
            <w:hideMark/>
          </w:tcPr>
          <w:p w14:paraId="70D6DC2C"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DC9786B"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41795217" w14:textId="77777777" w:rsidTr="00DF5185">
        <w:tc>
          <w:tcPr>
            <w:tcW w:w="1184" w:type="dxa"/>
            <w:tcBorders>
              <w:top w:val="nil"/>
              <w:left w:val="single" w:sz="4" w:space="0" w:color="auto"/>
              <w:right w:val="single" w:sz="4" w:space="0" w:color="auto"/>
            </w:tcBorders>
            <w:shd w:val="clear" w:color="000000" w:fill="0070C0"/>
            <w:tcMar>
              <w:left w:w="72" w:type="dxa"/>
            </w:tcMar>
            <w:vAlign w:val="center"/>
            <w:hideMark/>
          </w:tcPr>
          <w:p w14:paraId="29F6B0D1" w14:textId="77777777" w:rsidR="00DF5185" w:rsidRPr="00150CD2" w:rsidRDefault="00DF5185" w:rsidP="00DF5185">
            <w:pPr>
              <w:pStyle w:val="EYTableText"/>
              <w:rPr>
                <w:rFonts w:cs="Arial"/>
              </w:rPr>
            </w:pPr>
          </w:p>
        </w:tc>
        <w:tc>
          <w:tcPr>
            <w:tcW w:w="2016" w:type="dxa"/>
            <w:tcBorders>
              <w:top w:val="nil"/>
              <w:left w:val="single" w:sz="4" w:space="0" w:color="auto"/>
              <w:right w:val="single" w:sz="4" w:space="0" w:color="auto"/>
            </w:tcBorders>
            <w:shd w:val="clear" w:color="auto" w:fill="auto"/>
            <w:tcMar>
              <w:left w:w="72" w:type="dxa"/>
            </w:tcMar>
            <w:vAlign w:val="center"/>
            <w:hideMark/>
          </w:tcPr>
          <w:p w14:paraId="77EA1C49"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6B4C1EF8" w14:textId="31F2F328" w:rsidR="00DF5185" w:rsidRPr="00150CD2" w:rsidRDefault="00DF5185" w:rsidP="00DF5185">
            <w:pPr>
              <w:pStyle w:val="EYTableText"/>
              <w:rPr>
                <w:rFonts w:cs="Arial"/>
              </w:rPr>
            </w:pPr>
            <w:r w:rsidRPr="00150CD2">
              <w:rPr>
                <w:rFonts w:cs="Arial"/>
              </w:rPr>
              <w:t>1.1.3</w:t>
            </w:r>
          </w:p>
        </w:tc>
        <w:tc>
          <w:tcPr>
            <w:tcW w:w="3600" w:type="dxa"/>
            <w:tcBorders>
              <w:top w:val="nil"/>
              <w:left w:val="nil"/>
              <w:bottom w:val="single" w:sz="4" w:space="0" w:color="auto"/>
              <w:right w:val="single" w:sz="4" w:space="0" w:color="auto"/>
            </w:tcBorders>
            <w:shd w:val="clear" w:color="auto" w:fill="auto"/>
            <w:hideMark/>
          </w:tcPr>
          <w:p w14:paraId="624CF312" w14:textId="36AFA582" w:rsidR="00DF5185" w:rsidRPr="00150CD2" w:rsidRDefault="00DF5185" w:rsidP="00DF5185">
            <w:pPr>
              <w:pStyle w:val="EYTableText"/>
              <w:rPr>
                <w:rFonts w:cs="Arial"/>
              </w:rPr>
            </w:pPr>
            <w:r w:rsidRPr="00150CD2">
              <w:rPr>
                <w:rFonts w:cs="Arial"/>
              </w:rPr>
              <w:t>No neighbourhood problems reported</w:t>
            </w:r>
          </w:p>
        </w:tc>
        <w:tc>
          <w:tcPr>
            <w:tcW w:w="1584" w:type="dxa"/>
            <w:tcBorders>
              <w:top w:val="nil"/>
              <w:left w:val="nil"/>
              <w:bottom w:val="single" w:sz="4" w:space="0" w:color="auto"/>
              <w:right w:val="single" w:sz="4" w:space="0" w:color="auto"/>
            </w:tcBorders>
            <w:shd w:val="clear" w:color="auto" w:fill="auto"/>
            <w:noWrap/>
            <w:hideMark/>
          </w:tcPr>
          <w:p w14:paraId="3D15F7CB" w14:textId="77777777" w:rsidR="00DF5185" w:rsidRPr="00150CD2" w:rsidRDefault="00DF5185"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0ED00310"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1C91670B"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30DCE656"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57D47C9"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568DC1F3" w14:textId="77777777" w:rsidTr="00DF5185">
        <w:tc>
          <w:tcPr>
            <w:tcW w:w="1184" w:type="dxa"/>
            <w:tcBorders>
              <w:top w:val="nil"/>
              <w:left w:val="single" w:sz="4" w:space="0" w:color="auto"/>
              <w:right w:val="single" w:sz="4" w:space="0" w:color="auto"/>
            </w:tcBorders>
            <w:shd w:val="clear" w:color="000000" w:fill="0070C0"/>
            <w:tcMar>
              <w:left w:w="72" w:type="dxa"/>
            </w:tcMar>
            <w:vAlign w:val="center"/>
            <w:hideMark/>
          </w:tcPr>
          <w:p w14:paraId="664F099B" w14:textId="77777777" w:rsidR="00DF5185" w:rsidRPr="00150CD2" w:rsidRDefault="00DF5185" w:rsidP="00DF5185">
            <w:pPr>
              <w:pStyle w:val="EYTableText"/>
              <w:rPr>
                <w:rFonts w:cs="Arial"/>
              </w:rPr>
            </w:pPr>
          </w:p>
        </w:tc>
        <w:tc>
          <w:tcPr>
            <w:tcW w:w="2016" w:type="dxa"/>
            <w:tcBorders>
              <w:top w:val="nil"/>
              <w:left w:val="single" w:sz="4" w:space="0" w:color="auto"/>
              <w:right w:val="single" w:sz="4" w:space="0" w:color="auto"/>
            </w:tcBorders>
            <w:shd w:val="clear" w:color="auto" w:fill="auto"/>
            <w:tcMar>
              <w:left w:w="72" w:type="dxa"/>
            </w:tcMar>
            <w:vAlign w:val="center"/>
            <w:hideMark/>
          </w:tcPr>
          <w:p w14:paraId="01306391"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38686680" w14:textId="56B20653" w:rsidR="00DF5185" w:rsidRPr="00150CD2" w:rsidRDefault="00DF5185" w:rsidP="00DF5185">
            <w:pPr>
              <w:pStyle w:val="EYTableText"/>
              <w:rPr>
                <w:rFonts w:cs="Arial"/>
              </w:rPr>
            </w:pPr>
            <w:r w:rsidRPr="00150CD2">
              <w:rPr>
                <w:rFonts w:cs="Arial"/>
              </w:rPr>
              <w:t>1.1.4</w:t>
            </w:r>
          </w:p>
        </w:tc>
        <w:tc>
          <w:tcPr>
            <w:tcW w:w="3600" w:type="dxa"/>
            <w:tcBorders>
              <w:top w:val="nil"/>
              <w:left w:val="nil"/>
              <w:bottom w:val="single" w:sz="4" w:space="0" w:color="auto"/>
              <w:right w:val="single" w:sz="4" w:space="0" w:color="auto"/>
            </w:tcBorders>
            <w:shd w:val="clear" w:color="auto" w:fill="auto"/>
            <w:hideMark/>
          </w:tcPr>
          <w:p w14:paraId="18311884" w14:textId="4334FE91" w:rsidR="00DF5185" w:rsidRPr="00150CD2" w:rsidRDefault="00DF5185" w:rsidP="00DF5185">
            <w:pPr>
              <w:pStyle w:val="EYTableText"/>
              <w:rPr>
                <w:rFonts w:cs="Arial"/>
              </w:rPr>
            </w:pPr>
            <w:r w:rsidRPr="00150CD2">
              <w:rPr>
                <w:rFonts w:cs="Arial"/>
              </w:rPr>
              <w:t>Variables relating to experience of family violence and child safety: Police Family Violence Centre Oranga Tamariki notifications and Oranga Tamariki interactions (ages 0 to 16)</w:t>
            </w:r>
          </w:p>
        </w:tc>
        <w:tc>
          <w:tcPr>
            <w:tcW w:w="1584" w:type="dxa"/>
            <w:tcBorders>
              <w:top w:val="nil"/>
              <w:left w:val="nil"/>
              <w:bottom w:val="single" w:sz="4" w:space="0" w:color="auto"/>
              <w:right w:val="single" w:sz="4" w:space="0" w:color="auto"/>
            </w:tcBorders>
            <w:shd w:val="clear" w:color="auto" w:fill="auto"/>
            <w:noWrap/>
            <w:hideMark/>
          </w:tcPr>
          <w:p w14:paraId="2E8640FE" w14:textId="77777777" w:rsidR="00DF5185" w:rsidRPr="00150CD2" w:rsidRDefault="00DF5185"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6F781D39"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798E199"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FFE600"/>
            <w:noWrap/>
            <w:hideMark/>
          </w:tcPr>
          <w:p w14:paraId="6CFF5BA1"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B6B341D"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3A3C7AFE" w14:textId="77777777" w:rsidTr="00DF5185">
        <w:tc>
          <w:tcPr>
            <w:tcW w:w="1184" w:type="dxa"/>
            <w:tcBorders>
              <w:top w:val="nil"/>
              <w:left w:val="single" w:sz="4" w:space="0" w:color="auto"/>
              <w:right w:val="single" w:sz="4" w:space="0" w:color="auto"/>
            </w:tcBorders>
            <w:shd w:val="clear" w:color="000000" w:fill="0070C0"/>
            <w:tcMar>
              <w:left w:w="72" w:type="dxa"/>
            </w:tcMar>
            <w:vAlign w:val="center"/>
            <w:hideMark/>
          </w:tcPr>
          <w:p w14:paraId="17567832" w14:textId="77777777" w:rsidR="00DF5185" w:rsidRPr="00150CD2" w:rsidRDefault="00DF5185" w:rsidP="00DF5185">
            <w:pPr>
              <w:pStyle w:val="EYTableText"/>
              <w:rPr>
                <w:rFonts w:cs="Arial"/>
              </w:rPr>
            </w:pPr>
          </w:p>
        </w:tc>
        <w:tc>
          <w:tcPr>
            <w:tcW w:w="2016" w:type="dxa"/>
            <w:tcBorders>
              <w:top w:val="nil"/>
              <w:left w:val="single" w:sz="4" w:space="0" w:color="auto"/>
              <w:right w:val="single" w:sz="4" w:space="0" w:color="auto"/>
            </w:tcBorders>
            <w:shd w:val="clear" w:color="auto" w:fill="auto"/>
            <w:tcMar>
              <w:left w:w="72" w:type="dxa"/>
            </w:tcMar>
            <w:vAlign w:val="center"/>
            <w:hideMark/>
          </w:tcPr>
          <w:p w14:paraId="6B4DE5BC"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267359C1" w14:textId="1EF33B84" w:rsidR="00DF5185" w:rsidRPr="00150CD2" w:rsidRDefault="00DF5185" w:rsidP="00DF5185">
            <w:pPr>
              <w:pStyle w:val="EYTableText"/>
              <w:rPr>
                <w:rFonts w:cs="Arial"/>
              </w:rPr>
            </w:pPr>
            <w:r w:rsidRPr="00150CD2">
              <w:rPr>
                <w:rFonts w:cs="Arial"/>
              </w:rPr>
              <w:t>1.1.5</w:t>
            </w:r>
          </w:p>
        </w:tc>
        <w:tc>
          <w:tcPr>
            <w:tcW w:w="3600" w:type="dxa"/>
            <w:tcBorders>
              <w:top w:val="nil"/>
              <w:left w:val="nil"/>
              <w:bottom w:val="single" w:sz="4" w:space="0" w:color="auto"/>
              <w:right w:val="single" w:sz="4" w:space="0" w:color="auto"/>
            </w:tcBorders>
            <w:shd w:val="clear" w:color="auto" w:fill="auto"/>
            <w:hideMark/>
          </w:tcPr>
          <w:p w14:paraId="32470FB7" w14:textId="77777777" w:rsidR="00DF5185" w:rsidRPr="00150CD2" w:rsidRDefault="00DF5185" w:rsidP="00DF5185">
            <w:pPr>
              <w:pStyle w:val="EYTableText"/>
              <w:rPr>
                <w:rFonts w:cs="Arial"/>
              </w:rPr>
            </w:pPr>
            <w:r w:rsidRPr="00150CD2">
              <w:rPr>
                <w:rFonts w:cs="Arial"/>
              </w:rPr>
              <w:t>Feel safe in their home</w:t>
            </w:r>
          </w:p>
        </w:tc>
        <w:tc>
          <w:tcPr>
            <w:tcW w:w="1584" w:type="dxa"/>
            <w:tcBorders>
              <w:top w:val="nil"/>
              <w:left w:val="nil"/>
              <w:bottom w:val="single" w:sz="4" w:space="0" w:color="auto"/>
              <w:right w:val="single" w:sz="4" w:space="0" w:color="auto"/>
            </w:tcBorders>
            <w:shd w:val="clear" w:color="auto" w:fill="auto"/>
            <w:noWrap/>
            <w:hideMark/>
          </w:tcPr>
          <w:p w14:paraId="6B32A7B6" w14:textId="77777777" w:rsidR="00DF5185" w:rsidRPr="00150CD2" w:rsidRDefault="00DF5185"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1158CEDB"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E7E2A6D"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3092A31C"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4883454"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7E677265" w14:textId="77777777" w:rsidTr="00DF5185">
        <w:tc>
          <w:tcPr>
            <w:tcW w:w="1184" w:type="dxa"/>
            <w:tcBorders>
              <w:top w:val="nil"/>
              <w:left w:val="single" w:sz="4" w:space="0" w:color="auto"/>
              <w:right w:val="single" w:sz="4" w:space="0" w:color="auto"/>
            </w:tcBorders>
            <w:shd w:val="clear" w:color="000000" w:fill="0070C0"/>
            <w:tcMar>
              <w:left w:w="72" w:type="dxa"/>
            </w:tcMar>
            <w:vAlign w:val="center"/>
            <w:hideMark/>
          </w:tcPr>
          <w:p w14:paraId="3D4734B2" w14:textId="77777777" w:rsidR="00DF5185" w:rsidRPr="00150CD2" w:rsidRDefault="00DF5185" w:rsidP="00DF5185">
            <w:pPr>
              <w:pStyle w:val="EYTableText"/>
              <w:rPr>
                <w:rFonts w:cs="Arial"/>
              </w:rPr>
            </w:pPr>
          </w:p>
        </w:tc>
        <w:tc>
          <w:tcPr>
            <w:tcW w:w="2016" w:type="dxa"/>
            <w:tcBorders>
              <w:top w:val="nil"/>
              <w:left w:val="single" w:sz="4" w:space="0" w:color="auto"/>
              <w:right w:val="single" w:sz="4" w:space="0" w:color="auto"/>
            </w:tcBorders>
            <w:shd w:val="clear" w:color="auto" w:fill="auto"/>
            <w:tcMar>
              <w:left w:w="72" w:type="dxa"/>
            </w:tcMar>
            <w:vAlign w:val="center"/>
            <w:hideMark/>
          </w:tcPr>
          <w:p w14:paraId="6FBD6302"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4F8C3578" w14:textId="530F75E9" w:rsidR="00DF5185" w:rsidRPr="00150CD2" w:rsidRDefault="00DF5185" w:rsidP="00DF5185">
            <w:pPr>
              <w:pStyle w:val="EYTableText"/>
              <w:rPr>
                <w:rFonts w:cs="Arial"/>
              </w:rPr>
            </w:pPr>
            <w:r w:rsidRPr="00150CD2">
              <w:rPr>
                <w:rFonts w:cs="Arial"/>
              </w:rPr>
              <w:t>1.1.6</w:t>
            </w:r>
          </w:p>
        </w:tc>
        <w:tc>
          <w:tcPr>
            <w:tcW w:w="3600" w:type="dxa"/>
            <w:tcBorders>
              <w:top w:val="nil"/>
              <w:left w:val="nil"/>
              <w:bottom w:val="single" w:sz="4" w:space="0" w:color="auto"/>
              <w:right w:val="single" w:sz="4" w:space="0" w:color="auto"/>
            </w:tcBorders>
            <w:shd w:val="clear" w:color="auto" w:fill="auto"/>
            <w:hideMark/>
          </w:tcPr>
          <w:p w14:paraId="50EC0C3E" w14:textId="77777777" w:rsidR="00DF5185" w:rsidRPr="00150CD2" w:rsidRDefault="00DF5185" w:rsidP="00DF5185">
            <w:pPr>
              <w:pStyle w:val="EYTableText"/>
              <w:rPr>
                <w:rFonts w:cs="Arial"/>
              </w:rPr>
            </w:pPr>
            <w:r w:rsidRPr="00150CD2">
              <w:rPr>
                <w:rFonts w:cs="Arial"/>
              </w:rPr>
              <w:t>Feel safe and secure</w:t>
            </w:r>
          </w:p>
        </w:tc>
        <w:tc>
          <w:tcPr>
            <w:tcW w:w="1584" w:type="dxa"/>
            <w:tcBorders>
              <w:top w:val="nil"/>
              <w:left w:val="nil"/>
              <w:bottom w:val="single" w:sz="4" w:space="0" w:color="auto"/>
              <w:right w:val="single" w:sz="4" w:space="0" w:color="auto"/>
            </w:tcBorders>
            <w:shd w:val="clear" w:color="auto" w:fill="auto"/>
            <w:noWrap/>
            <w:hideMark/>
          </w:tcPr>
          <w:p w14:paraId="0A9E8397" w14:textId="77777777" w:rsidR="00DF5185" w:rsidRPr="00150CD2" w:rsidRDefault="00DF5185"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7E2ADBE4"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606DE23"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DC05415"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66667F7"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3082B77C" w14:textId="77777777" w:rsidTr="00DF5185">
        <w:tc>
          <w:tcPr>
            <w:tcW w:w="1184" w:type="dxa"/>
            <w:tcBorders>
              <w:top w:val="nil"/>
              <w:left w:val="single" w:sz="4" w:space="0" w:color="auto"/>
              <w:bottom w:val="single" w:sz="4" w:space="0" w:color="auto"/>
              <w:right w:val="single" w:sz="4" w:space="0" w:color="auto"/>
            </w:tcBorders>
            <w:shd w:val="clear" w:color="000000" w:fill="0070C0"/>
            <w:tcMar>
              <w:left w:w="72" w:type="dxa"/>
            </w:tcMar>
            <w:vAlign w:val="center"/>
            <w:hideMark/>
          </w:tcPr>
          <w:p w14:paraId="619C9522" w14:textId="77777777" w:rsidR="00DF5185" w:rsidRPr="00150CD2" w:rsidRDefault="00DF5185" w:rsidP="00DF5185">
            <w:pPr>
              <w:pStyle w:val="EYTableText"/>
              <w:rPr>
                <w:rFonts w:cs="Arial"/>
              </w:rPr>
            </w:pPr>
          </w:p>
        </w:tc>
        <w:tc>
          <w:tcPr>
            <w:tcW w:w="2016" w:type="dxa"/>
            <w:tcBorders>
              <w:top w:val="nil"/>
              <w:left w:val="single" w:sz="4" w:space="0" w:color="auto"/>
              <w:bottom w:val="single" w:sz="4" w:space="0" w:color="000000"/>
              <w:right w:val="single" w:sz="4" w:space="0" w:color="auto"/>
            </w:tcBorders>
            <w:shd w:val="clear" w:color="auto" w:fill="auto"/>
            <w:tcMar>
              <w:left w:w="72" w:type="dxa"/>
            </w:tcMar>
            <w:vAlign w:val="center"/>
            <w:hideMark/>
          </w:tcPr>
          <w:p w14:paraId="4F1230B6"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07E39D86" w14:textId="7C9AD689" w:rsidR="00DF5185" w:rsidRPr="00150CD2" w:rsidRDefault="00DF5185" w:rsidP="00DF5185">
            <w:pPr>
              <w:pStyle w:val="EYTableText"/>
              <w:rPr>
                <w:rFonts w:cs="Arial"/>
              </w:rPr>
            </w:pPr>
            <w:r w:rsidRPr="00150CD2">
              <w:rPr>
                <w:rFonts w:cs="Arial"/>
              </w:rPr>
              <w:t>1.1.7</w:t>
            </w:r>
          </w:p>
        </w:tc>
        <w:tc>
          <w:tcPr>
            <w:tcW w:w="3600" w:type="dxa"/>
            <w:tcBorders>
              <w:top w:val="nil"/>
              <w:left w:val="nil"/>
              <w:bottom w:val="single" w:sz="4" w:space="0" w:color="auto"/>
              <w:right w:val="single" w:sz="4" w:space="0" w:color="auto"/>
            </w:tcBorders>
            <w:shd w:val="clear" w:color="auto" w:fill="auto"/>
            <w:hideMark/>
          </w:tcPr>
          <w:p w14:paraId="421EC445" w14:textId="77777777" w:rsidR="00DF5185" w:rsidRPr="00150CD2" w:rsidRDefault="00DF5185" w:rsidP="00DF5185">
            <w:pPr>
              <w:pStyle w:val="EYTableText"/>
              <w:rPr>
                <w:rFonts w:cs="Arial"/>
              </w:rPr>
            </w:pPr>
            <w:r w:rsidRPr="00150CD2">
              <w:rPr>
                <w:rFonts w:cs="Arial"/>
              </w:rPr>
              <w:t>Criminal offending (court charges, crime offenders, sentencing and remand)</w:t>
            </w:r>
          </w:p>
        </w:tc>
        <w:tc>
          <w:tcPr>
            <w:tcW w:w="1584" w:type="dxa"/>
            <w:tcBorders>
              <w:top w:val="nil"/>
              <w:left w:val="nil"/>
              <w:bottom w:val="single" w:sz="4" w:space="0" w:color="auto"/>
              <w:right w:val="single" w:sz="4" w:space="0" w:color="auto"/>
            </w:tcBorders>
            <w:shd w:val="clear" w:color="auto" w:fill="auto"/>
            <w:noWrap/>
            <w:hideMark/>
          </w:tcPr>
          <w:p w14:paraId="315C5373" w14:textId="77777777" w:rsidR="00DF5185" w:rsidRPr="00150CD2" w:rsidRDefault="00DF5185"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3DFA2816"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69374E4"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FFE600"/>
            <w:noWrap/>
            <w:hideMark/>
          </w:tcPr>
          <w:p w14:paraId="029CDA97"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567A7EEA"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62589E91" w14:textId="77777777" w:rsidTr="00DF5185">
        <w:tc>
          <w:tcPr>
            <w:tcW w:w="1184" w:type="dxa"/>
            <w:tcBorders>
              <w:top w:val="single" w:sz="4" w:space="0" w:color="auto"/>
              <w:left w:val="single" w:sz="4" w:space="0" w:color="auto"/>
              <w:right w:val="single" w:sz="4" w:space="0" w:color="auto"/>
            </w:tcBorders>
            <w:shd w:val="clear" w:color="000000" w:fill="7030A0"/>
            <w:tcMar>
              <w:left w:w="72" w:type="dxa"/>
            </w:tcMar>
            <w:vAlign w:val="center"/>
            <w:hideMark/>
          </w:tcPr>
          <w:p w14:paraId="21C5DFFF" w14:textId="77777777" w:rsidR="00DF5185" w:rsidRPr="00150CD2" w:rsidRDefault="00DF5185" w:rsidP="00DF5185">
            <w:pPr>
              <w:pStyle w:val="EYTableText"/>
              <w:rPr>
                <w:rFonts w:cs="Arial"/>
              </w:rPr>
            </w:pPr>
            <w:r w:rsidRPr="00150CD2">
              <w:rPr>
                <w:rFonts w:cs="Arial"/>
                <w:color w:val="FFFFFF" w:themeColor="background1"/>
              </w:rPr>
              <w:t>Are happy and well</w:t>
            </w:r>
          </w:p>
        </w:tc>
        <w:tc>
          <w:tcPr>
            <w:tcW w:w="2016" w:type="dxa"/>
            <w:tcBorders>
              <w:top w:val="nil"/>
              <w:left w:val="single" w:sz="4" w:space="0" w:color="auto"/>
              <w:right w:val="single" w:sz="4" w:space="0" w:color="auto"/>
            </w:tcBorders>
            <w:shd w:val="clear" w:color="auto" w:fill="auto"/>
            <w:tcMar>
              <w:left w:w="72" w:type="dxa"/>
            </w:tcMar>
            <w:vAlign w:val="center"/>
            <w:hideMark/>
          </w:tcPr>
          <w:p w14:paraId="3F2F0C35" w14:textId="77777777" w:rsidR="00DF5185" w:rsidRPr="00150CD2" w:rsidRDefault="00DF5185" w:rsidP="00DF5185">
            <w:pPr>
              <w:pStyle w:val="EYTableText"/>
              <w:rPr>
                <w:rFonts w:cs="Arial"/>
                <w:lang w:eastAsia="en-AU"/>
              </w:rPr>
            </w:pPr>
            <w:r w:rsidRPr="00150CD2">
              <w:rPr>
                <w:rFonts w:cs="Arial"/>
                <w:lang w:eastAsia="en-AU"/>
              </w:rPr>
              <w:t>Experience emotional / subjective wellbeing</w:t>
            </w:r>
          </w:p>
        </w:tc>
        <w:tc>
          <w:tcPr>
            <w:tcW w:w="612" w:type="dxa"/>
            <w:tcBorders>
              <w:top w:val="single" w:sz="4" w:space="0" w:color="auto"/>
              <w:left w:val="nil"/>
              <w:bottom w:val="single" w:sz="4" w:space="0" w:color="auto"/>
              <w:right w:val="single" w:sz="4" w:space="0" w:color="auto"/>
            </w:tcBorders>
            <w:shd w:val="clear" w:color="auto" w:fill="auto"/>
            <w:noWrap/>
            <w:tcMar>
              <w:left w:w="72" w:type="dxa"/>
            </w:tcMar>
            <w:hideMark/>
          </w:tcPr>
          <w:p w14:paraId="0AF42D8A" w14:textId="77777777" w:rsidR="00DF5185" w:rsidRPr="00150CD2" w:rsidRDefault="00DF5185" w:rsidP="00DF5185">
            <w:pPr>
              <w:pStyle w:val="EYTableText"/>
              <w:rPr>
                <w:rFonts w:cs="Arial"/>
              </w:rPr>
            </w:pPr>
            <w:r w:rsidRPr="00150CD2">
              <w:rPr>
                <w:rFonts w:cs="Arial"/>
              </w:rPr>
              <w:t>2.1.1</w:t>
            </w:r>
          </w:p>
        </w:tc>
        <w:tc>
          <w:tcPr>
            <w:tcW w:w="3600" w:type="dxa"/>
            <w:tcBorders>
              <w:top w:val="nil"/>
              <w:left w:val="single" w:sz="4" w:space="0" w:color="auto"/>
              <w:bottom w:val="single" w:sz="4" w:space="0" w:color="000000"/>
              <w:right w:val="single" w:sz="4" w:space="0" w:color="auto"/>
            </w:tcBorders>
            <w:shd w:val="clear" w:color="auto" w:fill="auto"/>
            <w:hideMark/>
          </w:tcPr>
          <w:p w14:paraId="5483CA45" w14:textId="77777777" w:rsidR="00DF5185" w:rsidRPr="00150CD2" w:rsidRDefault="00DF5185" w:rsidP="00DF5185">
            <w:pPr>
              <w:pStyle w:val="EYTableText"/>
              <w:rPr>
                <w:rFonts w:cs="Arial"/>
              </w:rPr>
            </w:pPr>
            <w:r w:rsidRPr="00150CD2">
              <w:rPr>
                <w:rFonts w:cs="Arial"/>
              </w:rPr>
              <w:t>Life satisfaction indicators</w:t>
            </w:r>
          </w:p>
        </w:tc>
        <w:tc>
          <w:tcPr>
            <w:tcW w:w="1584" w:type="dxa"/>
            <w:tcBorders>
              <w:top w:val="nil"/>
              <w:left w:val="single" w:sz="4" w:space="0" w:color="auto"/>
              <w:bottom w:val="single" w:sz="4" w:space="0" w:color="000000"/>
              <w:right w:val="single" w:sz="4" w:space="0" w:color="auto"/>
            </w:tcBorders>
            <w:shd w:val="clear" w:color="auto" w:fill="auto"/>
            <w:noWrap/>
            <w:hideMark/>
          </w:tcPr>
          <w:p w14:paraId="5EF38950" w14:textId="77777777" w:rsidR="00DF5185" w:rsidRPr="00150CD2" w:rsidRDefault="00DF5185"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single" w:sz="4" w:space="0" w:color="auto"/>
              <w:bottom w:val="single" w:sz="4" w:space="0" w:color="000000"/>
              <w:right w:val="single" w:sz="4" w:space="0" w:color="auto"/>
            </w:tcBorders>
            <w:shd w:val="clear" w:color="auto" w:fill="auto"/>
            <w:noWrap/>
            <w:hideMark/>
          </w:tcPr>
          <w:p w14:paraId="3FE7B082"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single" w:sz="4" w:space="0" w:color="auto"/>
              <w:bottom w:val="single" w:sz="4" w:space="0" w:color="000000"/>
              <w:right w:val="single" w:sz="4" w:space="0" w:color="auto"/>
            </w:tcBorders>
            <w:shd w:val="clear" w:color="000000" w:fill="92D050"/>
            <w:noWrap/>
            <w:hideMark/>
          </w:tcPr>
          <w:p w14:paraId="4AC4402D"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single" w:sz="4" w:space="0" w:color="auto"/>
              <w:bottom w:val="single" w:sz="4" w:space="0" w:color="000000"/>
              <w:right w:val="single" w:sz="4" w:space="0" w:color="auto"/>
            </w:tcBorders>
            <w:shd w:val="clear" w:color="auto" w:fill="auto"/>
            <w:noWrap/>
            <w:hideMark/>
          </w:tcPr>
          <w:p w14:paraId="334BE1C3"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single" w:sz="4" w:space="0" w:color="auto"/>
              <w:bottom w:val="single" w:sz="4" w:space="0" w:color="000000"/>
              <w:right w:val="single" w:sz="4" w:space="0" w:color="auto"/>
            </w:tcBorders>
            <w:shd w:val="clear" w:color="auto" w:fill="auto"/>
            <w:noWrap/>
            <w:hideMark/>
          </w:tcPr>
          <w:p w14:paraId="0120CD23"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630BEC1B" w14:textId="77777777" w:rsidTr="00DF5185">
        <w:tc>
          <w:tcPr>
            <w:tcW w:w="1184" w:type="dxa"/>
            <w:tcBorders>
              <w:left w:val="single" w:sz="4" w:space="0" w:color="auto"/>
              <w:right w:val="single" w:sz="4" w:space="0" w:color="auto"/>
            </w:tcBorders>
            <w:shd w:val="clear" w:color="000000" w:fill="7030A0"/>
            <w:tcMar>
              <w:left w:w="72" w:type="dxa"/>
            </w:tcMar>
            <w:vAlign w:val="center"/>
            <w:hideMark/>
          </w:tcPr>
          <w:p w14:paraId="7CC80F6B" w14:textId="77777777"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vAlign w:val="center"/>
            <w:hideMark/>
          </w:tcPr>
          <w:p w14:paraId="2204678C" w14:textId="77777777" w:rsidR="00DF5185" w:rsidRPr="00150CD2" w:rsidRDefault="00DF5185" w:rsidP="00DF5185">
            <w:pPr>
              <w:pStyle w:val="EYTableText"/>
              <w:rPr>
                <w:rFonts w:cs="Arial"/>
                <w:lang w:eastAsia="en-AU"/>
              </w:rPr>
            </w:pPr>
          </w:p>
        </w:tc>
        <w:tc>
          <w:tcPr>
            <w:tcW w:w="612" w:type="dxa"/>
            <w:tcBorders>
              <w:top w:val="single" w:sz="4" w:space="0" w:color="auto"/>
              <w:left w:val="nil"/>
              <w:bottom w:val="single" w:sz="4" w:space="0" w:color="auto"/>
              <w:right w:val="single" w:sz="4" w:space="0" w:color="auto"/>
            </w:tcBorders>
            <w:shd w:val="clear" w:color="auto" w:fill="auto"/>
            <w:noWrap/>
            <w:tcMar>
              <w:left w:w="72" w:type="dxa"/>
            </w:tcMar>
            <w:hideMark/>
          </w:tcPr>
          <w:p w14:paraId="1E051A16" w14:textId="77777777" w:rsidR="00DF5185" w:rsidRPr="00150CD2" w:rsidRDefault="00DF5185" w:rsidP="00DF5185">
            <w:pPr>
              <w:pStyle w:val="EYTableText"/>
              <w:rPr>
                <w:rFonts w:cs="Arial"/>
              </w:rPr>
            </w:pPr>
            <w:r w:rsidRPr="00150CD2">
              <w:rPr>
                <w:rFonts w:cs="Arial"/>
              </w:rPr>
              <w:t>2.1.2</w:t>
            </w:r>
          </w:p>
        </w:tc>
        <w:tc>
          <w:tcPr>
            <w:tcW w:w="3600" w:type="dxa"/>
            <w:tcBorders>
              <w:top w:val="nil"/>
              <w:left w:val="nil"/>
              <w:bottom w:val="single" w:sz="4" w:space="0" w:color="auto"/>
              <w:right w:val="single" w:sz="4" w:space="0" w:color="auto"/>
            </w:tcBorders>
            <w:shd w:val="clear" w:color="auto" w:fill="auto"/>
            <w:hideMark/>
          </w:tcPr>
          <w:p w14:paraId="44C6889F" w14:textId="77777777" w:rsidR="00DF5185" w:rsidRPr="00150CD2" w:rsidRDefault="00DF5185" w:rsidP="00DF5185">
            <w:pPr>
              <w:pStyle w:val="EYTableText"/>
              <w:rPr>
                <w:rFonts w:cs="Arial"/>
              </w:rPr>
            </w:pPr>
            <w:r w:rsidRPr="00150CD2">
              <w:rPr>
                <w:rFonts w:cs="Arial"/>
              </w:rPr>
              <w:t>Can express their identity</w:t>
            </w:r>
          </w:p>
        </w:tc>
        <w:tc>
          <w:tcPr>
            <w:tcW w:w="1584" w:type="dxa"/>
            <w:tcBorders>
              <w:top w:val="nil"/>
              <w:left w:val="nil"/>
              <w:bottom w:val="single" w:sz="4" w:space="0" w:color="auto"/>
              <w:right w:val="single" w:sz="4" w:space="0" w:color="auto"/>
            </w:tcBorders>
            <w:shd w:val="clear" w:color="auto" w:fill="auto"/>
            <w:noWrap/>
            <w:hideMark/>
          </w:tcPr>
          <w:p w14:paraId="0F74124F" w14:textId="77777777" w:rsidR="00DF5185" w:rsidRPr="00150CD2" w:rsidRDefault="00DF5185"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72EF0C4E"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49222EC3"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310FF695"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4C738DB1"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3AAE0208" w14:textId="77777777" w:rsidTr="00DF5185">
        <w:tc>
          <w:tcPr>
            <w:tcW w:w="1184" w:type="dxa"/>
            <w:tcBorders>
              <w:left w:val="single" w:sz="4" w:space="0" w:color="auto"/>
              <w:right w:val="single" w:sz="4" w:space="0" w:color="auto"/>
            </w:tcBorders>
            <w:shd w:val="clear" w:color="000000" w:fill="7030A0"/>
            <w:tcMar>
              <w:left w:w="72" w:type="dxa"/>
            </w:tcMar>
            <w:vAlign w:val="center"/>
            <w:hideMark/>
          </w:tcPr>
          <w:p w14:paraId="5B6DB5A7" w14:textId="77777777"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vAlign w:val="center"/>
            <w:hideMark/>
          </w:tcPr>
          <w:p w14:paraId="1ADEAC73"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6B8A7704" w14:textId="77777777" w:rsidR="00DF5185" w:rsidRPr="00150CD2" w:rsidRDefault="00DF5185" w:rsidP="00DF5185">
            <w:pPr>
              <w:pStyle w:val="EYTableText"/>
              <w:rPr>
                <w:rFonts w:cs="Arial"/>
              </w:rPr>
            </w:pPr>
            <w:r w:rsidRPr="00150CD2">
              <w:rPr>
                <w:rFonts w:cs="Arial"/>
              </w:rPr>
              <w:t>2.1.3</w:t>
            </w:r>
          </w:p>
        </w:tc>
        <w:tc>
          <w:tcPr>
            <w:tcW w:w="3600" w:type="dxa"/>
            <w:tcBorders>
              <w:top w:val="nil"/>
              <w:left w:val="nil"/>
              <w:bottom w:val="single" w:sz="4" w:space="0" w:color="auto"/>
              <w:right w:val="single" w:sz="4" w:space="0" w:color="auto"/>
            </w:tcBorders>
            <w:shd w:val="clear" w:color="auto" w:fill="auto"/>
            <w:hideMark/>
          </w:tcPr>
          <w:p w14:paraId="3A04B9FB" w14:textId="77777777" w:rsidR="00DF5185" w:rsidRPr="00150CD2" w:rsidRDefault="00DF5185" w:rsidP="00DF5185">
            <w:pPr>
              <w:pStyle w:val="EYTableText"/>
              <w:rPr>
                <w:rFonts w:cs="Arial"/>
              </w:rPr>
            </w:pPr>
            <w:r w:rsidRPr="00150CD2">
              <w:rPr>
                <w:rFonts w:cs="Arial"/>
              </w:rPr>
              <w:t>Are happy with their lives</w:t>
            </w:r>
          </w:p>
        </w:tc>
        <w:tc>
          <w:tcPr>
            <w:tcW w:w="1584" w:type="dxa"/>
            <w:tcBorders>
              <w:top w:val="nil"/>
              <w:left w:val="nil"/>
              <w:bottom w:val="single" w:sz="4" w:space="0" w:color="auto"/>
              <w:right w:val="single" w:sz="4" w:space="0" w:color="auto"/>
            </w:tcBorders>
            <w:shd w:val="clear" w:color="auto" w:fill="auto"/>
            <w:noWrap/>
            <w:hideMark/>
          </w:tcPr>
          <w:p w14:paraId="625FB0D1" w14:textId="77777777" w:rsidR="00DF5185" w:rsidRPr="00150CD2" w:rsidRDefault="00DF5185"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0C0F2B94"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647654B1"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3DE75892"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6F3DBEB7"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08AA0D14" w14:textId="77777777" w:rsidTr="00DF5185">
        <w:tc>
          <w:tcPr>
            <w:tcW w:w="1184" w:type="dxa"/>
            <w:tcBorders>
              <w:left w:val="single" w:sz="4" w:space="0" w:color="auto"/>
              <w:right w:val="single" w:sz="4" w:space="0" w:color="auto"/>
            </w:tcBorders>
            <w:shd w:val="clear" w:color="000000" w:fill="7030A0"/>
            <w:tcMar>
              <w:left w:w="72" w:type="dxa"/>
            </w:tcMar>
            <w:vAlign w:val="center"/>
            <w:hideMark/>
          </w:tcPr>
          <w:p w14:paraId="4090CBB1" w14:textId="77777777"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vAlign w:val="center"/>
            <w:hideMark/>
          </w:tcPr>
          <w:p w14:paraId="0DE31687"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5BE3E89F" w14:textId="77777777" w:rsidR="00DF5185" w:rsidRPr="00150CD2" w:rsidRDefault="00DF5185" w:rsidP="00DF5185">
            <w:pPr>
              <w:pStyle w:val="EYTableText"/>
              <w:rPr>
                <w:rFonts w:cs="Arial"/>
              </w:rPr>
            </w:pPr>
            <w:r w:rsidRPr="00150CD2">
              <w:rPr>
                <w:rFonts w:cs="Arial"/>
              </w:rPr>
              <w:t>2.1.4</w:t>
            </w:r>
          </w:p>
        </w:tc>
        <w:tc>
          <w:tcPr>
            <w:tcW w:w="3600" w:type="dxa"/>
            <w:tcBorders>
              <w:top w:val="nil"/>
              <w:left w:val="nil"/>
              <w:bottom w:val="single" w:sz="4" w:space="0" w:color="auto"/>
              <w:right w:val="single" w:sz="4" w:space="0" w:color="auto"/>
            </w:tcBorders>
            <w:shd w:val="clear" w:color="auto" w:fill="auto"/>
            <w:hideMark/>
          </w:tcPr>
          <w:p w14:paraId="516002B6" w14:textId="77777777" w:rsidR="00DF5185" w:rsidRPr="00150CD2" w:rsidRDefault="00DF5185" w:rsidP="00DF5185">
            <w:pPr>
              <w:pStyle w:val="EYTableText"/>
              <w:rPr>
                <w:rFonts w:cs="Arial"/>
              </w:rPr>
            </w:pPr>
            <w:r w:rsidRPr="00150CD2">
              <w:rPr>
                <w:rFonts w:cs="Arial"/>
              </w:rPr>
              <w:t>Trust people who are important to them</w:t>
            </w:r>
          </w:p>
        </w:tc>
        <w:tc>
          <w:tcPr>
            <w:tcW w:w="1584" w:type="dxa"/>
            <w:tcBorders>
              <w:top w:val="nil"/>
              <w:left w:val="nil"/>
              <w:bottom w:val="single" w:sz="4" w:space="0" w:color="auto"/>
              <w:right w:val="single" w:sz="4" w:space="0" w:color="auto"/>
            </w:tcBorders>
            <w:shd w:val="clear" w:color="auto" w:fill="auto"/>
            <w:noWrap/>
            <w:hideMark/>
          </w:tcPr>
          <w:p w14:paraId="6B54EFFC" w14:textId="77777777" w:rsidR="00DF5185" w:rsidRPr="00150CD2" w:rsidRDefault="00DF5185"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348777A8"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3B00100"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9F07F51"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6A510E94"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3EFD3F54" w14:textId="77777777" w:rsidTr="00DF5185">
        <w:tc>
          <w:tcPr>
            <w:tcW w:w="1184" w:type="dxa"/>
            <w:tcBorders>
              <w:left w:val="single" w:sz="4" w:space="0" w:color="auto"/>
              <w:right w:val="single" w:sz="4" w:space="0" w:color="auto"/>
            </w:tcBorders>
            <w:shd w:val="clear" w:color="000000" w:fill="7030A0"/>
            <w:tcMar>
              <w:left w:w="72" w:type="dxa"/>
            </w:tcMar>
            <w:vAlign w:val="center"/>
            <w:hideMark/>
          </w:tcPr>
          <w:p w14:paraId="7EC47721" w14:textId="77777777"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vAlign w:val="center"/>
            <w:hideMark/>
          </w:tcPr>
          <w:p w14:paraId="521B1609"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74294A95" w14:textId="77777777" w:rsidR="00DF5185" w:rsidRPr="00150CD2" w:rsidRDefault="00DF5185" w:rsidP="00DF5185">
            <w:pPr>
              <w:pStyle w:val="EYTableText"/>
              <w:rPr>
                <w:rFonts w:cs="Arial"/>
              </w:rPr>
            </w:pPr>
            <w:r w:rsidRPr="00150CD2">
              <w:rPr>
                <w:rFonts w:cs="Arial"/>
              </w:rPr>
              <w:t>2.1.5</w:t>
            </w:r>
          </w:p>
        </w:tc>
        <w:tc>
          <w:tcPr>
            <w:tcW w:w="3600" w:type="dxa"/>
            <w:tcBorders>
              <w:top w:val="nil"/>
              <w:left w:val="nil"/>
              <w:bottom w:val="single" w:sz="4" w:space="0" w:color="auto"/>
              <w:right w:val="single" w:sz="4" w:space="0" w:color="auto"/>
            </w:tcBorders>
            <w:shd w:val="clear" w:color="auto" w:fill="auto"/>
            <w:hideMark/>
          </w:tcPr>
          <w:p w14:paraId="6F1F24DF" w14:textId="77777777" w:rsidR="00DF5185" w:rsidRPr="00150CD2" w:rsidRDefault="00DF5185" w:rsidP="00DF5185">
            <w:pPr>
              <w:pStyle w:val="EYTableText"/>
              <w:rPr>
                <w:rFonts w:cs="Arial"/>
              </w:rPr>
            </w:pPr>
            <w:r w:rsidRPr="00150CD2">
              <w:rPr>
                <w:rFonts w:cs="Arial"/>
              </w:rPr>
              <w:t>Are able to cope with life's challenges</w:t>
            </w:r>
          </w:p>
        </w:tc>
        <w:tc>
          <w:tcPr>
            <w:tcW w:w="1584" w:type="dxa"/>
            <w:tcBorders>
              <w:top w:val="nil"/>
              <w:left w:val="nil"/>
              <w:bottom w:val="single" w:sz="4" w:space="0" w:color="auto"/>
              <w:right w:val="single" w:sz="4" w:space="0" w:color="auto"/>
            </w:tcBorders>
            <w:shd w:val="clear" w:color="auto" w:fill="auto"/>
            <w:noWrap/>
            <w:hideMark/>
          </w:tcPr>
          <w:p w14:paraId="18D66AD6" w14:textId="77777777" w:rsidR="00DF5185" w:rsidRPr="00150CD2" w:rsidRDefault="00DF5185"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74CD55E7"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4146E290"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4644B385"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54A7DDEA"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749EEF6D" w14:textId="77777777" w:rsidTr="00DF5185">
        <w:tc>
          <w:tcPr>
            <w:tcW w:w="1184" w:type="dxa"/>
            <w:tcBorders>
              <w:left w:val="single" w:sz="4" w:space="0" w:color="auto"/>
              <w:right w:val="single" w:sz="4" w:space="0" w:color="auto"/>
            </w:tcBorders>
            <w:shd w:val="clear" w:color="000000" w:fill="7030A0"/>
            <w:tcMar>
              <w:left w:w="72" w:type="dxa"/>
            </w:tcMar>
            <w:vAlign w:val="center"/>
            <w:hideMark/>
          </w:tcPr>
          <w:p w14:paraId="1473420D" w14:textId="77777777"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vAlign w:val="center"/>
            <w:hideMark/>
          </w:tcPr>
          <w:p w14:paraId="24B9999B"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7F46A194" w14:textId="77777777" w:rsidR="00DF5185" w:rsidRPr="00150CD2" w:rsidRDefault="00DF5185" w:rsidP="00DF5185">
            <w:pPr>
              <w:pStyle w:val="EYTableText"/>
              <w:rPr>
                <w:rFonts w:cs="Arial"/>
              </w:rPr>
            </w:pPr>
            <w:r w:rsidRPr="00150CD2">
              <w:rPr>
                <w:rFonts w:cs="Arial"/>
              </w:rPr>
              <w:t>2.1.6</w:t>
            </w:r>
          </w:p>
        </w:tc>
        <w:tc>
          <w:tcPr>
            <w:tcW w:w="3600" w:type="dxa"/>
            <w:tcBorders>
              <w:top w:val="nil"/>
              <w:left w:val="nil"/>
              <w:bottom w:val="single" w:sz="4" w:space="0" w:color="auto"/>
              <w:right w:val="single" w:sz="4" w:space="0" w:color="auto"/>
            </w:tcBorders>
            <w:shd w:val="clear" w:color="auto" w:fill="auto"/>
            <w:hideMark/>
          </w:tcPr>
          <w:p w14:paraId="53B1958A" w14:textId="77777777" w:rsidR="00DF5185" w:rsidRPr="00150CD2" w:rsidRDefault="00DF5185" w:rsidP="00DF5185">
            <w:pPr>
              <w:pStyle w:val="EYTableText"/>
              <w:rPr>
                <w:rFonts w:cs="Arial"/>
              </w:rPr>
            </w:pPr>
            <w:r w:rsidRPr="00150CD2">
              <w:rPr>
                <w:rFonts w:cs="Arial"/>
              </w:rPr>
              <w:t>Have a positive self-concept</w:t>
            </w:r>
          </w:p>
        </w:tc>
        <w:tc>
          <w:tcPr>
            <w:tcW w:w="1584" w:type="dxa"/>
            <w:tcBorders>
              <w:top w:val="nil"/>
              <w:left w:val="nil"/>
              <w:bottom w:val="single" w:sz="4" w:space="0" w:color="auto"/>
              <w:right w:val="single" w:sz="4" w:space="0" w:color="auto"/>
            </w:tcBorders>
            <w:shd w:val="clear" w:color="auto" w:fill="auto"/>
            <w:noWrap/>
            <w:hideMark/>
          </w:tcPr>
          <w:p w14:paraId="5EC2A2D3" w14:textId="77777777" w:rsidR="00DF5185" w:rsidRPr="00150CD2" w:rsidRDefault="00DF5185"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6BED74BB"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6C65FEA"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5B6C3B16"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62239C19"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502CEAC4" w14:textId="77777777" w:rsidTr="00DF5185">
        <w:tc>
          <w:tcPr>
            <w:tcW w:w="1184" w:type="dxa"/>
            <w:tcBorders>
              <w:left w:val="single" w:sz="4" w:space="0" w:color="auto"/>
              <w:right w:val="single" w:sz="4" w:space="0" w:color="auto"/>
            </w:tcBorders>
            <w:shd w:val="clear" w:color="000000" w:fill="7030A0"/>
            <w:tcMar>
              <w:left w:w="72" w:type="dxa"/>
            </w:tcMar>
            <w:vAlign w:val="center"/>
            <w:hideMark/>
          </w:tcPr>
          <w:p w14:paraId="10541E63" w14:textId="77777777" w:rsidR="00DF5185" w:rsidRPr="00150CD2" w:rsidRDefault="00DF5185" w:rsidP="00DF5185">
            <w:pPr>
              <w:pStyle w:val="EYTableText"/>
              <w:rPr>
                <w:rFonts w:cs="Arial"/>
              </w:rPr>
            </w:pPr>
          </w:p>
        </w:tc>
        <w:tc>
          <w:tcPr>
            <w:tcW w:w="2016" w:type="dxa"/>
            <w:tcBorders>
              <w:left w:val="single" w:sz="4" w:space="0" w:color="auto"/>
              <w:bottom w:val="single" w:sz="4" w:space="0" w:color="000000"/>
              <w:right w:val="single" w:sz="4" w:space="0" w:color="auto"/>
            </w:tcBorders>
            <w:shd w:val="clear" w:color="auto" w:fill="auto"/>
            <w:tcMar>
              <w:left w:w="72" w:type="dxa"/>
            </w:tcMar>
            <w:vAlign w:val="center"/>
            <w:hideMark/>
          </w:tcPr>
          <w:p w14:paraId="061E8420"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5BBF7007" w14:textId="77777777" w:rsidR="00DF5185" w:rsidRPr="00150CD2" w:rsidRDefault="00DF5185" w:rsidP="00DF5185">
            <w:pPr>
              <w:pStyle w:val="EYTableText"/>
              <w:rPr>
                <w:rFonts w:cs="Arial"/>
              </w:rPr>
            </w:pPr>
            <w:r w:rsidRPr="00150CD2">
              <w:rPr>
                <w:rFonts w:cs="Arial"/>
              </w:rPr>
              <w:t>2.1.7</w:t>
            </w:r>
          </w:p>
        </w:tc>
        <w:tc>
          <w:tcPr>
            <w:tcW w:w="3600" w:type="dxa"/>
            <w:tcBorders>
              <w:top w:val="nil"/>
              <w:left w:val="nil"/>
              <w:bottom w:val="single" w:sz="4" w:space="0" w:color="auto"/>
              <w:right w:val="single" w:sz="4" w:space="0" w:color="auto"/>
            </w:tcBorders>
            <w:shd w:val="clear" w:color="auto" w:fill="auto"/>
            <w:hideMark/>
          </w:tcPr>
          <w:p w14:paraId="5A39A36B" w14:textId="02776BF1" w:rsidR="00DF5185" w:rsidRPr="00150CD2" w:rsidRDefault="00DF5185" w:rsidP="00DF5185">
            <w:pPr>
              <w:pStyle w:val="EYTableText"/>
              <w:rPr>
                <w:rFonts w:cs="Arial"/>
              </w:rPr>
            </w:pPr>
            <w:r w:rsidRPr="00150CD2">
              <w:rPr>
                <w:rFonts w:cs="Arial"/>
              </w:rPr>
              <w:t>Know who to ask for help, advice and support if they need it</w:t>
            </w:r>
          </w:p>
        </w:tc>
        <w:tc>
          <w:tcPr>
            <w:tcW w:w="1584" w:type="dxa"/>
            <w:tcBorders>
              <w:top w:val="nil"/>
              <w:left w:val="nil"/>
              <w:bottom w:val="single" w:sz="4" w:space="0" w:color="auto"/>
              <w:right w:val="single" w:sz="4" w:space="0" w:color="auto"/>
            </w:tcBorders>
            <w:shd w:val="clear" w:color="auto" w:fill="auto"/>
            <w:noWrap/>
            <w:hideMark/>
          </w:tcPr>
          <w:p w14:paraId="703F28C5" w14:textId="77777777" w:rsidR="00DF5185" w:rsidRPr="00150CD2" w:rsidRDefault="00DF5185"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auto" w:fill="92D050"/>
            <w:noWrap/>
            <w:hideMark/>
          </w:tcPr>
          <w:p w14:paraId="420BF2CB"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36EC4C9"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9F342E5"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45A216E"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22A965A3" w14:textId="77777777" w:rsidTr="00DF5185">
        <w:tc>
          <w:tcPr>
            <w:tcW w:w="1184" w:type="dxa"/>
            <w:tcBorders>
              <w:left w:val="single" w:sz="4" w:space="0" w:color="auto"/>
              <w:right w:val="single" w:sz="4" w:space="0" w:color="auto"/>
            </w:tcBorders>
            <w:shd w:val="clear" w:color="000000" w:fill="7030A0"/>
            <w:tcMar>
              <w:left w:w="72" w:type="dxa"/>
            </w:tcMar>
            <w:vAlign w:val="center"/>
            <w:hideMark/>
          </w:tcPr>
          <w:p w14:paraId="6637344C" w14:textId="77777777" w:rsidR="00DF5185" w:rsidRPr="00150CD2" w:rsidRDefault="00DF5185" w:rsidP="00DF5185">
            <w:pPr>
              <w:pStyle w:val="EYTableText"/>
              <w:rPr>
                <w:rFonts w:cs="Arial"/>
              </w:rPr>
            </w:pPr>
          </w:p>
        </w:tc>
        <w:tc>
          <w:tcPr>
            <w:tcW w:w="2016" w:type="dxa"/>
            <w:tcBorders>
              <w:top w:val="single" w:sz="4" w:space="0" w:color="000000"/>
              <w:left w:val="single" w:sz="4" w:space="0" w:color="auto"/>
              <w:right w:val="single" w:sz="4" w:space="0" w:color="auto"/>
            </w:tcBorders>
            <w:shd w:val="clear" w:color="auto" w:fill="auto"/>
            <w:tcMar>
              <w:left w:w="72" w:type="dxa"/>
            </w:tcMar>
            <w:vAlign w:val="center"/>
            <w:hideMark/>
          </w:tcPr>
          <w:p w14:paraId="6EDE324E" w14:textId="77777777" w:rsidR="00DF5185" w:rsidRPr="00150CD2" w:rsidRDefault="00DF5185" w:rsidP="00DF5185">
            <w:pPr>
              <w:pStyle w:val="EYTableText"/>
              <w:rPr>
                <w:rFonts w:cs="Arial"/>
                <w:lang w:eastAsia="en-AU"/>
              </w:rPr>
            </w:pPr>
            <w:r w:rsidRPr="00150CD2">
              <w:rPr>
                <w:rFonts w:cs="Arial"/>
                <w:lang w:eastAsia="en-AU"/>
              </w:rPr>
              <w:t>People with disabilities, and those who are caring for them, have the knowledge and resources to maintain and improve their physical and mental health</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5D3CCD59" w14:textId="77777777" w:rsidR="00DF5185" w:rsidRPr="00150CD2" w:rsidRDefault="00DF5185" w:rsidP="00DF5185">
            <w:pPr>
              <w:pStyle w:val="EYTableText"/>
              <w:rPr>
                <w:rFonts w:cs="Arial"/>
              </w:rPr>
            </w:pPr>
            <w:r w:rsidRPr="00150CD2">
              <w:rPr>
                <w:rFonts w:cs="Arial"/>
              </w:rPr>
              <w:t>2.2.1</w:t>
            </w:r>
          </w:p>
        </w:tc>
        <w:tc>
          <w:tcPr>
            <w:tcW w:w="3600" w:type="dxa"/>
            <w:tcBorders>
              <w:top w:val="nil"/>
              <w:left w:val="nil"/>
              <w:bottom w:val="single" w:sz="4" w:space="0" w:color="auto"/>
              <w:right w:val="single" w:sz="4" w:space="0" w:color="auto"/>
            </w:tcBorders>
            <w:shd w:val="clear" w:color="auto" w:fill="auto"/>
            <w:hideMark/>
          </w:tcPr>
          <w:p w14:paraId="009EC8A5" w14:textId="77777777" w:rsidR="00DF5185" w:rsidRPr="00150CD2" w:rsidRDefault="00DF5185" w:rsidP="00DF5185">
            <w:pPr>
              <w:pStyle w:val="EYTableText"/>
              <w:rPr>
                <w:rFonts w:cs="Arial"/>
              </w:rPr>
            </w:pPr>
            <w:r w:rsidRPr="00150CD2">
              <w:rPr>
                <w:rFonts w:cs="Arial"/>
              </w:rPr>
              <w:t>Have seen a family doctor/GP/nurse/pharmacist/other health care worker in the last 12 months</w:t>
            </w:r>
          </w:p>
        </w:tc>
        <w:tc>
          <w:tcPr>
            <w:tcW w:w="1584" w:type="dxa"/>
            <w:tcBorders>
              <w:top w:val="nil"/>
              <w:left w:val="nil"/>
              <w:bottom w:val="single" w:sz="4" w:space="0" w:color="auto"/>
              <w:right w:val="single" w:sz="4" w:space="0" w:color="auto"/>
            </w:tcBorders>
            <w:shd w:val="clear" w:color="auto" w:fill="auto"/>
            <w:noWrap/>
            <w:hideMark/>
          </w:tcPr>
          <w:p w14:paraId="66841856" w14:textId="77777777" w:rsidR="00DF5185" w:rsidRPr="00150CD2" w:rsidRDefault="00DF5185"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74A6967F"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350642E3"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6D8EE753"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E4D5D61"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4F4DA1ED" w14:textId="77777777" w:rsidTr="00DF5185">
        <w:tc>
          <w:tcPr>
            <w:tcW w:w="1184" w:type="dxa"/>
            <w:tcBorders>
              <w:left w:val="single" w:sz="4" w:space="0" w:color="auto"/>
              <w:right w:val="single" w:sz="4" w:space="0" w:color="auto"/>
            </w:tcBorders>
            <w:shd w:val="clear" w:color="000000" w:fill="7030A0"/>
            <w:tcMar>
              <w:left w:w="72" w:type="dxa"/>
            </w:tcMar>
            <w:vAlign w:val="center"/>
            <w:hideMark/>
          </w:tcPr>
          <w:p w14:paraId="57ACD85C" w14:textId="77777777" w:rsidR="00DF5185" w:rsidRPr="00150CD2" w:rsidRDefault="00DF5185" w:rsidP="00DF5185">
            <w:pPr>
              <w:pStyle w:val="EYTableText"/>
              <w:rPr>
                <w:rFonts w:cs="Arial"/>
              </w:rPr>
            </w:pPr>
          </w:p>
        </w:tc>
        <w:tc>
          <w:tcPr>
            <w:tcW w:w="2016" w:type="dxa"/>
            <w:tcBorders>
              <w:top w:val="nil"/>
              <w:left w:val="single" w:sz="4" w:space="0" w:color="auto"/>
              <w:right w:val="single" w:sz="4" w:space="0" w:color="auto"/>
            </w:tcBorders>
            <w:shd w:val="clear" w:color="auto" w:fill="auto"/>
            <w:tcMar>
              <w:left w:w="72" w:type="dxa"/>
            </w:tcMar>
            <w:vAlign w:val="center"/>
            <w:hideMark/>
          </w:tcPr>
          <w:p w14:paraId="1CF51977"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01DEAE1F" w14:textId="77777777" w:rsidR="00DF5185" w:rsidRPr="00150CD2" w:rsidRDefault="00DF5185" w:rsidP="00DF5185">
            <w:pPr>
              <w:pStyle w:val="EYTableText"/>
              <w:rPr>
                <w:rFonts w:cs="Arial"/>
              </w:rPr>
            </w:pPr>
            <w:r w:rsidRPr="00150CD2">
              <w:rPr>
                <w:rFonts w:cs="Arial"/>
              </w:rPr>
              <w:t>2.2.2</w:t>
            </w:r>
          </w:p>
        </w:tc>
        <w:tc>
          <w:tcPr>
            <w:tcW w:w="3600" w:type="dxa"/>
            <w:tcBorders>
              <w:top w:val="nil"/>
              <w:left w:val="nil"/>
              <w:bottom w:val="single" w:sz="4" w:space="0" w:color="auto"/>
              <w:right w:val="single" w:sz="4" w:space="0" w:color="auto"/>
            </w:tcBorders>
            <w:shd w:val="clear" w:color="auto" w:fill="auto"/>
            <w:hideMark/>
          </w:tcPr>
          <w:p w14:paraId="56CA7E1A" w14:textId="77777777" w:rsidR="00DF5185" w:rsidRPr="00150CD2" w:rsidRDefault="00DF5185" w:rsidP="00DF5185">
            <w:pPr>
              <w:pStyle w:val="EYTableText"/>
              <w:rPr>
                <w:rFonts w:cs="Arial"/>
              </w:rPr>
            </w:pPr>
            <w:r w:rsidRPr="00150CD2">
              <w:rPr>
                <w:rFonts w:cs="Arial"/>
              </w:rPr>
              <w:t>B4 School Check outcomes</w:t>
            </w:r>
          </w:p>
        </w:tc>
        <w:tc>
          <w:tcPr>
            <w:tcW w:w="1584" w:type="dxa"/>
            <w:tcBorders>
              <w:top w:val="nil"/>
              <w:left w:val="nil"/>
              <w:bottom w:val="single" w:sz="4" w:space="0" w:color="auto"/>
              <w:right w:val="single" w:sz="4" w:space="0" w:color="auto"/>
            </w:tcBorders>
            <w:shd w:val="clear" w:color="auto" w:fill="auto"/>
            <w:noWrap/>
            <w:hideMark/>
          </w:tcPr>
          <w:p w14:paraId="3154970C" w14:textId="77777777" w:rsidR="00DF5185" w:rsidRPr="00150CD2" w:rsidRDefault="00DF5185"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15336B8C"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68371A83"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34A92CB2"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59247D42"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005DBE20" w14:textId="77777777" w:rsidTr="00DF5185">
        <w:tc>
          <w:tcPr>
            <w:tcW w:w="1184" w:type="dxa"/>
            <w:tcBorders>
              <w:left w:val="single" w:sz="4" w:space="0" w:color="auto"/>
              <w:right w:val="single" w:sz="4" w:space="0" w:color="auto"/>
            </w:tcBorders>
            <w:shd w:val="clear" w:color="000000" w:fill="7030A0"/>
            <w:tcMar>
              <w:left w:w="72" w:type="dxa"/>
            </w:tcMar>
            <w:vAlign w:val="center"/>
            <w:hideMark/>
          </w:tcPr>
          <w:p w14:paraId="7049DD2F" w14:textId="77777777" w:rsidR="00DF5185" w:rsidRPr="00150CD2" w:rsidRDefault="00DF5185" w:rsidP="00DF5185">
            <w:pPr>
              <w:pStyle w:val="EYTableText"/>
              <w:rPr>
                <w:rFonts w:cs="Arial"/>
              </w:rPr>
            </w:pPr>
          </w:p>
        </w:tc>
        <w:tc>
          <w:tcPr>
            <w:tcW w:w="2016" w:type="dxa"/>
            <w:tcBorders>
              <w:top w:val="nil"/>
              <w:left w:val="single" w:sz="4" w:space="0" w:color="auto"/>
              <w:right w:val="single" w:sz="4" w:space="0" w:color="auto"/>
            </w:tcBorders>
            <w:shd w:val="clear" w:color="auto" w:fill="auto"/>
            <w:tcMar>
              <w:left w:w="72" w:type="dxa"/>
            </w:tcMar>
            <w:vAlign w:val="center"/>
            <w:hideMark/>
          </w:tcPr>
          <w:p w14:paraId="5CB736FA"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7BC50C07" w14:textId="77777777" w:rsidR="00DF5185" w:rsidRPr="00150CD2" w:rsidRDefault="00DF5185" w:rsidP="00DF5185">
            <w:pPr>
              <w:pStyle w:val="EYTableText"/>
              <w:rPr>
                <w:rFonts w:cs="Arial"/>
              </w:rPr>
            </w:pPr>
            <w:r w:rsidRPr="00150CD2">
              <w:rPr>
                <w:rFonts w:cs="Arial"/>
              </w:rPr>
              <w:t>2.2.3</w:t>
            </w:r>
          </w:p>
        </w:tc>
        <w:tc>
          <w:tcPr>
            <w:tcW w:w="3600" w:type="dxa"/>
            <w:tcBorders>
              <w:top w:val="nil"/>
              <w:left w:val="nil"/>
              <w:bottom w:val="single" w:sz="4" w:space="0" w:color="auto"/>
              <w:right w:val="single" w:sz="4" w:space="0" w:color="auto"/>
            </w:tcBorders>
            <w:shd w:val="clear" w:color="auto" w:fill="auto"/>
            <w:hideMark/>
          </w:tcPr>
          <w:p w14:paraId="516B685F" w14:textId="0886F8F0" w:rsidR="00DF5185" w:rsidRPr="00150CD2" w:rsidRDefault="00DF5185" w:rsidP="00DF5185">
            <w:pPr>
              <w:pStyle w:val="EYTableText"/>
              <w:rPr>
                <w:rFonts w:cs="Arial"/>
              </w:rPr>
            </w:pPr>
            <w:r w:rsidRPr="00150CD2">
              <w:rPr>
                <w:rFonts w:cs="Arial"/>
              </w:rPr>
              <w:t>Internal Ministry data on service contact, e.g.: Screening e.g. breast, cervical, bowel cancers</w:t>
            </w:r>
            <w:r w:rsidRPr="00150CD2">
              <w:rPr>
                <w:rFonts w:cs="Arial"/>
              </w:rPr>
              <w:br/>
              <w:t>GP consultations</w:t>
            </w:r>
          </w:p>
          <w:p w14:paraId="3CA2FF54" w14:textId="77777777" w:rsidR="00DF5185" w:rsidRPr="00150CD2" w:rsidRDefault="00DF5185" w:rsidP="00DF5185">
            <w:pPr>
              <w:pStyle w:val="EYTableText"/>
              <w:rPr>
                <w:rFonts w:cs="Arial"/>
              </w:rPr>
            </w:pPr>
            <w:r w:rsidRPr="00150CD2">
              <w:rPr>
                <w:rFonts w:cs="Arial"/>
              </w:rPr>
              <w:t>Child Development Services</w:t>
            </w:r>
          </w:p>
          <w:p w14:paraId="208FD9DB" w14:textId="52C5FFED" w:rsidR="00DF5185" w:rsidRPr="00150CD2" w:rsidRDefault="00DF5185" w:rsidP="00DF5185">
            <w:pPr>
              <w:pStyle w:val="EYTableText"/>
              <w:rPr>
                <w:rFonts w:cs="Arial"/>
              </w:rPr>
            </w:pPr>
            <w:r w:rsidRPr="00150CD2">
              <w:rPr>
                <w:rFonts w:cs="Arial"/>
              </w:rPr>
              <w:t>Health Survey</w:t>
            </w:r>
          </w:p>
        </w:tc>
        <w:tc>
          <w:tcPr>
            <w:tcW w:w="1584" w:type="dxa"/>
            <w:tcBorders>
              <w:top w:val="nil"/>
              <w:left w:val="nil"/>
              <w:bottom w:val="single" w:sz="4" w:space="0" w:color="auto"/>
              <w:right w:val="single" w:sz="4" w:space="0" w:color="auto"/>
            </w:tcBorders>
            <w:shd w:val="clear" w:color="auto" w:fill="auto"/>
            <w:noWrap/>
            <w:hideMark/>
          </w:tcPr>
          <w:p w14:paraId="49A57C20" w14:textId="77777777" w:rsidR="00DF5185" w:rsidRPr="00150CD2" w:rsidRDefault="00DF5185"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6C97C219"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2CC9208"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26DD5EB"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FFE600"/>
            <w:noWrap/>
            <w:hideMark/>
          </w:tcPr>
          <w:p w14:paraId="6AB46924" w14:textId="1962B3F2" w:rsidR="00DF5185" w:rsidRPr="00150CD2" w:rsidRDefault="00DF5185" w:rsidP="00DF5185">
            <w:pPr>
              <w:pStyle w:val="EYTableText"/>
              <w:rPr>
                <w:rFonts w:cs="Arial"/>
                <w:lang w:eastAsia="en-AU"/>
              </w:rPr>
            </w:pPr>
            <w:r w:rsidRPr="00150CD2">
              <w:rPr>
                <w:rFonts w:cs="Arial"/>
              </w:rPr>
              <w:t>Further investigation by the  Ministry</w:t>
            </w:r>
          </w:p>
        </w:tc>
      </w:tr>
      <w:tr w:rsidR="00DF5185" w:rsidRPr="00150CD2" w14:paraId="799BA0CF" w14:textId="77777777" w:rsidTr="00DF5185">
        <w:tc>
          <w:tcPr>
            <w:tcW w:w="1184" w:type="dxa"/>
            <w:tcBorders>
              <w:left w:val="single" w:sz="4" w:space="0" w:color="auto"/>
              <w:right w:val="single" w:sz="4" w:space="0" w:color="auto"/>
            </w:tcBorders>
            <w:shd w:val="clear" w:color="000000" w:fill="7030A0"/>
            <w:tcMar>
              <w:left w:w="72" w:type="dxa"/>
            </w:tcMar>
            <w:vAlign w:val="center"/>
            <w:hideMark/>
          </w:tcPr>
          <w:p w14:paraId="27537B36" w14:textId="77777777" w:rsidR="00DF5185" w:rsidRPr="00150CD2" w:rsidRDefault="00DF5185" w:rsidP="00DF5185">
            <w:pPr>
              <w:pStyle w:val="EYTableText"/>
              <w:rPr>
                <w:rFonts w:cs="Arial"/>
              </w:rPr>
            </w:pPr>
          </w:p>
        </w:tc>
        <w:tc>
          <w:tcPr>
            <w:tcW w:w="2016" w:type="dxa"/>
            <w:tcBorders>
              <w:top w:val="nil"/>
              <w:left w:val="single" w:sz="4" w:space="0" w:color="auto"/>
              <w:right w:val="single" w:sz="4" w:space="0" w:color="auto"/>
            </w:tcBorders>
            <w:shd w:val="clear" w:color="auto" w:fill="auto"/>
            <w:tcMar>
              <w:left w:w="72" w:type="dxa"/>
            </w:tcMar>
            <w:vAlign w:val="center"/>
            <w:hideMark/>
          </w:tcPr>
          <w:p w14:paraId="48AA9930"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53C3B51B" w14:textId="77777777" w:rsidR="00DF5185" w:rsidRPr="00150CD2" w:rsidRDefault="00DF5185" w:rsidP="00DF5185">
            <w:pPr>
              <w:pStyle w:val="EYTableText"/>
              <w:rPr>
                <w:rFonts w:cs="Arial"/>
              </w:rPr>
            </w:pPr>
            <w:r w:rsidRPr="00150CD2">
              <w:rPr>
                <w:rFonts w:cs="Arial"/>
              </w:rPr>
              <w:t>2.2.4</w:t>
            </w:r>
          </w:p>
        </w:tc>
        <w:tc>
          <w:tcPr>
            <w:tcW w:w="3600" w:type="dxa"/>
            <w:tcBorders>
              <w:top w:val="nil"/>
              <w:left w:val="nil"/>
              <w:bottom w:val="single" w:sz="4" w:space="0" w:color="auto"/>
              <w:right w:val="single" w:sz="4" w:space="0" w:color="auto"/>
            </w:tcBorders>
            <w:shd w:val="clear" w:color="auto" w:fill="auto"/>
            <w:hideMark/>
          </w:tcPr>
          <w:p w14:paraId="1607B184" w14:textId="77777777" w:rsidR="00DF5185" w:rsidRPr="00150CD2" w:rsidRDefault="00DF5185" w:rsidP="00DF5185">
            <w:pPr>
              <w:pStyle w:val="EYTableText"/>
              <w:rPr>
                <w:rFonts w:cs="Arial"/>
              </w:rPr>
            </w:pPr>
            <w:r w:rsidRPr="00150CD2">
              <w:rPr>
                <w:rFonts w:cs="Arial"/>
              </w:rPr>
              <w:t>National immunisation register</w:t>
            </w:r>
            <w:r w:rsidRPr="00150CD2">
              <w:rPr>
                <w:rFonts w:cs="Arial"/>
              </w:rPr>
              <w:br/>
              <w:t>PHO enrolment</w:t>
            </w:r>
          </w:p>
        </w:tc>
        <w:tc>
          <w:tcPr>
            <w:tcW w:w="1584" w:type="dxa"/>
            <w:tcBorders>
              <w:top w:val="nil"/>
              <w:left w:val="nil"/>
              <w:bottom w:val="single" w:sz="4" w:space="0" w:color="auto"/>
              <w:right w:val="single" w:sz="4" w:space="0" w:color="auto"/>
            </w:tcBorders>
            <w:shd w:val="clear" w:color="auto" w:fill="auto"/>
            <w:noWrap/>
            <w:hideMark/>
          </w:tcPr>
          <w:p w14:paraId="4031CD39" w14:textId="77777777" w:rsidR="00DF5185" w:rsidRPr="00150CD2" w:rsidRDefault="00DF5185"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519AED5B"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97A22BA"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FFE600"/>
            <w:noWrap/>
            <w:hideMark/>
          </w:tcPr>
          <w:p w14:paraId="1CF804DB"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1DF04DF"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1DA8747B" w14:textId="77777777" w:rsidTr="00DF5185">
        <w:tc>
          <w:tcPr>
            <w:tcW w:w="1184" w:type="dxa"/>
            <w:tcBorders>
              <w:left w:val="single" w:sz="4" w:space="0" w:color="auto"/>
              <w:right w:val="single" w:sz="4" w:space="0" w:color="auto"/>
            </w:tcBorders>
            <w:shd w:val="clear" w:color="000000" w:fill="7030A0"/>
            <w:tcMar>
              <w:left w:w="72" w:type="dxa"/>
            </w:tcMar>
            <w:vAlign w:val="center"/>
            <w:hideMark/>
          </w:tcPr>
          <w:p w14:paraId="62752A58" w14:textId="77777777" w:rsidR="00DF5185" w:rsidRPr="00150CD2" w:rsidRDefault="00DF5185" w:rsidP="00DF5185">
            <w:pPr>
              <w:pStyle w:val="EYTableText"/>
              <w:rPr>
                <w:rFonts w:cs="Arial"/>
              </w:rPr>
            </w:pPr>
          </w:p>
        </w:tc>
        <w:tc>
          <w:tcPr>
            <w:tcW w:w="2016" w:type="dxa"/>
            <w:tcBorders>
              <w:top w:val="nil"/>
              <w:left w:val="single" w:sz="4" w:space="0" w:color="auto"/>
              <w:right w:val="single" w:sz="4" w:space="0" w:color="auto"/>
            </w:tcBorders>
            <w:shd w:val="clear" w:color="auto" w:fill="auto"/>
            <w:tcMar>
              <w:left w:w="72" w:type="dxa"/>
            </w:tcMar>
            <w:vAlign w:val="center"/>
            <w:hideMark/>
          </w:tcPr>
          <w:p w14:paraId="43E669A1"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796F2265" w14:textId="77777777" w:rsidR="00DF5185" w:rsidRPr="00150CD2" w:rsidRDefault="00DF5185" w:rsidP="00DF5185">
            <w:pPr>
              <w:pStyle w:val="EYTableText"/>
              <w:rPr>
                <w:rFonts w:cs="Arial"/>
              </w:rPr>
            </w:pPr>
            <w:r w:rsidRPr="00150CD2">
              <w:rPr>
                <w:rFonts w:cs="Arial"/>
              </w:rPr>
              <w:t>2.2.5</w:t>
            </w:r>
          </w:p>
        </w:tc>
        <w:tc>
          <w:tcPr>
            <w:tcW w:w="3600" w:type="dxa"/>
            <w:tcBorders>
              <w:top w:val="nil"/>
              <w:left w:val="nil"/>
              <w:bottom w:val="single" w:sz="4" w:space="0" w:color="auto"/>
              <w:right w:val="single" w:sz="4" w:space="0" w:color="auto"/>
            </w:tcBorders>
            <w:shd w:val="clear" w:color="auto" w:fill="auto"/>
            <w:hideMark/>
          </w:tcPr>
          <w:p w14:paraId="378785E3" w14:textId="12389AF8" w:rsidR="00DF5185" w:rsidRPr="00150CD2" w:rsidRDefault="00DF5185" w:rsidP="00DF5185">
            <w:pPr>
              <w:pStyle w:val="EYTableText"/>
              <w:rPr>
                <w:rFonts w:cs="Arial"/>
              </w:rPr>
            </w:pPr>
            <w:r w:rsidRPr="00150CD2">
              <w:rPr>
                <w:rFonts w:cs="Arial"/>
              </w:rPr>
              <w:t>IDI hospital indicators of physical and mental health wellbeing - e.g.:</w:t>
            </w:r>
            <w:r w:rsidRPr="00150CD2">
              <w:rPr>
                <w:rFonts w:cs="Arial"/>
              </w:rPr>
              <w:br/>
              <w:t>- Ambulatory Sensitive Hospitalisations / other indicators of hospital contact indicative of lower health</w:t>
            </w:r>
            <w:r w:rsidRPr="00150CD2">
              <w:rPr>
                <w:rFonts w:cs="Arial"/>
              </w:rPr>
              <w:br/>
              <w:t>- Accident or injury related hospital contact</w:t>
            </w:r>
            <w:r w:rsidRPr="00150CD2">
              <w:rPr>
                <w:rFonts w:cs="Arial"/>
              </w:rPr>
              <w:br/>
              <w:t>-Emergency department visits</w:t>
            </w:r>
            <w:r w:rsidRPr="00150CD2">
              <w:rPr>
                <w:rFonts w:cs="Arial"/>
              </w:rPr>
              <w:br/>
              <w:t>- Chronic conditions dataset (based on selected hospital diagnoses)</w:t>
            </w:r>
            <w:r w:rsidRPr="00150CD2">
              <w:rPr>
                <w:rFonts w:cs="Arial"/>
              </w:rPr>
              <w:br/>
              <w:t>- Cancer registrations</w:t>
            </w:r>
          </w:p>
        </w:tc>
        <w:tc>
          <w:tcPr>
            <w:tcW w:w="1584" w:type="dxa"/>
            <w:tcBorders>
              <w:top w:val="nil"/>
              <w:left w:val="nil"/>
              <w:bottom w:val="single" w:sz="4" w:space="0" w:color="auto"/>
              <w:right w:val="single" w:sz="4" w:space="0" w:color="auto"/>
            </w:tcBorders>
            <w:shd w:val="clear" w:color="auto" w:fill="auto"/>
            <w:noWrap/>
            <w:hideMark/>
          </w:tcPr>
          <w:p w14:paraId="65281F6B" w14:textId="77777777" w:rsidR="00DF5185" w:rsidRPr="00150CD2" w:rsidRDefault="00DF5185"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4F4A306D"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F02AD24"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FFE600"/>
            <w:noWrap/>
            <w:hideMark/>
          </w:tcPr>
          <w:p w14:paraId="06A1A00E"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185E61F"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63940D1E" w14:textId="77777777" w:rsidTr="00DF5185">
        <w:tc>
          <w:tcPr>
            <w:tcW w:w="1184" w:type="dxa"/>
            <w:tcBorders>
              <w:left w:val="single" w:sz="4" w:space="0" w:color="auto"/>
              <w:right w:val="single" w:sz="4" w:space="0" w:color="auto"/>
            </w:tcBorders>
            <w:shd w:val="clear" w:color="000000" w:fill="7030A0"/>
            <w:tcMar>
              <w:left w:w="72" w:type="dxa"/>
            </w:tcMar>
            <w:vAlign w:val="center"/>
            <w:hideMark/>
          </w:tcPr>
          <w:p w14:paraId="628942AC" w14:textId="77777777" w:rsidR="00DF5185" w:rsidRPr="00150CD2" w:rsidRDefault="00DF5185" w:rsidP="00DF5185">
            <w:pPr>
              <w:pStyle w:val="EYTableText"/>
              <w:rPr>
                <w:rFonts w:cs="Arial"/>
              </w:rPr>
            </w:pPr>
          </w:p>
        </w:tc>
        <w:tc>
          <w:tcPr>
            <w:tcW w:w="2016" w:type="dxa"/>
            <w:tcBorders>
              <w:top w:val="nil"/>
              <w:left w:val="single" w:sz="4" w:space="0" w:color="auto"/>
              <w:right w:val="single" w:sz="4" w:space="0" w:color="auto"/>
            </w:tcBorders>
            <w:shd w:val="clear" w:color="auto" w:fill="auto"/>
            <w:tcMar>
              <w:left w:w="72" w:type="dxa"/>
            </w:tcMar>
            <w:vAlign w:val="center"/>
            <w:hideMark/>
          </w:tcPr>
          <w:p w14:paraId="46CFBA94"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2A35AC1D" w14:textId="77777777" w:rsidR="00DF5185" w:rsidRPr="00150CD2" w:rsidRDefault="00DF5185" w:rsidP="00DF5185">
            <w:pPr>
              <w:pStyle w:val="EYTableText"/>
              <w:rPr>
                <w:rFonts w:cs="Arial"/>
              </w:rPr>
            </w:pPr>
            <w:r w:rsidRPr="00150CD2">
              <w:rPr>
                <w:rFonts w:cs="Arial"/>
              </w:rPr>
              <w:t>2.2.6</w:t>
            </w:r>
          </w:p>
        </w:tc>
        <w:tc>
          <w:tcPr>
            <w:tcW w:w="3600" w:type="dxa"/>
            <w:tcBorders>
              <w:top w:val="nil"/>
              <w:left w:val="nil"/>
              <w:bottom w:val="single" w:sz="4" w:space="0" w:color="auto"/>
              <w:right w:val="single" w:sz="4" w:space="0" w:color="auto"/>
            </w:tcBorders>
            <w:shd w:val="clear" w:color="auto" w:fill="auto"/>
            <w:hideMark/>
          </w:tcPr>
          <w:p w14:paraId="6818A109" w14:textId="65268F23" w:rsidR="00DF5185" w:rsidRPr="00150CD2" w:rsidRDefault="00DF5185" w:rsidP="00DF5185">
            <w:pPr>
              <w:pStyle w:val="EYTableText"/>
              <w:rPr>
                <w:rFonts w:cs="Arial"/>
              </w:rPr>
            </w:pPr>
            <w:r w:rsidRPr="00150CD2">
              <w:rPr>
                <w:rFonts w:cs="Arial"/>
              </w:rPr>
              <w:t>ACC indicators of injury related claims, incl. accidents in the home</w:t>
            </w:r>
          </w:p>
        </w:tc>
        <w:tc>
          <w:tcPr>
            <w:tcW w:w="1584" w:type="dxa"/>
            <w:tcBorders>
              <w:top w:val="nil"/>
              <w:left w:val="nil"/>
              <w:bottom w:val="single" w:sz="4" w:space="0" w:color="auto"/>
              <w:right w:val="single" w:sz="4" w:space="0" w:color="auto"/>
            </w:tcBorders>
            <w:shd w:val="clear" w:color="auto" w:fill="auto"/>
            <w:noWrap/>
            <w:hideMark/>
          </w:tcPr>
          <w:p w14:paraId="13E6C192" w14:textId="77777777" w:rsidR="00DF5185" w:rsidRPr="00150CD2" w:rsidRDefault="00DF5185"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169CB5B7"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6ACD8B64"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FFE600"/>
            <w:noWrap/>
            <w:hideMark/>
          </w:tcPr>
          <w:p w14:paraId="675C7420"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60DFDEF7"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541615BA" w14:textId="77777777" w:rsidTr="00DF5185">
        <w:tc>
          <w:tcPr>
            <w:tcW w:w="1184" w:type="dxa"/>
            <w:tcBorders>
              <w:left w:val="single" w:sz="4" w:space="0" w:color="auto"/>
              <w:right w:val="single" w:sz="4" w:space="0" w:color="auto"/>
            </w:tcBorders>
            <w:shd w:val="clear" w:color="000000" w:fill="7030A0"/>
            <w:tcMar>
              <w:left w:w="72" w:type="dxa"/>
            </w:tcMar>
            <w:vAlign w:val="center"/>
            <w:hideMark/>
          </w:tcPr>
          <w:p w14:paraId="41C81CC1" w14:textId="77777777" w:rsidR="00DF5185" w:rsidRPr="00150CD2" w:rsidRDefault="00DF5185" w:rsidP="00DF5185">
            <w:pPr>
              <w:pStyle w:val="EYTableText"/>
              <w:rPr>
                <w:rFonts w:cs="Arial"/>
              </w:rPr>
            </w:pPr>
          </w:p>
        </w:tc>
        <w:tc>
          <w:tcPr>
            <w:tcW w:w="2016" w:type="dxa"/>
            <w:tcBorders>
              <w:top w:val="nil"/>
              <w:left w:val="single" w:sz="4" w:space="0" w:color="auto"/>
              <w:right w:val="single" w:sz="4" w:space="0" w:color="auto"/>
            </w:tcBorders>
            <w:shd w:val="clear" w:color="auto" w:fill="auto"/>
            <w:tcMar>
              <w:left w:w="72" w:type="dxa"/>
            </w:tcMar>
            <w:vAlign w:val="center"/>
            <w:hideMark/>
          </w:tcPr>
          <w:p w14:paraId="3503DE52"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7074D131" w14:textId="77777777" w:rsidR="00DF5185" w:rsidRPr="00150CD2" w:rsidRDefault="00DF5185" w:rsidP="00DF5185">
            <w:pPr>
              <w:pStyle w:val="EYTableText"/>
              <w:rPr>
                <w:rFonts w:cs="Arial"/>
              </w:rPr>
            </w:pPr>
            <w:r w:rsidRPr="00150CD2">
              <w:rPr>
                <w:rFonts w:cs="Arial"/>
              </w:rPr>
              <w:t>2.2.7</w:t>
            </w:r>
          </w:p>
        </w:tc>
        <w:tc>
          <w:tcPr>
            <w:tcW w:w="3600" w:type="dxa"/>
            <w:tcBorders>
              <w:top w:val="nil"/>
              <w:left w:val="nil"/>
              <w:bottom w:val="single" w:sz="4" w:space="0" w:color="auto"/>
              <w:right w:val="single" w:sz="4" w:space="0" w:color="auto"/>
            </w:tcBorders>
            <w:shd w:val="clear" w:color="auto" w:fill="auto"/>
            <w:hideMark/>
          </w:tcPr>
          <w:p w14:paraId="4C8A4A19" w14:textId="77777777" w:rsidR="00DF5185" w:rsidRPr="00150CD2" w:rsidRDefault="00DF5185" w:rsidP="00DF5185">
            <w:pPr>
              <w:pStyle w:val="EYTableText"/>
              <w:rPr>
                <w:rFonts w:cs="Arial"/>
              </w:rPr>
            </w:pPr>
            <w:r w:rsidRPr="00150CD2">
              <w:rPr>
                <w:rFonts w:cs="Arial"/>
              </w:rPr>
              <w:t>Mortality</w:t>
            </w:r>
          </w:p>
        </w:tc>
        <w:tc>
          <w:tcPr>
            <w:tcW w:w="1584" w:type="dxa"/>
            <w:tcBorders>
              <w:top w:val="nil"/>
              <w:left w:val="nil"/>
              <w:bottom w:val="single" w:sz="4" w:space="0" w:color="auto"/>
              <w:right w:val="single" w:sz="4" w:space="0" w:color="auto"/>
            </w:tcBorders>
            <w:shd w:val="clear" w:color="auto" w:fill="auto"/>
            <w:noWrap/>
            <w:hideMark/>
          </w:tcPr>
          <w:p w14:paraId="70498050" w14:textId="77777777" w:rsidR="00DF5185" w:rsidRPr="00150CD2" w:rsidRDefault="00DF5185"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auto" w:fill="auto"/>
            <w:noWrap/>
          </w:tcPr>
          <w:p w14:paraId="4ECC7818" w14:textId="4E22CFE6" w:rsidR="00DF5185" w:rsidRPr="00150CD2" w:rsidRDefault="00DF5185" w:rsidP="00DF5185">
            <w:pPr>
              <w:pStyle w:val="EYTableText"/>
              <w:rPr>
                <w:rFonts w:cs="Arial"/>
                <w:lang w:eastAsia="en-AU"/>
              </w:rPr>
            </w:pPr>
          </w:p>
        </w:tc>
        <w:tc>
          <w:tcPr>
            <w:tcW w:w="1224" w:type="dxa"/>
            <w:tcBorders>
              <w:top w:val="nil"/>
              <w:left w:val="nil"/>
              <w:bottom w:val="single" w:sz="4" w:space="0" w:color="auto"/>
              <w:right w:val="single" w:sz="4" w:space="0" w:color="auto"/>
            </w:tcBorders>
            <w:shd w:val="clear" w:color="auto" w:fill="auto"/>
            <w:noWrap/>
            <w:hideMark/>
          </w:tcPr>
          <w:p w14:paraId="3DA5508D"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92D050"/>
            <w:noWrap/>
          </w:tcPr>
          <w:p w14:paraId="236B8329" w14:textId="34D0737A" w:rsidR="00DF5185" w:rsidRPr="00150CD2" w:rsidRDefault="00DF5185" w:rsidP="00DF5185">
            <w:pPr>
              <w:pStyle w:val="EYTableText"/>
              <w:rPr>
                <w:rFonts w:cs="Arial"/>
                <w:lang w:eastAsia="en-AU"/>
              </w:rPr>
            </w:pPr>
          </w:p>
        </w:tc>
        <w:tc>
          <w:tcPr>
            <w:tcW w:w="1224" w:type="dxa"/>
            <w:tcBorders>
              <w:top w:val="nil"/>
              <w:left w:val="nil"/>
              <w:bottom w:val="single" w:sz="4" w:space="0" w:color="auto"/>
              <w:right w:val="single" w:sz="4" w:space="0" w:color="auto"/>
            </w:tcBorders>
            <w:shd w:val="clear" w:color="auto" w:fill="auto"/>
            <w:noWrap/>
            <w:hideMark/>
          </w:tcPr>
          <w:p w14:paraId="6E938326" w14:textId="14CD212B" w:rsidR="00DF5185" w:rsidRPr="00150CD2" w:rsidRDefault="00DF5185" w:rsidP="00DF5185">
            <w:pPr>
              <w:pStyle w:val="EYTableText"/>
              <w:rPr>
                <w:rFonts w:cs="Arial"/>
                <w:highlight w:val="yellow"/>
              </w:rPr>
            </w:pPr>
          </w:p>
        </w:tc>
      </w:tr>
      <w:tr w:rsidR="00DF5185" w:rsidRPr="00150CD2" w14:paraId="2C7613FD" w14:textId="77777777" w:rsidTr="00DF5185">
        <w:tc>
          <w:tcPr>
            <w:tcW w:w="1184" w:type="dxa"/>
            <w:tcBorders>
              <w:left w:val="single" w:sz="4" w:space="0" w:color="auto"/>
              <w:bottom w:val="single" w:sz="4" w:space="0" w:color="000000"/>
              <w:right w:val="single" w:sz="4" w:space="0" w:color="auto"/>
            </w:tcBorders>
            <w:shd w:val="clear" w:color="000000" w:fill="7030A0"/>
            <w:tcMar>
              <w:left w:w="72" w:type="dxa"/>
            </w:tcMar>
            <w:vAlign w:val="center"/>
            <w:hideMark/>
          </w:tcPr>
          <w:p w14:paraId="6E4C6173" w14:textId="77777777" w:rsidR="00DF5185" w:rsidRPr="00150CD2" w:rsidRDefault="00DF5185" w:rsidP="00DF5185">
            <w:pPr>
              <w:pStyle w:val="EYTableText"/>
              <w:rPr>
                <w:rFonts w:cs="Arial"/>
              </w:rPr>
            </w:pPr>
          </w:p>
        </w:tc>
        <w:tc>
          <w:tcPr>
            <w:tcW w:w="2016" w:type="dxa"/>
            <w:tcBorders>
              <w:top w:val="nil"/>
              <w:left w:val="single" w:sz="4" w:space="0" w:color="auto"/>
              <w:bottom w:val="single" w:sz="4" w:space="0" w:color="000000"/>
              <w:right w:val="single" w:sz="4" w:space="0" w:color="auto"/>
            </w:tcBorders>
            <w:shd w:val="clear" w:color="auto" w:fill="auto"/>
            <w:tcMar>
              <w:left w:w="72" w:type="dxa"/>
            </w:tcMar>
            <w:vAlign w:val="center"/>
            <w:hideMark/>
          </w:tcPr>
          <w:p w14:paraId="034373AA"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4DB8F009" w14:textId="77777777" w:rsidR="00DF5185" w:rsidRPr="00150CD2" w:rsidRDefault="00DF5185" w:rsidP="00DF5185">
            <w:pPr>
              <w:pStyle w:val="EYTableText"/>
              <w:rPr>
                <w:rFonts w:cs="Arial"/>
              </w:rPr>
            </w:pPr>
            <w:r w:rsidRPr="00150CD2">
              <w:rPr>
                <w:rFonts w:cs="Arial"/>
              </w:rPr>
              <w:t>2.2.8</w:t>
            </w:r>
          </w:p>
        </w:tc>
        <w:tc>
          <w:tcPr>
            <w:tcW w:w="3600" w:type="dxa"/>
            <w:tcBorders>
              <w:top w:val="single" w:sz="4" w:space="0" w:color="auto"/>
              <w:left w:val="nil"/>
              <w:bottom w:val="single" w:sz="4" w:space="0" w:color="auto"/>
              <w:right w:val="nil"/>
            </w:tcBorders>
            <w:shd w:val="clear" w:color="auto" w:fill="auto"/>
            <w:hideMark/>
          </w:tcPr>
          <w:p w14:paraId="4ADD7AB7" w14:textId="77E8F0BB" w:rsidR="00DF5185" w:rsidRPr="00150CD2" w:rsidRDefault="00DF5185" w:rsidP="00DF5185">
            <w:pPr>
              <w:pStyle w:val="EYTableText"/>
              <w:rPr>
                <w:rFonts w:cs="Arial"/>
              </w:rPr>
            </w:pPr>
            <w:r w:rsidRPr="00150CD2">
              <w:rPr>
                <w:rFonts w:cs="Arial"/>
              </w:rPr>
              <w:t>Self-assessed health status of individual (and informal carer in Disability Survey)</w:t>
            </w:r>
          </w:p>
        </w:tc>
        <w:tc>
          <w:tcPr>
            <w:tcW w:w="1584" w:type="dxa"/>
            <w:tcBorders>
              <w:top w:val="nil"/>
              <w:left w:val="single" w:sz="4" w:space="0" w:color="auto"/>
              <w:bottom w:val="single" w:sz="4" w:space="0" w:color="auto"/>
              <w:right w:val="single" w:sz="4" w:space="0" w:color="auto"/>
            </w:tcBorders>
            <w:shd w:val="clear" w:color="auto" w:fill="auto"/>
            <w:noWrap/>
            <w:hideMark/>
          </w:tcPr>
          <w:p w14:paraId="2DB9891C" w14:textId="77777777" w:rsidR="00DF5185" w:rsidRPr="00150CD2" w:rsidRDefault="00DF5185"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41CDCDB7"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92D050"/>
            <w:noWrap/>
            <w:hideMark/>
          </w:tcPr>
          <w:p w14:paraId="7FDFAC09"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6EAF22E9"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4FDB28E6"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764576BA" w14:textId="77777777" w:rsidTr="00DF5185">
        <w:tc>
          <w:tcPr>
            <w:tcW w:w="1184" w:type="dxa"/>
            <w:tcBorders>
              <w:top w:val="nil"/>
              <w:left w:val="single" w:sz="4" w:space="0" w:color="auto"/>
              <w:right w:val="single" w:sz="4" w:space="0" w:color="auto"/>
            </w:tcBorders>
            <w:shd w:val="clear" w:color="000000" w:fill="FF6D00"/>
            <w:tcMar>
              <w:left w:w="72" w:type="dxa"/>
            </w:tcMar>
            <w:hideMark/>
          </w:tcPr>
          <w:p w14:paraId="3F44CC89" w14:textId="77777777" w:rsidR="00DF5185" w:rsidRPr="00150CD2" w:rsidRDefault="00DF5185" w:rsidP="00DF5185">
            <w:pPr>
              <w:pStyle w:val="EYTableText"/>
              <w:rPr>
                <w:rFonts w:cs="Arial"/>
              </w:rPr>
            </w:pPr>
            <w:r w:rsidRPr="00150CD2">
              <w:rPr>
                <w:rFonts w:cs="Arial"/>
              </w:rPr>
              <w:t>Have What They Need</w:t>
            </w:r>
          </w:p>
          <w:p w14:paraId="6AA44418" w14:textId="4D676F86" w:rsidR="00DF5185" w:rsidRPr="00150CD2" w:rsidRDefault="00DF5185" w:rsidP="00DF5185">
            <w:pPr>
              <w:pStyle w:val="EYTableText"/>
              <w:rPr>
                <w:rFonts w:cs="Arial"/>
              </w:rPr>
            </w:pPr>
            <w:r w:rsidRPr="00150CD2">
              <w:rPr>
                <w:rFonts w:cs="Arial"/>
              </w:rPr>
              <w:t> </w:t>
            </w:r>
          </w:p>
        </w:tc>
        <w:tc>
          <w:tcPr>
            <w:tcW w:w="2016" w:type="dxa"/>
            <w:tcBorders>
              <w:top w:val="nil"/>
              <w:left w:val="single" w:sz="4" w:space="0" w:color="auto"/>
              <w:right w:val="single" w:sz="4" w:space="0" w:color="auto"/>
            </w:tcBorders>
            <w:shd w:val="clear" w:color="auto" w:fill="auto"/>
            <w:tcMar>
              <w:left w:w="72" w:type="dxa"/>
            </w:tcMar>
            <w:hideMark/>
          </w:tcPr>
          <w:p w14:paraId="3AD52CDA" w14:textId="77777777" w:rsidR="00DF5185" w:rsidRPr="00150CD2" w:rsidRDefault="00DF5185" w:rsidP="00DF5185">
            <w:pPr>
              <w:pStyle w:val="EYTableText"/>
              <w:rPr>
                <w:rFonts w:cs="Arial"/>
                <w:lang w:eastAsia="en-AU"/>
              </w:rPr>
            </w:pPr>
            <w:r w:rsidRPr="00150CD2">
              <w:rPr>
                <w:rFonts w:cs="Arial"/>
                <w:lang w:eastAsia="en-AU"/>
              </w:rPr>
              <w:t>Have an adequate standard of material wellbeing</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1F2682C3" w14:textId="24FE8185" w:rsidR="00DF5185" w:rsidRPr="00150CD2" w:rsidRDefault="00DF5185" w:rsidP="00DF5185">
            <w:pPr>
              <w:pStyle w:val="EYTableText"/>
              <w:rPr>
                <w:rFonts w:cs="Arial"/>
              </w:rPr>
            </w:pPr>
            <w:r w:rsidRPr="00150CD2">
              <w:rPr>
                <w:rFonts w:cs="Arial"/>
              </w:rPr>
              <w:t>3.1.1</w:t>
            </w:r>
          </w:p>
        </w:tc>
        <w:tc>
          <w:tcPr>
            <w:tcW w:w="3600" w:type="dxa"/>
            <w:tcBorders>
              <w:top w:val="single" w:sz="4" w:space="0" w:color="auto"/>
              <w:left w:val="nil"/>
              <w:bottom w:val="single" w:sz="4" w:space="0" w:color="auto"/>
              <w:right w:val="single" w:sz="4" w:space="0" w:color="auto"/>
            </w:tcBorders>
            <w:shd w:val="clear" w:color="auto" w:fill="auto"/>
            <w:hideMark/>
          </w:tcPr>
          <w:p w14:paraId="237324F8" w14:textId="77777777" w:rsidR="00DF5185" w:rsidRPr="00150CD2" w:rsidRDefault="00DF5185" w:rsidP="00DF5185">
            <w:pPr>
              <w:pStyle w:val="EYTableText"/>
              <w:rPr>
                <w:rFonts w:cs="Arial"/>
              </w:rPr>
            </w:pPr>
            <w:r w:rsidRPr="00150CD2">
              <w:rPr>
                <w:rFonts w:cs="Arial"/>
              </w:rPr>
              <w:t>Income for individuals and/or their parents/caregivers or household</w:t>
            </w:r>
          </w:p>
        </w:tc>
        <w:tc>
          <w:tcPr>
            <w:tcW w:w="1584" w:type="dxa"/>
            <w:tcBorders>
              <w:top w:val="nil"/>
              <w:left w:val="nil"/>
              <w:bottom w:val="single" w:sz="4" w:space="0" w:color="auto"/>
              <w:right w:val="single" w:sz="4" w:space="0" w:color="auto"/>
            </w:tcBorders>
            <w:shd w:val="clear" w:color="auto" w:fill="auto"/>
            <w:hideMark/>
          </w:tcPr>
          <w:p w14:paraId="135E056E" w14:textId="77777777" w:rsidR="00DF5185" w:rsidRPr="00150CD2" w:rsidRDefault="00DF5185" w:rsidP="00DF5185">
            <w:pPr>
              <w:pStyle w:val="EYTableText"/>
              <w:rPr>
                <w:rFonts w:cs="Arial"/>
                <w:lang w:eastAsia="en-AU"/>
              </w:rPr>
            </w:pPr>
            <w:r w:rsidRPr="00150CD2">
              <w:rPr>
                <w:rFonts w:cs="Arial"/>
                <w:lang w:eastAsia="en-AU"/>
              </w:rPr>
              <w:t>Individual / Household</w:t>
            </w:r>
          </w:p>
        </w:tc>
        <w:tc>
          <w:tcPr>
            <w:tcW w:w="1224" w:type="dxa"/>
            <w:tcBorders>
              <w:top w:val="nil"/>
              <w:left w:val="nil"/>
              <w:bottom w:val="single" w:sz="4" w:space="0" w:color="auto"/>
              <w:right w:val="single" w:sz="4" w:space="0" w:color="auto"/>
            </w:tcBorders>
            <w:shd w:val="clear" w:color="000000" w:fill="92D050"/>
            <w:noWrap/>
            <w:hideMark/>
          </w:tcPr>
          <w:p w14:paraId="1902FD71"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92D050"/>
            <w:noWrap/>
            <w:hideMark/>
          </w:tcPr>
          <w:p w14:paraId="7912092F"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7DD3135F"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59B2870"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3EB54990" w14:textId="77777777" w:rsidTr="00DF5185">
        <w:tc>
          <w:tcPr>
            <w:tcW w:w="1184" w:type="dxa"/>
            <w:tcBorders>
              <w:left w:val="single" w:sz="4" w:space="0" w:color="auto"/>
              <w:right w:val="single" w:sz="4" w:space="0" w:color="auto"/>
            </w:tcBorders>
            <w:shd w:val="clear" w:color="000000" w:fill="FF6D00"/>
            <w:tcMar>
              <w:left w:w="72" w:type="dxa"/>
            </w:tcMar>
            <w:hideMark/>
          </w:tcPr>
          <w:p w14:paraId="61E8B8C0" w14:textId="6596EA80"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38048F44"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21F904AA" w14:textId="77777777" w:rsidR="00DF5185" w:rsidRPr="00150CD2" w:rsidRDefault="00DF5185" w:rsidP="00DF5185">
            <w:pPr>
              <w:pStyle w:val="EYTableText"/>
              <w:rPr>
                <w:rFonts w:cs="Arial"/>
              </w:rPr>
            </w:pPr>
            <w:r w:rsidRPr="00150CD2">
              <w:rPr>
                <w:rFonts w:cs="Arial"/>
              </w:rPr>
              <w:t>3.1.2</w:t>
            </w:r>
          </w:p>
        </w:tc>
        <w:tc>
          <w:tcPr>
            <w:tcW w:w="3600" w:type="dxa"/>
            <w:tcBorders>
              <w:top w:val="nil"/>
              <w:left w:val="nil"/>
              <w:bottom w:val="single" w:sz="4" w:space="0" w:color="auto"/>
              <w:right w:val="single" w:sz="4" w:space="0" w:color="auto"/>
            </w:tcBorders>
            <w:shd w:val="clear" w:color="auto" w:fill="auto"/>
            <w:hideMark/>
          </w:tcPr>
          <w:p w14:paraId="6934A2E1" w14:textId="7E459192" w:rsidR="00DF5185" w:rsidRPr="00150CD2" w:rsidRDefault="00DF5185" w:rsidP="00DF5185">
            <w:pPr>
              <w:pStyle w:val="EYTableText"/>
              <w:rPr>
                <w:rFonts w:cs="Arial"/>
              </w:rPr>
            </w:pPr>
            <w:r w:rsidRPr="00150CD2">
              <w:rPr>
                <w:rFonts w:cs="Arial"/>
              </w:rPr>
              <w:t>Benefit receipt levels (in particular Supported Living payments, Disability Allowance and Jobseeker support)</w:t>
            </w:r>
          </w:p>
        </w:tc>
        <w:tc>
          <w:tcPr>
            <w:tcW w:w="1584" w:type="dxa"/>
            <w:tcBorders>
              <w:top w:val="nil"/>
              <w:left w:val="nil"/>
              <w:bottom w:val="single" w:sz="4" w:space="0" w:color="auto"/>
              <w:right w:val="single" w:sz="4" w:space="0" w:color="auto"/>
            </w:tcBorders>
            <w:shd w:val="clear" w:color="auto" w:fill="auto"/>
            <w:noWrap/>
            <w:hideMark/>
          </w:tcPr>
          <w:p w14:paraId="235989A0" w14:textId="77777777" w:rsidR="00DF5185" w:rsidRPr="00150CD2" w:rsidRDefault="00DF5185"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3D018A94"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87D96CD"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5CEEEA5F"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54A23187"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5F68BD76" w14:textId="77777777" w:rsidTr="00DF5185">
        <w:tc>
          <w:tcPr>
            <w:tcW w:w="1184" w:type="dxa"/>
            <w:tcBorders>
              <w:left w:val="single" w:sz="4" w:space="0" w:color="auto"/>
              <w:right w:val="single" w:sz="4" w:space="0" w:color="auto"/>
            </w:tcBorders>
            <w:shd w:val="clear" w:color="000000" w:fill="FF6D00"/>
            <w:tcMar>
              <w:left w:w="72" w:type="dxa"/>
            </w:tcMar>
            <w:hideMark/>
          </w:tcPr>
          <w:p w14:paraId="4BD3F207" w14:textId="605C18BB"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1CF8D2C8"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10BB0D23" w14:textId="77777777" w:rsidR="00DF5185" w:rsidRPr="00150CD2" w:rsidRDefault="00DF5185" w:rsidP="00DF5185">
            <w:pPr>
              <w:pStyle w:val="EYTableText"/>
              <w:rPr>
                <w:rFonts w:cs="Arial"/>
              </w:rPr>
            </w:pPr>
            <w:r w:rsidRPr="00150CD2">
              <w:rPr>
                <w:rFonts w:cs="Arial"/>
              </w:rPr>
              <w:t>3.1.3</w:t>
            </w:r>
          </w:p>
        </w:tc>
        <w:tc>
          <w:tcPr>
            <w:tcW w:w="3600" w:type="dxa"/>
            <w:tcBorders>
              <w:top w:val="nil"/>
              <w:left w:val="nil"/>
              <w:bottom w:val="single" w:sz="4" w:space="0" w:color="auto"/>
              <w:right w:val="single" w:sz="4" w:space="0" w:color="auto"/>
            </w:tcBorders>
            <w:shd w:val="clear" w:color="auto" w:fill="auto"/>
            <w:hideMark/>
          </w:tcPr>
          <w:p w14:paraId="72F3C051" w14:textId="77777777" w:rsidR="00DF5185" w:rsidRPr="00150CD2" w:rsidRDefault="00DF5185" w:rsidP="00DF5185">
            <w:pPr>
              <w:pStyle w:val="EYTableText"/>
              <w:rPr>
                <w:rFonts w:cs="Arial"/>
              </w:rPr>
            </w:pPr>
            <w:r w:rsidRPr="00150CD2">
              <w:rPr>
                <w:rFonts w:cs="Arial"/>
              </w:rPr>
              <w:t>Self-reported adequacy of income to meet everyday needs</w:t>
            </w:r>
          </w:p>
        </w:tc>
        <w:tc>
          <w:tcPr>
            <w:tcW w:w="1584" w:type="dxa"/>
            <w:tcBorders>
              <w:top w:val="nil"/>
              <w:left w:val="nil"/>
              <w:bottom w:val="single" w:sz="4" w:space="0" w:color="auto"/>
              <w:right w:val="single" w:sz="4" w:space="0" w:color="auto"/>
            </w:tcBorders>
            <w:shd w:val="clear" w:color="auto" w:fill="auto"/>
            <w:hideMark/>
          </w:tcPr>
          <w:p w14:paraId="0C25E402" w14:textId="77777777" w:rsidR="00DF5185" w:rsidRPr="00150CD2" w:rsidRDefault="00DF5185" w:rsidP="00DF5185">
            <w:pPr>
              <w:pStyle w:val="EYTableText"/>
              <w:rPr>
                <w:rFonts w:cs="Arial"/>
                <w:lang w:eastAsia="en-AU"/>
              </w:rPr>
            </w:pPr>
            <w:r w:rsidRPr="00150CD2">
              <w:rPr>
                <w:rFonts w:cs="Arial"/>
                <w:lang w:eastAsia="en-AU"/>
              </w:rPr>
              <w:t>Household</w:t>
            </w:r>
          </w:p>
        </w:tc>
        <w:tc>
          <w:tcPr>
            <w:tcW w:w="1224" w:type="dxa"/>
            <w:tcBorders>
              <w:top w:val="nil"/>
              <w:left w:val="nil"/>
              <w:bottom w:val="single" w:sz="4" w:space="0" w:color="auto"/>
              <w:right w:val="single" w:sz="4" w:space="0" w:color="auto"/>
            </w:tcBorders>
            <w:shd w:val="clear" w:color="auto" w:fill="auto"/>
            <w:noWrap/>
            <w:hideMark/>
          </w:tcPr>
          <w:p w14:paraId="24A8C884"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66F106C2"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20A1B75"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8CC3DA3"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5332243F" w14:textId="77777777" w:rsidTr="00DF5185">
        <w:tc>
          <w:tcPr>
            <w:tcW w:w="1184" w:type="dxa"/>
            <w:tcBorders>
              <w:left w:val="single" w:sz="4" w:space="0" w:color="auto"/>
              <w:right w:val="single" w:sz="4" w:space="0" w:color="auto"/>
            </w:tcBorders>
            <w:shd w:val="clear" w:color="000000" w:fill="FF6D00"/>
            <w:tcMar>
              <w:left w:w="72" w:type="dxa"/>
            </w:tcMar>
            <w:hideMark/>
          </w:tcPr>
          <w:p w14:paraId="50394842" w14:textId="346CA475"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4095F780"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5444B613" w14:textId="77777777" w:rsidR="00DF5185" w:rsidRPr="00150CD2" w:rsidRDefault="00DF5185" w:rsidP="00DF5185">
            <w:pPr>
              <w:pStyle w:val="EYTableText"/>
              <w:rPr>
                <w:rFonts w:cs="Arial"/>
              </w:rPr>
            </w:pPr>
            <w:r w:rsidRPr="00150CD2">
              <w:rPr>
                <w:rFonts w:cs="Arial"/>
              </w:rPr>
              <w:t>3.1.4</w:t>
            </w:r>
          </w:p>
        </w:tc>
        <w:tc>
          <w:tcPr>
            <w:tcW w:w="3600" w:type="dxa"/>
            <w:tcBorders>
              <w:top w:val="nil"/>
              <w:left w:val="nil"/>
              <w:bottom w:val="single" w:sz="4" w:space="0" w:color="auto"/>
              <w:right w:val="single" w:sz="4" w:space="0" w:color="auto"/>
            </w:tcBorders>
            <w:shd w:val="clear" w:color="auto" w:fill="auto"/>
            <w:hideMark/>
          </w:tcPr>
          <w:p w14:paraId="6B09E92A" w14:textId="77777777" w:rsidR="00DF5185" w:rsidRPr="00150CD2" w:rsidRDefault="00DF5185" w:rsidP="00DF5185">
            <w:pPr>
              <w:pStyle w:val="EYTableText"/>
              <w:rPr>
                <w:rFonts w:cs="Arial"/>
              </w:rPr>
            </w:pPr>
            <w:r w:rsidRPr="00150CD2">
              <w:rPr>
                <w:rFonts w:cs="Arial"/>
              </w:rPr>
              <w:t>NZ Deprivation Index, Housing and Income domains from Index of Multiple Deprivation</w:t>
            </w:r>
          </w:p>
        </w:tc>
        <w:tc>
          <w:tcPr>
            <w:tcW w:w="1584" w:type="dxa"/>
            <w:tcBorders>
              <w:top w:val="nil"/>
              <w:left w:val="nil"/>
              <w:bottom w:val="single" w:sz="4" w:space="0" w:color="auto"/>
              <w:right w:val="single" w:sz="4" w:space="0" w:color="auto"/>
            </w:tcBorders>
            <w:shd w:val="clear" w:color="auto" w:fill="auto"/>
            <w:noWrap/>
            <w:hideMark/>
          </w:tcPr>
          <w:p w14:paraId="7642F088" w14:textId="77777777" w:rsidR="00DF5185" w:rsidRPr="00150CD2" w:rsidRDefault="00DF5185" w:rsidP="00DF5185">
            <w:pPr>
              <w:pStyle w:val="EYTableText"/>
              <w:rPr>
                <w:rFonts w:cs="Arial"/>
                <w:color w:val="2E2E38"/>
                <w:lang w:eastAsia="en-AU"/>
              </w:rPr>
            </w:pPr>
            <w:r w:rsidRPr="00150CD2">
              <w:rPr>
                <w:rFonts w:cs="Arial"/>
                <w:color w:val="2E2E38"/>
                <w:lang w:eastAsia="en-AU"/>
              </w:rPr>
              <w:t>Community</w:t>
            </w:r>
          </w:p>
        </w:tc>
        <w:tc>
          <w:tcPr>
            <w:tcW w:w="1224" w:type="dxa"/>
            <w:tcBorders>
              <w:top w:val="nil"/>
              <w:left w:val="nil"/>
              <w:bottom w:val="single" w:sz="4" w:space="0" w:color="auto"/>
              <w:right w:val="single" w:sz="4" w:space="0" w:color="auto"/>
            </w:tcBorders>
            <w:shd w:val="clear" w:color="auto" w:fill="auto"/>
            <w:noWrap/>
            <w:hideMark/>
          </w:tcPr>
          <w:p w14:paraId="0112906A"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DE94DFB"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35899992"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AD54490"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58D8CD99" w14:textId="77777777" w:rsidTr="00DF5185">
        <w:tc>
          <w:tcPr>
            <w:tcW w:w="1184" w:type="dxa"/>
            <w:tcBorders>
              <w:left w:val="single" w:sz="4" w:space="0" w:color="auto"/>
              <w:right w:val="single" w:sz="4" w:space="0" w:color="auto"/>
            </w:tcBorders>
            <w:shd w:val="clear" w:color="000000" w:fill="FF6D00"/>
            <w:tcMar>
              <w:left w:w="72" w:type="dxa"/>
            </w:tcMar>
            <w:hideMark/>
          </w:tcPr>
          <w:p w14:paraId="45A56D90" w14:textId="142E747D"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7668FDA2"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34D72544" w14:textId="77777777" w:rsidR="00DF5185" w:rsidRPr="00150CD2" w:rsidRDefault="00DF5185" w:rsidP="00DF5185">
            <w:pPr>
              <w:pStyle w:val="EYTableText"/>
              <w:rPr>
                <w:rFonts w:cs="Arial"/>
              </w:rPr>
            </w:pPr>
            <w:r w:rsidRPr="00150CD2">
              <w:rPr>
                <w:rFonts w:cs="Arial"/>
              </w:rPr>
              <w:t>3.1.5</w:t>
            </w:r>
          </w:p>
        </w:tc>
        <w:tc>
          <w:tcPr>
            <w:tcW w:w="3600" w:type="dxa"/>
            <w:tcBorders>
              <w:top w:val="nil"/>
              <w:left w:val="nil"/>
              <w:bottom w:val="single" w:sz="4" w:space="0" w:color="auto"/>
              <w:right w:val="single" w:sz="4" w:space="0" w:color="auto"/>
            </w:tcBorders>
            <w:shd w:val="clear" w:color="auto" w:fill="auto"/>
            <w:hideMark/>
          </w:tcPr>
          <w:p w14:paraId="3CBD6D75" w14:textId="77777777" w:rsidR="00DF5185" w:rsidRPr="00150CD2" w:rsidRDefault="00DF5185" w:rsidP="00DF5185">
            <w:pPr>
              <w:pStyle w:val="EYTableText"/>
              <w:rPr>
                <w:rFonts w:cs="Arial"/>
              </w:rPr>
            </w:pPr>
            <w:r w:rsidRPr="00150CD2">
              <w:rPr>
                <w:rFonts w:cs="Arial"/>
              </w:rPr>
              <w:t>Priority housing register</w:t>
            </w:r>
          </w:p>
        </w:tc>
        <w:tc>
          <w:tcPr>
            <w:tcW w:w="1584" w:type="dxa"/>
            <w:tcBorders>
              <w:top w:val="nil"/>
              <w:left w:val="nil"/>
              <w:bottom w:val="single" w:sz="4" w:space="0" w:color="auto"/>
              <w:right w:val="single" w:sz="4" w:space="0" w:color="auto"/>
            </w:tcBorders>
            <w:shd w:val="clear" w:color="auto" w:fill="auto"/>
            <w:hideMark/>
          </w:tcPr>
          <w:p w14:paraId="4A1CED7B" w14:textId="77777777" w:rsidR="00DF5185" w:rsidRPr="00150CD2" w:rsidRDefault="00DF5185" w:rsidP="00DF5185">
            <w:pPr>
              <w:pStyle w:val="EYTableText"/>
              <w:rPr>
                <w:rFonts w:cs="Arial"/>
                <w:lang w:eastAsia="en-AU"/>
              </w:rPr>
            </w:pPr>
            <w:r w:rsidRPr="00150CD2">
              <w:rPr>
                <w:rFonts w:cs="Arial"/>
                <w:lang w:eastAsia="en-AU"/>
              </w:rPr>
              <w:t>Household</w:t>
            </w:r>
          </w:p>
        </w:tc>
        <w:tc>
          <w:tcPr>
            <w:tcW w:w="1224" w:type="dxa"/>
            <w:tcBorders>
              <w:top w:val="nil"/>
              <w:left w:val="nil"/>
              <w:bottom w:val="single" w:sz="4" w:space="0" w:color="auto"/>
              <w:right w:val="single" w:sz="4" w:space="0" w:color="auto"/>
            </w:tcBorders>
            <w:shd w:val="clear" w:color="auto" w:fill="auto"/>
            <w:noWrap/>
            <w:hideMark/>
          </w:tcPr>
          <w:p w14:paraId="52CF6891"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547CEECE"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FFE600"/>
            <w:noWrap/>
            <w:hideMark/>
          </w:tcPr>
          <w:p w14:paraId="1EB1CBA8"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5DEA128"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28F4BBB1" w14:textId="77777777" w:rsidTr="00DF5185">
        <w:tc>
          <w:tcPr>
            <w:tcW w:w="1184" w:type="dxa"/>
            <w:tcBorders>
              <w:left w:val="single" w:sz="4" w:space="0" w:color="auto"/>
              <w:right w:val="single" w:sz="4" w:space="0" w:color="auto"/>
            </w:tcBorders>
            <w:shd w:val="clear" w:color="000000" w:fill="FF6D00"/>
            <w:tcMar>
              <w:left w:w="72" w:type="dxa"/>
            </w:tcMar>
            <w:hideMark/>
          </w:tcPr>
          <w:p w14:paraId="1054581A" w14:textId="2EE558EF"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0EC4980B"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2709931F" w14:textId="77777777" w:rsidR="00DF5185" w:rsidRPr="00150CD2" w:rsidRDefault="00DF5185" w:rsidP="00DF5185">
            <w:pPr>
              <w:pStyle w:val="EYTableText"/>
              <w:rPr>
                <w:rFonts w:cs="Arial"/>
              </w:rPr>
            </w:pPr>
            <w:r w:rsidRPr="00150CD2">
              <w:rPr>
                <w:rFonts w:cs="Arial"/>
              </w:rPr>
              <w:t>3.1.6</w:t>
            </w:r>
          </w:p>
        </w:tc>
        <w:tc>
          <w:tcPr>
            <w:tcW w:w="3600" w:type="dxa"/>
            <w:tcBorders>
              <w:top w:val="nil"/>
              <w:left w:val="nil"/>
              <w:bottom w:val="single" w:sz="4" w:space="0" w:color="auto"/>
              <w:right w:val="single" w:sz="4" w:space="0" w:color="auto"/>
            </w:tcBorders>
            <w:shd w:val="clear" w:color="auto" w:fill="auto"/>
            <w:hideMark/>
          </w:tcPr>
          <w:p w14:paraId="355DDDC9" w14:textId="77777777" w:rsidR="00DF5185" w:rsidRPr="00150CD2" w:rsidRDefault="00DF5185" w:rsidP="00DF5185">
            <w:pPr>
              <w:pStyle w:val="EYTableText"/>
              <w:rPr>
                <w:rFonts w:cs="Arial"/>
              </w:rPr>
            </w:pPr>
            <w:r w:rsidRPr="00150CD2">
              <w:rPr>
                <w:rFonts w:cs="Arial"/>
              </w:rPr>
              <w:t>Social housing tenant</w:t>
            </w:r>
          </w:p>
        </w:tc>
        <w:tc>
          <w:tcPr>
            <w:tcW w:w="1584" w:type="dxa"/>
            <w:tcBorders>
              <w:top w:val="nil"/>
              <w:left w:val="nil"/>
              <w:bottom w:val="single" w:sz="4" w:space="0" w:color="auto"/>
              <w:right w:val="single" w:sz="4" w:space="0" w:color="auto"/>
            </w:tcBorders>
            <w:shd w:val="clear" w:color="auto" w:fill="auto"/>
            <w:hideMark/>
          </w:tcPr>
          <w:p w14:paraId="6D123378" w14:textId="77777777" w:rsidR="00DF5185" w:rsidRPr="00150CD2" w:rsidRDefault="00DF5185" w:rsidP="00DF5185">
            <w:pPr>
              <w:pStyle w:val="EYTableText"/>
              <w:rPr>
                <w:rFonts w:cs="Arial"/>
                <w:lang w:eastAsia="en-AU"/>
              </w:rPr>
            </w:pPr>
            <w:r w:rsidRPr="00150CD2">
              <w:rPr>
                <w:rFonts w:cs="Arial"/>
                <w:lang w:eastAsia="en-AU"/>
              </w:rPr>
              <w:t>Household</w:t>
            </w:r>
          </w:p>
        </w:tc>
        <w:tc>
          <w:tcPr>
            <w:tcW w:w="1224" w:type="dxa"/>
            <w:tcBorders>
              <w:top w:val="nil"/>
              <w:left w:val="nil"/>
              <w:bottom w:val="single" w:sz="4" w:space="0" w:color="auto"/>
              <w:right w:val="single" w:sz="4" w:space="0" w:color="auto"/>
            </w:tcBorders>
            <w:shd w:val="clear" w:color="auto" w:fill="auto"/>
            <w:noWrap/>
            <w:hideMark/>
          </w:tcPr>
          <w:p w14:paraId="6E4D7F6C"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5A19FDC8"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FFE600"/>
            <w:noWrap/>
            <w:hideMark/>
          </w:tcPr>
          <w:p w14:paraId="075559F1"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0681803"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0D8498CC" w14:textId="77777777" w:rsidTr="00DF5185">
        <w:tc>
          <w:tcPr>
            <w:tcW w:w="1184" w:type="dxa"/>
            <w:tcBorders>
              <w:left w:val="single" w:sz="4" w:space="0" w:color="auto"/>
              <w:right w:val="single" w:sz="4" w:space="0" w:color="auto"/>
            </w:tcBorders>
            <w:shd w:val="clear" w:color="000000" w:fill="FF6D00"/>
            <w:tcMar>
              <w:left w:w="72" w:type="dxa"/>
            </w:tcMar>
            <w:hideMark/>
          </w:tcPr>
          <w:p w14:paraId="4FD14373" w14:textId="14C51FF9"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2A157DED"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158CBD33" w14:textId="77777777" w:rsidR="00DF5185" w:rsidRPr="00150CD2" w:rsidRDefault="00DF5185" w:rsidP="00DF5185">
            <w:pPr>
              <w:pStyle w:val="EYTableText"/>
              <w:rPr>
                <w:rFonts w:cs="Arial"/>
              </w:rPr>
            </w:pPr>
            <w:r w:rsidRPr="00150CD2">
              <w:rPr>
                <w:rFonts w:cs="Arial"/>
              </w:rPr>
              <w:t>3.1.7</w:t>
            </w:r>
          </w:p>
        </w:tc>
        <w:tc>
          <w:tcPr>
            <w:tcW w:w="3600" w:type="dxa"/>
            <w:tcBorders>
              <w:top w:val="nil"/>
              <w:left w:val="nil"/>
              <w:bottom w:val="single" w:sz="4" w:space="0" w:color="auto"/>
              <w:right w:val="single" w:sz="4" w:space="0" w:color="auto"/>
            </w:tcBorders>
            <w:shd w:val="clear" w:color="auto" w:fill="auto"/>
            <w:hideMark/>
          </w:tcPr>
          <w:p w14:paraId="534307AC" w14:textId="77777777" w:rsidR="00DF5185" w:rsidRPr="00150CD2" w:rsidRDefault="00DF5185" w:rsidP="00DF5185">
            <w:pPr>
              <w:pStyle w:val="EYTableText"/>
              <w:rPr>
                <w:rFonts w:cs="Arial"/>
              </w:rPr>
            </w:pPr>
            <w:r w:rsidRPr="00150CD2">
              <w:rPr>
                <w:rFonts w:cs="Arial"/>
              </w:rPr>
              <w:t>Frequent address changes (as a possible proxy measure for housing insecurity)</w:t>
            </w:r>
          </w:p>
        </w:tc>
        <w:tc>
          <w:tcPr>
            <w:tcW w:w="1584" w:type="dxa"/>
            <w:tcBorders>
              <w:top w:val="nil"/>
              <w:left w:val="nil"/>
              <w:bottom w:val="single" w:sz="4" w:space="0" w:color="auto"/>
              <w:right w:val="single" w:sz="4" w:space="0" w:color="auto"/>
            </w:tcBorders>
            <w:shd w:val="clear" w:color="auto" w:fill="auto"/>
            <w:hideMark/>
          </w:tcPr>
          <w:p w14:paraId="4D8A2986" w14:textId="77777777" w:rsidR="00DF5185" w:rsidRPr="00150CD2" w:rsidRDefault="00DF5185" w:rsidP="00DF5185">
            <w:pPr>
              <w:pStyle w:val="EYTableText"/>
              <w:rPr>
                <w:rFonts w:cs="Arial"/>
                <w:lang w:eastAsia="en-AU"/>
              </w:rPr>
            </w:pPr>
            <w:r w:rsidRPr="00150CD2">
              <w:rPr>
                <w:rFonts w:cs="Arial"/>
                <w:lang w:eastAsia="en-AU"/>
              </w:rPr>
              <w:t>Household</w:t>
            </w:r>
          </w:p>
        </w:tc>
        <w:tc>
          <w:tcPr>
            <w:tcW w:w="1224" w:type="dxa"/>
            <w:tcBorders>
              <w:top w:val="nil"/>
              <w:left w:val="nil"/>
              <w:bottom w:val="single" w:sz="4" w:space="0" w:color="auto"/>
              <w:right w:val="single" w:sz="4" w:space="0" w:color="auto"/>
            </w:tcBorders>
            <w:shd w:val="clear" w:color="auto" w:fill="auto"/>
            <w:noWrap/>
            <w:hideMark/>
          </w:tcPr>
          <w:p w14:paraId="4867E3EE"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5FA675C"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FFE600"/>
            <w:noWrap/>
            <w:hideMark/>
          </w:tcPr>
          <w:p w14:paraId="59EABF17"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DB1AFA5"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30BDE32E" w14:textId="77777777" w:rsidTr="00DF5185">
        <w:tc>
          <w:tcPr>
            <w:tcW w:w="1184" w:type="dxa"/>
            <w:tcBorders>
              <w:left w:val="single" w:sz="4" w:space="0" w:color="auto"/>
              <w:right w:val="single" w:sz="4" w:space="0" w:color="auto"/>
            </w:tcBorders>
            <w:shd w:val="clear" w:color="000000" w:fill="FF6D00"/>
            <w:tcMar>
              <w:left w:w="72" w:type="dxa"/>
            </w:tcMar>
            <w:hideMark/>
          </w:tcPr>
          <w:p w14:paraId="32E680BC" w14:textId="1BC006DC"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4FE56FBB"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2FFC450E" w14:textId="77777777" w:rsidR="00DF5185" w:rsidRPr="00150CD2" w:rsidRDefault="00DF5185" w:rsidP="00DF5185">
            <w:pPr>
              <w:pStyle w:val="EYTableText"/>
              <w:rPr>
                <w:rFonts w:cs="Arial"/>
              </w:rPr>
            </w:pPr>
            <w:r w:rsidRPr="00150CD2">
              <w:rPr>
                <w:rFonts w:cs="Arial"/>
              </w:rPr>
              <w:t>3.1.8</w:t>
            </w:r>
          </w:p>
        </w:tc>
        <w:tc>
          <w:tcPr>
            <w:tcW w:w="3600" w:type="dxa"/>
            <w:tcBorders>
              <w:top w:val="nil"/>
              <w:left w:val="nil"/>
              <w:bottom w:val="single" w:sz="4" w:space="0" w:color="auto"/>
              <w:right w:val="single" w:sz="4" w:space="0" w:color="auto"/>
            </w:tcBorders>
            <w:shd w:val="clear" w:color="auto" w:fill="auto"/>
            <w:hideMark/>
          </w:tcPr>
          <w:p w14:paraId="7BF2080B" w14:textId="77777777" w:rsidR="00DF5185" w:rsidRPr="00150CD2" w:rsidRDefault="00DF5185" w:rsidP="00DF5185">
            <w:pPr>
              <w:pStyle w:val="EYTableText"/>
              <w:rPr>
                <w:rFonts w:cs="Arial"/>
              </w:rPr>
            </w:pPr>
            <w:r w:rsidRPr="00150CD2">
              <w:rPr>
                <w:rFonts w:cs="Arial"/>
              </w:rPr>
              <w:t>Emergency housing</w:t>
            </w:r>
          </w:p>
        </w:tc>
        <w:tc>
          <w:tcPr>
            <w:tcW w:w="1584" w:type="dxa"/>
            <w:tcBorders>
              <w:top w:val="nil"/>
              <w:left w:val="nil"/>
              <w:bottom w:val="single" w:sz="4" w:space="0" w:color="auto"/>
              <w:right w:val="single" w:sz="4" w:space="0" w:color="auto"/>
            </w:tcBorders>
            <w:shd w:val="clear" w:color="auto" w:fill="auto"/>
            <w:hideMark/>
          </w:tcPr>
          <w:p w14:paraId="0F2B85A9" w14:textId="77777777" w:rsidR="00DF5185" w:rsidRPr="00150CD2" w:rsidRDefault="00DF5185"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13B35B05"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37728D5F"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FFE600"/>
            <w:noWrap/>
            <w:hideMark/>
          </w:tcPr>
          <w:p w14:paraId="47DD1A41"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8450C87"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3D6DC360" w14:textId="77777777" w:rsidTr="00DF5185">
        <w:tc>
          <w:tcPr>
            <w:tcW w:w="1184" w:type="dxa"/>
            <w:tcBorders>
              <w:left w:val="single" w:sz="4" w:space="0" w:color="auto"/>
              <w:right w:val="single" w:sz="4" w:space="0" w:color="auto"/>
            </w:tcBorders>
            <w:shd w:val="clear" w:color="000000" w:fill="FF6D00"/>
            <w:tcMar>
              <w:left w:w="72" w:type="dxa"/>
            </w:tcMar>
            <w:hideMark/>
          </w:tcPr>
          <w:p w14:paraId="7FC13087" w14:textId="73D99A34"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316F9C90"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21D5FAFC" w14:textId="77777777" w:rsidR="00DF5185" w:rsidRPr="00150CD2" w:rsidRDefault="00DF5185" w:rsidP="00DF5185">
            <w:pPr>
              <w:pStyle w:val="EYTableText"/>
              <w:rPr>
                <w:rFonts w:cs="Arial"/>
              </w:rPr>
            </w:pPr>
            <w:r w:rsidRPr="00150CD2">
              <w:rPr>
                <w:rFonts w:cs="Arial"/>
              </w:rPr>
              <w:t>3.1.9</w:t>
            </w:r>
          </w:p>
        </w:tc>
        <w:tc>
          <w:tcPr>
            <w:tcW w:w="3600" w:type="dxa"/>
            <w:tcBorders>
              <w:top w:val="nil"/>
              <w:left w:val="nil"/>
              <w:bottom w:val="single" w:sz="4" w:space="0" w:color="auto"/>
              <w:right w:val="single" w:sz="4" w:space="0" w:color="auto"/>
            </w:tcBorders>
            <w:shd w:val="clear" w:color="auto" w:fill="auto"/>
            <w:hideMark/>
          </w:tcPr>
          <w:p w14:paraId="290A51A4" w14:textId="77777777" w:rsidR="00DF5185" w:rsidRPr="00150CD2" w:rsidRDefault="00DF5185" w:rsidP="00DF5185">
            <w:pPr>
              <w:pStyle w:val="EYTableText"/>
              <w:rPr>
                <w:rFonts w:cs="Arial"/>
              </w:rPr>
            </w:pPr>
            <w:r w:rsidRPr="00150CD2">
              <w:rPr>
                <w:rFonts w:cs="Arial"/>
              </w:rPr>
              <w:t>Dwelling characteristics (incl. housing overcrowding)</w:t>
            </w:r>
          </w:p>
        </w:tc>
        <w:tc>
          <w:tcPr>
            <w:tcW w:w="1584" w:type="dxa"/>
            <w:tcBorders>
              <w:top w:val="nil"/>
              <w:left w:val="nil"/>
              <w:bottom w:val="single" w:sz="4" w:space="0" w:color="auto"/>
              <w:right w:val="single" w:sz="4" w:space="0" w:color="auto"/>
            </w:tcBorders>
            <w:shd w:val="clear" w:color="auto" w:fill="auto"/>
            <w:noWrap/>
            <w:hideMark/>
          </w:tcPr>
          <w:p w14:paraId="0BEACDFC" w14:textId="77777777" w:rsidR="00DF5185" w:rsidRPr="00150CD2" w:rsidRDefault="00DF5185" w:rsidP="00DF5185">
            <w:pPr>
              <w:pStyle w:val="EYTableText"/>
              <w:rPr>
                <w:rFonts w:cs="Arial"/>
                <w:lang w:eastAsia="en-AU"/>
              </w:rPr>
            </w:pPr>
            <w:r w:rsidRPr="00150CD2">
              <w:rPr>
                <w:rFonts w:cs="Arial"/>
                <w:lang w:eastAsia="en-AU"/>
              </w:rPr>
              <w:t>Household</w:t>
            </w:r>
          </w:p>
        </w:tc>
        <w:tc>
          <w:tcPr>
            <w:tcW w:w="1224" w:type="dxa"/>
            <w:tcBorders>
              <w:top w:val="nil"/>
              <w:left w:val="nil"/>
              <w:bottom w:val="single" w:sz="4" w:space="0" w:color="auto"/>
              <w:right w:val="single" w:sz="4" w:space="0" w:color="auto"/>
            </w:tcBorders>
            <w:shd w:val="clear" w:color="auto" w:fill="auto"/>
            <w:noWrap/>
            <w:hideMark/>
          </w:tcPr>
          <w:p w14:paraId="49ECE203"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92D050"/>
            <w:noWrap/>
            <w:hideMark/>
          </w:tcPr>
          <w:p w14:paraId="731C1607"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B995BAC"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55E92EE"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57DFF4B5" w14:textId="77777777" w:rsidTr="00DF5185">
        <w:tc>
          <w:tcPr>
            <w:tcW w:w="1184" w:type="dxa"/>
            <w:tcBorders>
              <w:left w:val="single" w:sz="4" w:space="0" w:color="auto"/>
              <w:right w:val="single" w:sz="4" w:space="0" w:color="auto"/>
            </w:tcBorders>
            <w:shd w:val="clear" w:color="000000" w:fill="FF6D00"/>
            <w:tcMar>
              <w:left w:w="72" w:type="dxa"/>
            </w:tcMar>
            <w:hideMark/>
          </w:tcPr>
          <w:p w14:paraId="36ECFD9C" w14:textId="72C2C36C" w:rsidR="00DF5185" w:rsidRPr="00150CD2" w:rsidRDefault="00DF5185" w:rsidP="00DF5185">
            <w:pPr>
              <w:pStyle w:val="EYTableText"/>
              <w:rPr>
                <w:rFonts w:cs="Arial"/>
              </w:rPr>
            </w:pPr>
          </w:p>
        </w:tc>
        <w:tc>
          <w:tcPr>
            <w:tcW w:w="2016" w:type="dxa"/>
            <w:tcBorders>
              <w:left w:val="single" w:sz="4" w:space="0" w:color="auto"/>
              <w:bottom w:val="nil"/>
              <w:right w:val="single" w:sz="4" w:space="0" w:color="auto"/>
            </w:tcBorders>
            <w:shd w:val="clear" w:color="auto" w:fill="auto"/>
            <w:tcMar>
              <w:left w:w="72" w:type="dxa"/>
            </w:tcMar>
            <w:hideMark/>
          </w:tcPr>
          <w:p w14:paraId="3CCA2B4E"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32EC1CD0" w14:textId="77777777" w:rsidR="00DF5185" w:rsidRPr="00150CD2" w:rsidRDefault="00DF5185" w:rsidP="00DF5185">
            <w:pPr>
              <w:pStyle w:val="EYTableText"/>
              <w:rPr>
                <w:rFonts w:cs="Arial"/>
              </w:rPr>
            </w:pPr>
            <w:r w:rsidRPr="00150CD2">
              <w:rPr>
                <w:rFonts w:cs="Arial"/>
              </w:rPr>
              <w:t>3.1.10</w:t>
            </w:r>
          </w:p>
        </w:tc>
        <w:tc>
          <w:tcPr>
            <w:tcW w:w="3600" w:type="dxa"/>
            <w:tcBorders>
              <w:top w:val="nil"/>
              <w:left w:val="nil"/>
              <w:bottom w:val="single" w:sz="4" w:space="0" w:color="auto"/>
              <w:right w:val="single" w:sz="4" w:space="0" w:color="auto"/>
            </w:tcBorders>
            <w:shd w:val="clear" w:color="auto" w:fill="auto"/>
            <w:hideMark/>
          </w:tcPr>
          <w:p w14:paraId="271A2A5C" w14:textId="77777777" w:rsidR="00DF5185" w:rsidRPr="00150CD2" w:rsidRDefault="00DF5185" w:rsidP="00DF5185">
            <w:pPr>
              <w:pStyle w:val="EYTableText"/>
              <w:rPr>
                <w:rFonts w:cs="Arial"/>
              </w:rPr>
            </w:pPr>
            <w:r w:rsidRPr="00150CD2">
              <w:rPr>
                <w:rFonts w:cs="Arial"/>
              </w:rPr>
              <w:t>Quality of housing</w:t>
            </w:r>
          </w:p>
        </w:tc>
        <w:tc>
          <w:tcPr>
            <w:tcW w:w="1584" w:type="dxa"/>
            <w:tcBorders>
              <w:top w:val="nil"/>
              <w:left w:val="nil"/>
              <w:bottom w:val="single" w:sz="4" w:space="0" w:color="auto"/>
              <w:right w:val="single" w:sz="4" w:space="0" w:color="auto"/>
            </w:tcBorders>
            <w:shd w:val="clear" w:color="auto" w:fill="auto"/>
            <w:noWrap/>
            <w:hideMark/>
          </w:tcPr>
          <w:p w14:paraId="31D7DA3F" w14:textId="77777777" w:rsidR="00DF5185" w:rsidRPr="00150CD2" w:rsidRDefault="00DF5185" w:rsidP="00DF5185">
            <w:pPr>
              <w:pStyle w:val="EYTableText"/>
              <w:rPr>
                <w:rFonts w:cs="Arial"/>
                <w:lang w:eastAsia="en-AU"/>
              </w:rPr>
            </w:pPr>
            <w:r w:rsidRPr="00150CD2">
              <w:rPr>
                <w:rFonts w:cs="Arial"/>
                <w:lang w:eastAsia="en-AU"/>
              </w:rPr>
              <w:t>Household</w:t>
            </w:r>
          </w:p>
        </w:tc>
        <w:tc>
          <w:tcPr>
            <w:tcW w:w="1224" w:type="dxa"/>
            <w:tcBorders>
              <w:top w:val="nil"/>
              <w:left w:val="nil"/>
              <w:bottom w:val="single" w:sz="4" w:space="0" w:color="auto"/>
              <w:right w:val="single" w:sz="4" w:space="0" w:color="auto"/>
            </w:tcBorders>
            <w:shd w:val="clear" w:color="auto" w:fill="auto"/>
            <w:noWrap/>
            <w:hideMark/>
          </w:tcPr>
          <w:p w14:paraId="40DC8006"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2FE8001A"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5269FCC9"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47138528"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21620B1E" w14:textId="77777777" w:rsidTr="00DF5185">
        <w:tc>
          <w:tcPr>
            <w:tcW w:w="1184" w:type="dxa"/>
            <w:tcBorders>
              <w:left w:val="single" w:sz="4" w:space="0" w:color="auto"/>
              <w:right w:val="single" w:sz="4" w:space="0" w:color="auto"/>
            </w:tcBorders>
            <w:shd w:val="clear" w:color="000000" w:fill="FF6D00"/>
            <w:tcMar>
              <w:left w:w="72" w:type="dxa"/>
            </w:tcMar>
            <w:hideMark/>
          </w:tcPr>
          <w:p w14:paraId="45BBA7C8" w14:textId="6BD194BF" w:rsidR="00DF5185" w:rsidRPr="00150CD2" w:rsidRDefault="00DF5185" w:rsidP="00DF5185">
            <w:pPr>
              <w:pStyle w:val="EYTableText"/>
              <w:rPr>
                <w:rFonts w:cs="Arial"/>
              </w:rPr>
            </w:pPr>
          </w:p>
        </w:tc>
        <w:tc>
          <w:tcPr>
            <w:tcW w:w="2016" w:type="dxa"/>
            <w:tcBorders>
              <w:top w:val="single" w:sz="4" w:space="0" w:color="auto"/>
              <w:left w:val="single" w:sz="4" w:space="0" w:color="auto"/>
              <w:right w:val="single" w:sz="4" w:space="0" w:color="auto"/>
            </w:tcBorders>
            <w:shd w:val="clear" w:color="auto" w:fill="auto"/>
            <w:tcMar>
              <w:left w:w="72" w:type="dxa"/>
            </w:tcMar>
            <w:hideMark/>
          </w:tcPr>
          <w:p w14:paraId="4B20904D" w14:textId="77777777" w:rsidR="00DF5185" w:rsidRPr="00150CD2" w:rsidRDefault="00DF5185" w:rsidP="00DF5185">
            <w:pPr>
              <w:pStyle w:val="EYTableText"/>
              <w:rPr>
                <w:rFonts w:cs="Arial"/>
                <w:lang w:eastAsia="en-AU"/>
              </w:rPr>
            </w:pPr>
            <w:r w:rsidRPr="00150CD2">
              <w:rPr>
                <w:rFonts w:cs="Arial"/>
                <w:lang w:eastAsia="en-AU"/>
              </w:rPr>
              <w:t>Have a network of quality, responsive supports</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3B4CC259" w14:textId="77777777" w:rsidR="00DF5185" w:rsidRPr="00150CD2" w:rsidRDefault="00DF5185" w:rsidP="00DF5185">
            <w:pPr>
              <w:pStyle w:val="EYTableText"/>
              <w:rPr>
                <w:rFonts w:cs="Arial"/>
              </w:rPr>
            </w:pPr>
            <w:r w:rsidRPr="00150CD2">
              <w:rPr>
                <w:rFonts w:cs="Arial"/>
              </w:rPr>
              <w:t>3.2.1</w:t>
            </w:r>
          </w:p>
        </w:tc>
        <w:tc>
          <w:tcPr>
            <w:tcW w:w="3600" w:type="dxa"/>
            <w:tcBorders>
              <w:top w:val="nil"/>
              <w:left w:val="nil"/>
              <w:bottom w:val="single" w:sz="4" w:space="0" w:color="auto"/>
              <w:right w:val="single" w:sz="4" w:space="0" w:color="auto"/>
            </w:tcBorders>
            <w:shd w:val="clear" w:color="auto" w:fill="auto"/>
            <w:hideMark/>
          </w:tcPr>
          <w:p w14:paraId="0AC8AB26" w14:textId="77777777" w:rsidR="00DF5185" w:rsidRPr="00150CD2" w:rsidRDefault="00DF5185" w:rsidP="00DF5185">
            <w:pPr>
              <w:pStyle w:val="EYTableText"/>
              <w:rPr>
                <w:rFonts w:cs="Arial"/>
              </w:rPr>
            </w:pPr>
            <w:r w:rsidRPr="00150CD2">
              <w:rPr>
                <w:rFonts w:cs="Arial"/>
              </w:rPr>
              <w:t>Flag for whether disabled adults receive help, and types of support received</w:t>
            </w:r>
          </w:p>
        </w:tc>
        <w:tc>
          <w:tcPr>
            <w:tcW w:w="1584" w:type="dxa"/>
            <w:tcBorders>
              <w:top w:val="nil"/>
              <w:left w:val="nil"/>
              <w:bottom w:val="single" w:sz="4" w:space="0" w:color="auto"/>
              <w:right w:val="single" w:sz="4" w:space="0" w:color="auto"/>
            </w:tcBorders>
            <w:shd w:val="clear" w:color="auto" w:fill="auto"/>
            <w:noWrap/>
            <w:hideMark/>
          </w:tcPr>
          <w:p w14:paraId="4F5A89F9" w14:textId="77777777" w:rsidR="00DF5185" w:rsidRPr="00150CD2" w:rsidRDefault="00DF5185"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5F6C05FF"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7C49E06A"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C99289F"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AB85EE4"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6BB8F231" w14:textId="77777777" w:rsidTr="00DF5185">
        <w:tc>
          <w:tcPr>
            <w:tcW w:w="1184" w:type="dxa"/>
            <w:tcBorders>
              <w:left w:val="single" w:sz="4" w:space="0" w:color="auto"/>
              <w:right w:val="single" w:sz="4" w:space="0" w:color="auto"/>
            </w:tcBorders>
            <w:shd w:val="clear" w:color="000000" w:fill="FF6D00"/>
            <w:tcMar>
              <w:left w:w="72" w:type="dxa"/>
            </w:tcMar>
            <w:hideMark/>
          </w:tcPr>
          <w:p w14:paraId="49513425" w14:textId="54290A5F"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4B4A5CC3"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7ED57F33" w14:textId="77777777" w:rsidR="00DF5185" w:rsidRPr="00150CD2" w:rsidRDefault="00DF5185" w:rsidP="00DF5185">
            <w:pPr>
              <w:pStyle w:val="EYTableText"/>
              <w:rPr>
                <w:rFonts w:cs="Arial"/>
              </w:rPr>
            </w:pPr>
            <w:r w:rsidRPr="00150CD2">
              <w:rPr>
                <w:rFonts w:cs="Arial"/>
              </w:rPr>
              <w:t>3.2.2</w:t>
            </w:r>
          </w:p>
        </w:tc>
        <w:tc>
          <w:tcPr>
            <w:tcW w:w="3600" w:type="dxa"/>
            <w:tcBorders>
              <w:top w:val="nil"/>
              <w:left w:val="nil"/>
              <w:bottom w:val="single" w:sz="4" w:space="0" w:color="auto"/>
              <w:right w:val="single" w:sz="4" w:space="0" w:color="auto"/>
            </w:tcBorders>
            <w:shd w:val="clear" w:color="auto" w:fill="auto"/>
            <w:hideMark/>
          </w:tcPr>
          <w:p w14:paraId="5F7DC9FA" w14:textId="77777777" w:rsidR="00DF5185" w:rsidRPr="00150CD2" w:rsidRDefault="00DF5185" w:rsidP="00DF5185">
            <w:pPr>
              <w:pStyle w:val="EYTableText"/>
              <w:rPr>
                <w:rFonts w:cs="Arial"/>
              </w:rPr>
            </w:pPr>
            <w:r w:rsidRPr="00150CD2">
              <w:rPr>
                <w:rFonts w:cs="Arial"/>
              </w:rPr>
              <w:t>Can access all the information they need about support services</w:t>
            </w:r>
          </w:p>
        </w:tc>
        <w:tc>
          <w:tcPr>
            <w:tcW w:w="1584" w:type="dxa"/>
            <w:tcBorders>
              <w:top w:val="nil"/>
              <w:left w:val="nil"/>
              <w:bottom w:val="single" w:sz="4" w:space="0" w:color="auto"/>
              <w:right w:val="single" w:sz="4" w:space="0" w:color="auto"/>
            </w:tcBorders>
            <w:shd w:val="clear" w:color="auto" w:fill="auto"/>
            <w:noWrap/>
            <w:hideMark/>
          </w:tcPr>
          <w:p w14:paraId="77BA5ECC" w14:textId="77777777" w:rsidR="00DF5185" w:rsidRPr="00150CD2" w:rsidRDefault="00DF5185" w:rsidP="00DF5185">
            <w:pPr>
              <w:pStyle w:val="EYTableText"/>
              <w:rPr>
                <w:rFonts w:cs="Arial"/>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43D3B64A"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586628A3"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E5F410D"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74F4899"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51D36131" w14:textId="77777777" w:rsidTr="00DF5185">
        <w:tc>
          <w:tcPr>
            <w:tcW w:w="1184" w:type="dxa"/>
            <w:tcBorders>
              <w:left w:val="single" w:sz="4" w:space="0" w:color="auto"/>
              <w:right w:val="single" w:sz="4" w:space="0" w:color="auto"/>
            </w:tcBorders>
            <w:shd w:val="clear" w:color="000000" w:fill="FF6D00"/>
            <w:tcMar>
              <w:left w:w="72" w:type="dxa"/>
            </w:tcMar>
            <w:hideMark/>
          </w:tcPr>
          <w:p w14:paraId="313042E7" w14:textId="54DDC58B"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2383708F"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0481F339" w14:textId="77777777" w:rsidR="00DF5185" w:rsidRPr="00150CD2" w:rsidRDefault="00DF5185" w:rsidP="00DF5185">
            <w:pPr>
              <w:pStyle w:val="EYTableText"/>
              <w:rPr>
                <w:rFonts w:cs="Arial"/>
              </w:rPr>
            </w:pPr>
            <w:r w:rsidRPr="00150CD2">
              <w:rPr>
                <w:rFonts w:cs="Arial"/>
              </w:rPr>
              <w:t>3.2.3</w:t>
            </w:r>
          </w:p>
        </w:tc>
        <w:tc>
          <w:tcPr>
            <w:tcW w:w="3600" w:type="dxa"/>
            <w:tcBorders>
              <w:top w:val="nil"/>
              <w:left w:val="nil"/>
              <w:bottom w:val="single" w:sz="4" w:space="0" w:color="auto"/>
              <w:right w:val="single" w:sz="4" w:space="0" w:color="auto"/>
            </w:tcBorders>
            <w:shd w:val="clear" w:color="auto" w:fill="auto"/>
            <w:hideMark/>
          </w:tcPr>
          <w:p w14:paraId="085C79F2" w14:textId="77777777" w:rsidR="00DF5185" w:rsidRPr="00150CD2" w:rsidRDefault="00DF5185" w:rsidP="00DF5185">
            <w:pPr>
              <w:pStyle w:val="EYTableText"/>
              <w:rPr>
                <w:rFonts w:cs="Arial"/>
              </w:rPr>
            </w:pPr>
            <w:r w:rsidRPr="00150CD2">
              <w:rPr>
                <w:rFonts w:cs="Arial"/>
              </w:rPr>
              <w:t>Have enough support to achieve what they want</w:t>
            </w:r>
          </w:p>
        </w:tc>
        <w:tc>
          <w:tcPr>
            <w:tcW w:w="1584" w:type="dxa"/>
            <w:tcBorders>
              <w:top w:val="nil"/>
              <w:left w:val="nil"/>
              <w:bottom w:val="single" w:sz="4" w:space="0" w:color="auto"/>
              <w:right w:val="single" w:sz="4" w:space="0" w:color="auto"/>
            </w:tcBorders>
            <w:shd w:val="clear" w:color="auto" w:fill="auto"/>
            <w:noWrap/>
            <w:hideMark/>
          </w:tcPr>
          <w:p w14:paraId="5EBF0125" w14:textId="77777777" w:rsidR="00DF5185" w:rsidRPr="00150CD2" w:rsidRDefault="00DF5185" w:rsidP="00DF5185">
            <w:pPr>
              <w:pStyle w:val="EYTableText"/>
              <w:rPr>
                <w:rFonts w:cs="Arial"/>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609BC62D"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094C1B8"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3054A2AB"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39F148CC"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7456A6AC" w14:textId="77777777" w:rsidTr="00DF5185">
        <w:tc>
          <w:tcPr>
            <w:tcW w:w="1184" w:type="dxa"/>
            <w:tcBorders>
              <w:left w:val="single" w:sz="4" w:space="0" w:color="auto"/>
              <w:right w:val="single" w:sz="4" w:space="0" w:color="auto"/>
            </w:tcBorders>
            <w:shd w:val="clear" w:color="000000" w:fill="FF6D00"/>
            <w:tcMar>
              <w:left w:w="72" w:type="dxa"/>
            </w:tcMar>
            <w:hideMark/>
          </w:tcPr>
          <w:p w14:paraId="35447A8E" w14:textId="663337C4"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1F1E66B1"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6C564441" w14:textId="77777777" w:rsidR="00DF5185" w:rsidRPr="00150CD2" w:rsidRDefault="00DF5185" w:rsidP="00DF5185">
            <w:pPr>
              <w:pStyle w:val="EYTableText"/>
              <w:rPr>
                <w:rFonts w:cs="Arial"/>
              </w:rPr>
            </w:pPr>
            <w:r w:rsidRPr="00150CD2">
              <w:rPr>
                <w:rFonts w:cs="Arial"/>
              </w:rPr>
              <w:t>3.2.4</w:t>
            </w:r>
          </w:p>
        </w:tc>
        <w:tc>
          <w:tcPr>
            <w:tcW w:w="3600" w:type="dxa"/>
            <w:tcBorders>
              <w:top w:val="nil"/>
              <w:left w:val="nil"/>
              <w:bottom w:val="single" w:sz="4" w:space="0" w:color="auto"/>
              <w:right w:val="single" w:sz="4" w:space="0" w:color="auto"/>
            </w:tcBorders>
            <w:shd w:val="clear" w:color="auto" w:fill="auto"/>
            <w:hideMark/>
          </w:tcPr>
          <w:p w14:paraId="4485550B" w14:textId="77777777" w:rsidR="00DF5185" w:rsidRPr="00150CD2" w:rsidRDefault="00DF5185" w:rsidP="00DF5185">
            <w:pPr>
              <w:pStyle w:val="EYTableText"/>
              <w:rPr>
                <w:rFonts w:cs="Arial"/>
              </w:rPr>
            </w:pPr>
            <w:r w:rsidRPr="00150CD2">
              <w:rPr>
                <w:rFonts w:cs="Arial"/>
              </w:rPr>
              <w:t>Believes supports respect their culture/beliefs</w:t>
            </w:r>
          </w:p>
        </w:tc>
        <w:tc>
          <w:tcPr>
            <w:tcW w:w="1584" w:type="dxa"/>
            <w:tcBorders>
              <w:top w:val="nil"/>
              <w:left w:val="nil"/>
              <w:bottom w:val="single" w:sz="4" w:space="0" w:color="auto"/>
              <w:right w:val="single" w:sz="4" w:space="0" w:color="auto"/>
            </w:tcBorders>
            <w:shd w:val="clear" w:color="auto" w:fill="auto"/>
            <w:noWrap/>
            <w:hideMark/>
          </w:tcPr>
          <w:p w14:paraId="4A1C6255" w14:textId="77777777" w:rsidR="00DF5185" w:rsidRPr="00150CD2" w:rsidRDefault="00DF5185" w:rsidP="00DF5185">
            <w:pPr>
              <w:pStyle w:val="EYTableText"/>
              <w:rPr>
                <w:rFonts w:cs="Arial"/>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3DF540D4"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EBA93D7"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02FFD41"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6C13603B"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082FEE5F" w14:textId="77777777" w:rsidTr="00DF5185">
        <w:tc>
          <w:tcPr>
            <w:tcW w:w="1184" w:type="dxa"/>
            <w:tcBorders>
              <w:left w:val="single" w:sz="4" w:space="0" w:color="auto"/>
              <w:right w:val="single" w:sz="4" w:space="0" w:color="auto"/>
            </w:tcBorders>
            <w:shd w:val="clear" w:color="000000" w:fill="FF6D00"/>
            <w:tcMar>
              <w:left w:w="72" w:type="dxa"/>
            </w:tcMar>
            <w:hideMark/>
          </w:tcPr>
          <w:p w14:paraId="3B4518E2" w14:textId="38C310AC"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64D86E71"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5E11C4CF" w14:textId="77777777" w:rsidR="00DF5185" w:rsidRPr="00150CD2" w:rsidRDefault="00DF5185" w:rsidP="00DF5185">
            <w:pPr>
              <w:pStyle w:val="EYTableText"/>
              <w:rPr>
                <w:rFonts w:cs="Arial"/>
              </w:rPr>
            </w:pPr>
            <w:r w:rsidRPr="00150CD2">
              <w:rPr>
                <w:rFonts w:cs="Arial"/>
              </w:rPr>
              <w:t>3.2.5</w:t>
            </w:r>
          </w:p>
        </w:tc>
        <w:tc>
          <w:tcPr>
            <w:tcW w:w="3600" w:type="dxa"/>
            <w:tcBorders>
              <w:top w:val="nil"/>
              <w:left w:val="nil"/>
              <w:bottom w:val="single" w:sz="4" w:space="0" w:color="auto"/>
              <w:right w:val="single" w:sz="4" w:space="0" w:color="auto"/>
            </w:tcBorders>
            <w:shd w:val="clear" w:color="auto" w:fill="auto"/>
            <w:hideMark/>
          </w:tcPr>
          <w:p w14:paraId="6AB81848" w14:textId="77777777" w:rsidR="00DF5185" w:rsidRPr="00150CD2" w:rsidRDefault="00DF5185" w:rsidP="00DF5185">
            <w:pPr>
              <w:pStyle w:val="EYTableText"/>
              <w:rPr>
                <w:rFonts w:cs="Arial"/>
              </w:rPr>
            </w:pPr>
            <w:r w:rsidRPr="00150CD2">
              <w:rPr>
                <w:rFonts w:cs="Arial"/>
              </w:rPr>
              <w:t>Believe they are understood when they communicate</w:t>
            </w:r>
          </w:p>
        </w:tc>
        <w:tc>
          <w:tcPr>
            <w:tcW w:w="1584" w:type="dxa"/>
            <w:tcBorders>
              <w:top w:val="nil"/>
              <w:left w:val="nil"/>
              <w:bottom w:val="single" w:sz="4" w:space="0" w:color="auto"/>
              <w:right w:val="single" w:sz="4" w:space="0" w:color="auto"/>
            </w:tcBorders>
            <w:shd w:val="clear" w:color="auto" w:fill="auto"/>
            <w:noWrap/>
            <w:hideMark/>
          </w:tcPr>
          <w:p w14:paraId="33886F41" w14:textId="77777777" w:rsidR="00DF5185" w:rsidRPr="00150CD2" w:rsidRDefault="00DF5185" w:rsidP="00DF5185">
            <w:pPr>
              <w:pStyle w:val="EYTableText"/>
              <w:rPr>
                <w:rFonts w:cs="Arial"/>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1420D613"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67FC3B0"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B238F09"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E331BD9"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1F3B3691" w14:textId="77777777" w:rsidTr="00DF5185">
        <w:tc>
          <w:tcPr>
            <w:tcW w:w="1184" w:type="dxa"/>
            <w:tcBorders>
              <w:left w:val="single" w:sz="4" w:space="0" w:color="auto"/>
              <w:right w:val="single" w:sz="4" w:space="0" w:color="auto"/>
            </w:tcBorders>
            <w:shd w:val="clear" w:color="000000" w:fill="FF6D00"/>
            <w:tcMar>
              <w:left w:w="72" w:type="dxa"/>
            </w:tcMar>
            <w:hideMark/>
          </w:tcPr>
          <w:p w14:paraId="31D86E02" w14:textId="1724C8EB"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5700FEBE"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5C39ABD1" w14:textId="77777777" w:rsidR="00DF5185" w:rsidRPr="00150CD2" w:rsidRDefault="00DF5185" w:rsidP="00DF5185">
            <w:pPr>
              <w:pStyle w:val="EYTableText"/>
              <w:rPr>
                <w:rFonts w:cs="Arial"/>
              </w:rPr>
            </w:pPr>
            <w:r w:rsidRPr="00150CD2">
              <w:rPr>
                <w:rFonts w:cs="Arial"/>
              </w:rPr>
              <w:t>3.2.6</w:t>
            </w:r>
          </w:p>
        </w:tc>
        <w:tc>
          <w:tcPr>
            <w:tcW w:w="3600" w:type="dxa"/>
            <w:tcBorders>
              <w:top w:val="nil"/>
              <w:left w:val="nil"/>
              <w:bottom w:val="single" w:sz="4" w:space="0" w:color="auto"/>
              <w:right w:val="single" w:sz="4" w:space="0" w:color="auto"/>
            </w:tcBorders>
            <w:shd w:val="clear" w:color="auto" w:fill="auto"/>
            <w:hideMark/>
          </w:tcPr>
          <w:p w14:paraId="2B81673D" w14:textId="77777777" w:rsidR="00DF5185" w:rsidRPr="00150CD2" w:rsidRDefault="00DF5185" w:rsidP="00DF5185">
            <w:pPr>
              <w:pStyle w:val="EYTableText"/>
              <w:rPr>
                <w:rFonts w:cs="Arial"/>
              </w:rPr>
            </w:pPr>
            <w:r w:rsidRPr="00150CD2">
              <w:rPr>
                <w:rFonts w:cs="Arial"/>
              </w:rPr>
              <w:t>Find supports are easy to access and use</w:t>
            </w:r>
          </w:p>
        </w:tc>
        <w:tc>
          <w:tcPr>
            <w:tcW w:w="1584" w:type="dxa"/>
            <w:tcBorders>
              <w:top w:val="nil"/>
              <w:left w:val="nil"/>
              <w:bottom w:val="single" w:sz="4" w:space="0" w:color="auto"/>
              <w:right w:val="single" w:sz="4" w:space="0" w:color="auto"/>
            </w:tcBorders>
            <w:shd w:val="clear" w:color="auto" w:fill="auto"/>
            <w:noWrap/>
            <w:hideMark/>
          </w:tcPr>
          <w:p w14:paraId="1E6261BC" w14:textId="77777777" w:rsidR="00DF5185" w:rsidRPr="00150CD2" w:rsidRDefault="00DF5185" w:rsidP="00DF5185">
            <w:pPr>
              <w:pStyle w:val="EYTableText"/>
              <w:rPr>
                <w:rFonts w:cs="Arial"/>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3F4C2338"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B36E4EF"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32D3D015"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2E27A44"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189D311F" w14:textId="77777777" w:rsidTr="00DF5185">
        <w:tc>
          <w:tcPr>
            <w:tcW w:w="1184" w:type="dxa"/>
            <w:tcBorders>
              <w:left w:val="single" w:sz="4" w:space="0" w:color="auto"/>
              <w:right w:val="single" w:sz="4" w:space="0" w:color="auto"/>
            </w:tcBorders>
            <w:shd w:val="clear" w:color="000000" w:fill="FF6D00"/>
            <w:tcMar>
              <w:left w:w="72" w:type="dxa"/>
            </w:tcMar>
            <w:hideMark/>
          </w:tcPr>
          <w:p w14:paraId="3DA91A8A" w14:textId="46148391" w:rsidR="00DF5185" w:rsidRPr="00150CD2" w:rsidRDefault="00DF5185" w:rsidP="00DF5185">
            <w:pPr>
              <w:pStyle w:val="EYTableText"/>
              <w:rPr>
                <w:rFonts w:cs="Arial"/>
              </w:rPr>
            </w:pPr>
          </w:p>
        </w:tc>
        <w:tc>
          <w:tcPr>
            <w:tcW w:w="2016" w:type="dxa"/>
            <w:tcBorders>
              <w:left w:val="single" w:sz="4" w:space="0" w:color="auto"/>
              <w:bottom w:val="single" w:sz="4" w:space="0" w:color="000000"/>
              <w:right w:val="single" w:sz="4" w:space="0" w:color="auto"/>
            </w:tcBorders>
            <w:shd w:val="clear" w:color="auto" w:fill="auto"/>
            <w:tcMar>
              <w:left w:w="72" w:type="dxa"/>
            </w:tcMar>
            <w:hideMark/>
          </w:tcPr>
          <w:p w14:paraId="1B6BED03"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16704D81" w14:textId="77777777" w:rsidR="00DF5185" w:rsidRPr="00150CD2" w:rsidRDefault="00DF5185" w:rsidP="00DF5185">
            <w:pPr>
              <w:pStyle w:val="EYTableText"/>
              <w:rPr>
                <w:rFonts w:cs="Arial"/>
              </w:rPr>
            </w:pPr>
            <w:r w:rsidRPr="00150CD2">
              <w:rPr>
                <w:rFonts w:cs="Arial"/>
              </w:rPr>
              <w:t>3.2.7</w:t>
            </w:r>
          </w:p>
        </w:tc>
        <w:tc>
          <w:tcPr>
            <w:tcW w:w="3600" w:type="dxa"/>
            <w:tcBorders>
              <w:top w:val="nil"/>
              <w:left w:val="nil"/>
              <w:bottom w:val="single" w:sz="4" w:space="0" w:color="auto"/>
              <w:right w:val="single" w:sz="4" w:space="0" w:color="auto"/>
            </w:tcBorders>
            <w:shd w:val="clear" w:color="auto" w:fill="auto"/>
            <w:hideMark/>
          </w:tcPr>
          <w:p w14:paraId="6D5A174A" w14:textId="77777777" w:rsidR="00DF5185" w:rsidRPr="00150CD2" w:rsidRDefault="00DF5185" w:rsidP="00DF5185">
            <w:pPr>
              <w:pStyle w:val="EYTableText"/>
              <w:rPr>
                <w:rFonts w:cs="Arial"/>
              </w:rPr>
            </w:pPr>
            <w:r w:rsidRPr="00150CD2">
              <w:rPr>
                <w:rFonts w:cs="Arial"/>
              </w:rPr>
              <w:t>Are satisfied overall with services provided</w:t>
            </w:r>
          </w:p>
        </w:tc>
        <w:tc>
          <w:tcPr>
            <w:tcW w:w="1584" w:type="dxa"/>
            <w:tcBorders>
              <w:top w:val="nil"/>
              <w:left w:val="nil"/>
              <w:bottom w:val="single" w:sz="4" w:space="0" w:color="auto"/>
              <w:right w:val="single" w:sz="4" w:space="0" w:color="auto"/>
            </w:tcBorders>
            <w:shd w:val="clear" w:color="auto" w:fill="auto"/>
            <w:noWrap/>
            <w:hideMark/>
          </w:tcPr>
          <w:p w14:paraId="343C7263" w14:textId="77777777" w:rsidR="00DF5185" w:rsidRPr="00150CD2" w:rsidRDefault="00DF5185" w:rsidP="00DF5185">
            <w:pPr>
              <w:pStyle w:val="EYTableText"/>
              <w:rPr>
                <w:rFonts w:cs="Arial"/>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0DFD073A"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01650BC"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66479E5D"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64934FEB"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140E86A9" w14:textId="77777777" w:rsidTr="00DF5185">
        <w:tc>
          <w:tcPr>
            <w:tcW w:w="1184" w:type="dxa"/>
            <w:tcBorders>
              <w:left w:val="single" w:sz="4" w:space="0" w:color="auto"/>
              <w:right w:val="single" w:sz="4" w:space="0" w:color="auto"/>
            </w:tcBorders>
            <w:shd w:val="clear" w:color="000000" w:fill="FF6D00"/>
            <w:tcMar>
              <w:left w:w="72" w:type="dxa"/>
            </w:tcMar>
            <w:hideMark/>
          </w:tcPr>
          <w:p w14:paraId="61723F5C" w14:textId="4376F509" w:rsidR="00DF5185" w:rsidRPr="00150CD2" w:rsidRDefault="00DF5185" w:rsidP="00DF5185">
            <w:pPr>
              <w:pStyle w:val="EYTableText"/>
              <w:rPr>
                <w:rFonts w:cs="Arial"/>
              </w:rPr>
            </w:pPr>
          </w:p>
        </w:tc>
        <w:tc>
          <w:tcPr>
            <w:tcW w:w="2016" w:type="dxa"/>
            <w:tcBorders>
              <w:top w:val="nil"/>
              <w:left w:val="nil"/>
              <w:bottom w:val="nil"/>
              <w:right w:val="single" w:sz="4" w:space="0" w:color="auto"/>
            </w:tcBorders>
            <w:shd w:val="clear" w:color="auto" w:fill="auto"/>
            <w:tcMar>
              <w:left w:w="72" w:type="dxa"/>
            </w:tcMar>
            <w:hideMark/>
          </w:tcPr>
          <w:p w14:paraId="76F5A919" w14:textId="77777777" w:rsidR="00DF5185" w:rsidRPr="00150CD2" w:rsidRDefault="00DF5185" w:rsidP="00DF5185">
            <w:pPr>
              <w:pStyle w:val="EYTableText"/>
              <w:rPr>
                <w:rFonts w:cs="Arial"/>
                <w:lang w:eastAsia="en-AU"/>
              </w:rPr>
            </w:pPr>
            <w:r w:rsidRPr="00150CD2">
              <w:rPr>
                <w:rFonts w:cs="Arial"/>
                <w:lang w:eastAsia="en-AU"/>
              </w:rPr>
              <w:t>Have the equipment they need to go about their daily lives</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49652DE0" w14:textId="77777777" w:rsidR="00DF5185" w:rsidRPr="00150CD2" w:rsidRDefault="00DF5185" w:rsidP="00DF5185">
            <w:pPr>
              <w:pStyle w:val="EYTableText"/>
              <w:rPr>
                <w:rFonts w:cs="Arial"/>
              </w:rPr>
            </w:pPr>
            <w:r w:rsidRPr="00150CD2">
              <w:rPr>
                <w:rFonts w:cs="Arial"/>
              </w:rPr>
              <w:t>3.3</w:t>
            </w:r>
          </w:p>
        </w:tc>
        <w:tc>
          <w:tcPr>
            <w:tcW w:w="3600" w:type="dxa"/>
            <w:tcBorders>
              <w:top w:val="nil"/>
              <w:left w:val="nil"/>
              <w:bottom w:val="single" w:sz="4" w:space="0" w:color="auto"/>
              <w:right w:val="single" w:sz="4" w:space="0" w:color="auto"/>
            </w:tcBorders>
            <w:shd w:val="clear" w:color="auto" w:fill="auto"/>
            <w:hideMark/>
          </w:tcPr>
          <w:p w14:paraId="499DC5B6" w14:textId="77777777" w:rsidR="00DF5185" w:rsidRPr="00150CD2" w:rsidRDefault="00DF5185" w:rsidP="00DF5185">
            <w:pPr>
              <w:pStyle w:val="EYTableText"/>
              <w:rPr>
                <w:rFonts w:cs="Arial"/>
              </w:rPr>
            </w:pPr>
            <w:r w:rsidRPr="00150CD2">
              <w:rPr>
                <w:rFonts w:cs="Arial"/>
              </w:rPr>
              <w:t>Variables related to the use of and unmet need for special equipment, and types of support received</w:t>
            </w:r>
          </w:p>
        </w:tc>
        <w:tc>
          <w:tcPr>
            <w:tcW w:w="1584" w:type="dxa"/>
            <w:tcBorders>
              <w:top w:val="nil"/>
              <w:left w:val="nil"/>
              <w:bottom w:val="single" w:sz="4" w:space="0" w:color="auto"/>
              <w:right w:val="single" w:sz="4" w:space="0" w:color="auto"/>
            </w:tcBorders>
            <w:shd w:val="clear" w:color="auto" w:fill="auto"/>
            <w:noWrap/>
            <w:hideMark/>
          </w:tcPr>
          <w:p w14:paraId="44B6C111" w14:textId="77777777" w:rsidR="00DF5185" w:rsidRPr="00150CD2" w:rsidRDefault="00DF5185"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32197CDF"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030473FC"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6DD9E4B5"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92D050"/>
            <w:noWrap/>
            <w:hideMark/>
          </w:tcPr>
          <w:p w14:paraId="5B27D862"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3D17775E" w14:textId="77777777" w:rsidTr="00DF5185">
        <w:tc>
          <w:tcPr>
            <w:tcW w:w="1184" w:type="dxa"/>
            <w:tcBorders>
              <w:left w:val="single" w:sz="4" w:space="0" w:color="auto"/>
              <w:right w:val="single" w:sz="4" w:space="0" w:color="auto"/>
            </w:tcBorders>
            <w:shd w:val="clear" w:color="000000" w:fill="FF6D00"/>
            <w:tcMar>
              <w:left w:w="72" w:type="dxa"/>
            </w:tcMar>
            <w:hideMark/>
          </w:tcPr>
          <w:p w14:paraId="0C50C522" w14:textId="0D4A57D8" w:rsidR="00DF5185" w:rsidRPr="00150CD2" w:rsidRDefault="00DF5185" w:rsidP="00DF5185">
            <w:pPr>
              <w:pStyle w:val="EYTableText"/>
              <w:rPr>
                <w:rFonts w:cs="Arial"/>
              </w:rPr>
            </w:pPr>
          </w:p>
        </w:tc>
        <w:tc>
          <w:tcPr>
            <w:tcW w:w="2016" w:type="dxa"/>
            <w:tcBorders>
              <w:top w:val="single" w:sz="4" w:space="0" w:color="auto"/>
              <w:left w:val="single" w:sz="4" w:space="0" w:color="auto"/>
              <w:right w:val="single" w:sz="4" w:space="0" w:color="auto"/>
            </w:tcBorders>
            <w:shd w:val="clear" w:color="auto" w:fill="auto"/>
            <w:tcMar>
              <w:left w:w="72" w:type="dxa"/>
            </w:tcMar>
            <w:hideMark/>
          </w:tcPr>
          <w:p w14:paraId="11A7649F" w14:textId="77777777" w:rsidR="00DF5185" w:rsidRPr="00150CD2" w:rsidRDefault="00DF5185" w:rsidP="00DF5185">
            <w:pPr>
              <w:pStyle w:val="EYTableText"/>
              <w:rPr>
                <w:rFonts w:cs="Arial"/>
                <w:lang w:eastAsia="en-AU"/>
              </w:rPr>
            </w:pPr>
            <w:r w:rsidRPr="00150CD2">
              <w:rPr>
                <w:rFonts w:cs="Arial"/>
                <w:lang w:eastAsia="en-AU"/>
              </w:rPr>
              <w:t>Have access to private and public transport</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5DCBF53C" w14:textId="77777777" w:rsidR="00DF5185" w:rsidRPr="00150CD2" w:rsidRDefault="00DF5185" w:rsidP="00DF5185">
            <w:pPr>
              <w:pStyle w:val="EYTableText"/>
              <w:rPr>
                <w:rFonts w:cs="Arial"/>
              </w:rPr>
            </w:pPr>
            <w:r w:rsidRPr="00150CD2">
              <w:rPr>
                <w:rFonts w:cs="Arial"/>
              </w:rPr>
              <w:t>3.4.1</w:t>
            </w:r>
          </w:p>
        </w:tc>
        <w:tc>
          <w:tcPr>
            <w:tcW w:w="3600" w:type="dxa"/>
            <w:tcBorders>
              <w:top w:val="nil"/>
              <w:left w:val="nil"/>
              <w:bottom w:val="single" w:sz="4" w:space="0" w:color="auto"/>
              <w:right w:val="single" w:sz="4" w:space="0" w:color="auto"/>
            </w:tcBorders>
            <w:shd w:val="clear" w:color="auto" w:fill="auto"/>
            <w:hideMark/>
          </w:tcPr>
          <w:p w14:paraId="748BF7F4" w14:textId="77777777" w:rsidR="00DF5185" w:rsidRPr="00150CD2" w:rsidRDefault="00DF5185" w:rsidP="00DF5185">
            <w:pPr>
              <w:pStyle w:val="EYTableText"/>
              <w:rPr>
                <w:rFonts w:cs="Arial"/>
              </w:rPr>
            </w:pPr>
            <w:r w:rsidRPr="00150CD2">
              <w:rPr>
                <w:rFonts w:cs="Arial"/>
              </w:rPr>
              <w:t>Difficulties accessing/using private and public transport for short/long distance travel. Specifics including different types of transport and descriptions of difficulties</w:t>
            </w:r>
          </w:p>
        </w:tc>
        <w:tc>
          <w:tcPr>
            <w:tcW w:w="1584" w:type="dxa"/>
            <w:tcBorders>
              <w:top w:val="nil"/>
              <w:left w:val="nil"/>
              <w:bottom w:val="single" w:sz="4" w:space="0" w:color="auto"/>
              <w:right w:val="single" w:sz="4" w:space="0" w:color="auto"/>
            </w:tcBorders>
            <w:shd w:val="clear" w:color="auto" w:fill="auto"/>
            <w:noWrap/>
            <w:hideMark/>
          </w:tcPr>
          <w:p w14:paraId="38B440D4" w14:textId="77777777" w:rsidR="00DF5185" w:rsidRPr="00150CD2" w:rsidRDefault="00DF5185"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7627E226"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0B29692A"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2A01460"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23AA3EF"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76DCFFD8" w14:textId="77777777" w:rsidTr="00DF5185">
        <w:tc>
          <w:tcPr>
            <w:tcW w:w="1184" w:type="dxa"/>
            <w:tcBorders>
              <w:left w:val="single" w:sz="4" w:space="0" w:color="auto"/>
              <w:right w:val="single" w:sz="4" w:space="0" w:color="auto"/>
            </w:tcBorders>
            <w:shd w:val="clear" w:color="000000" w:fill="FF6D00"/>
            <w:tcMar>
              <w:left w:w="72" w:type="dxa"/>
            </w:tcMar>
            <w:hideMark/>
          </w:tcPr>
          <w:p w14:paraId="484B3507" w14:textId="7DE4E6C7"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083E2C42"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543483DE" w14:textId="77777777" w:rsidR="00DF5185" w:rsidRPr="00150CD2" w:rsidRDefault="00DF5185" w:rsidP="00DF5185">
            <w:pPr>
              <w:pStyle w:val="EYTableText"/>
              <w:rPr>
                <w:rFonts w:cs="Arial"/>
              </w:rPr>
            </w:pPr>
            <w:r w:rsidRPr="00150CD2">
              <w:rPr>
                <w:rFonts w:cs="Arial"/>
              </w:rPr>
              <w:t>3.4.2</w:t>
            </w:r>
          </w:p>
        </w:tc>
        <w:tc>
          <w:tcPr>
            <w:tcW w:w="3600" w:type="dxa"/>
            <w:tcBorders>
              <w:top w:val="nil"/>
              <w:left w:val="nil"/>
              <w:bottom w:val="single" w:sz="4" w:space="0" w:color="auto"/>
              <w:right w:val="single" w:sz="4" w:space="0" w:color="auto"/>
            </w:tcBorders>
            <w:shd w:val="clear" w:color="auto" w:fill="auto"/>
            <w:hideMark/>
          </w:tcPr>
          <w:p w14:paraId="7DB3B5B5" w14:textId="579B9567" w:rsidR="00DF5185" w:rsidRPr="00150CD2" w:rsidRDefault="00DF5185" w:rsidP="00DF5185">
            <w:pPr>
              <w:pStyle w:val="EYTableText"/>
              <w:rPr>
                <w:rFonts w:cs="Arial"/>
              </w:rPr>
            </w:pPr>
            <w:r w:rsidRPr="00150CD2">
              <w:rPr>
                <w:rFonts w:cs="Arial"/>
              </w:rPr>
              <w:t>Have a driver licence/Motor vehicle registration</w:t>
            </w:r>
          </w:p>
        </w:tc>
        <w:tc>
          <w:tcPr>
            <w:tcW w:w="1584" w:type="dxa"/>
            <w:tcBorders>
              <w:top w:val="nil"/>
              <w:left w:val="nil"/>
              <w:bottom w:val="single" w:sz="4" w:space="0" w:color="auto"/>
              <w:right w:val="single" w:sz="4" w:space="0" w:color="auto"/>
            </w:tcBorders>
            <w:shd w:val="clear" w:color="auto" w:fill="auto"/>
            <w:noWrap/>
            <w:hideMark/>
          </w:tcPr>
          <w:p w14:paraId="724EEDB1" w14:textId="77777777" w:rsidR="00DF5185" w:rsidRPr="00150CD2" w:rsidRDefault="00DF5185"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590192C4"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365C949E"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56F1B97D"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265C4B5"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02E753C0" w14:textId="77777777" w:rsidTr="00DF5185">
        <w:tc>
          <w:tcPr>
            <w:tcW w:w="1184" w:type="dxa"/>
            <w:tcBorders>
              <w:left w:val="single" w:sz="4" w:space="0" w:color="auto"/>
              <w:right w:val="single" w:sz="4" w:space="0" w:color="auto"/>
            </w:tcBorders>
            <w:shd w:val="clear" w:color="000000" w:fill="FF6D00"/>
            <w:tcMar>
              <w:left w:w="72" w:type="dxa"/>
            </w:tcMar>
            <w:hideMark/>
          </w:tcPr>
          <w:p w14:paraId="174FEBA5" w14:textId="2A2EFACC" w:rsidR="00DF5185" w:rsidRPr="00150CD2" w:rsidRDefault="00DF5185"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700FDB40"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2B5B1CF0" w14:textId="77777777" w:rsidR="00DF5185" w:rsidRPr="00150CD2" w:rsidRDefault="00DF5185" w:rsidP="00DF5185">
            <w:pPr>
              <w:pStyle w:val="EYTableText"/>
              <w:rPr>
                <w:rFonts w:cs="Arial"/>
              </w:rPr>
            </w:pPr>
            <w:r w:rsidRPr="00150CD2">
              <w:rPr>
                <w:rFonts w:cs="Arial"/>
              </w:rPr>
              <w:t>3.4.3</w:t>
            </w:r>
          </w:p>
        </w:tc>
        <w:tc>
          <w:tcPr>
            <w:tcW w:w="3600" w:type="dxa"/>
            <w:tcBorders>
              <w:top w:val="nil"/>
              <w:left w:val="nil"/>
              <w:bottom w:val="single" w:sz="4" w:space="0" w:color="auto"/>
              <w:right w:val="single" w:sz="4" w:space="0" w:color="auto"/>
            </w:tcBorders>
            <w:shd w:val="clear" w:color="auto" w:fill="auto"/>
            <w:hideMark/>
          </w:tcPr>
          <w:p w14:paraId="6171F23C" w14:textId="77777777" w:rsidR="00DF5185" w:rsidRPr="00150CD2" w:rsidRDefault="00DF5185" w:rsidP="00DF5185">
            <w:pPr>
              <w:pStyle w:val="EYTableText"/>
              <w:rPr>
                <w:rFonts w:cs="Arial"/>
              </w:rPr>
            </w:pPr>
            <w:r w:rsidRPr="00150CD2">
              <w:rPr>
                <w:rFonts w:cs="Arial"/>
              </w:rPr>
              <w:t>Issues of transportation: cost, loss of ability, location, access, time</w:t>
            </w:r>
          </w:p>
        </w:tc>
        <w:tc>
          <w:tcPr>
            <w:tcW w:w="1584" w:type="dxa"/>
            <w:tcBorders>
              <w:top w:val="nil"/>
              <w:left w:val="nil"/>
              <w:bottom w:val="single" w:sz="4" w:space="0" w:color="auto"/>
              <w:right w:val="single" w:sz="4" w:space="0" w:color="auto"/>
            </w:tcBorders>
            <w:shd w:val="clear" w:color="auto" w:fill="auto"/>
            <w:noWrap/>
            <w:hideMark/>
          </w:tcPr>
          <w:p w14:paraId="6B66D9D6" w14:textId="77777777" w:rsidR="00DF5185" w:rsidRPr="00150CD2" w:rsidRDefault="00DF5185"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63BFD21D" w14:textId="77777777" w:rsidR="00DF5185" w:rsidRPr="00150CD2" w:rsidRDefault="00DF5185" w:rsidP="00DF5185">
            <w:pPr>
              <w:pStyle w:val="EYTableText"/>
              <w:rPr>
                <w:rFonts w:cs="Arial"/>
                <w:lang w:eastAsia="en-AU"/>
              </w:rPr>
            </w:pPr>
            <w:r w:rsidRPr="00150CD2">
              <w:rPr>
                <w:rFonts w:cs="Arial"/>
                <w:lang w:eastAsia="en-AU"/>
              </w:rPr>
              <w:t>Qualitative only</w:t>
            </w:r>
          </w:p>
        </w:tc>
        <w:tc>
          <w:tcPr>
            <w:tcW w:w="1224" w:type="dxa"/>
            <w:tcBorders>
              <w:top w:val="nil"/>
              <w:left w:val="nil"/>
              <w:bottom w:val="single" w:sz="4" w:space="0" w:color="auto"/>
              <w:right w:val="single" w:sz="4" w:space="0" w:color="auto"/>
            </w:tcBorders>
            <w:shd w:val="clear" w:color="auto" w:fill="auto"/>
            <w:noWrap/>
            <w:hideMark/>
          </w:tcPr>
          <w:p w14:paraId="1D1B6D27"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DCDA7E4"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5AEAA6B"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2B21F3BF" w14:textId="77777777" w:rsidTr="00CE65A7">
        <w:tc>
          <w:tcPr>
            <w:tcW w:w="1184" w:type="dxa"/>
            <w:tcBorders>
              <w:left w:val="single" w:sz="4" w:space="0" w:color="auto"/>
              <w:bottom w:val="nil"/>
              <w:right w:val="single" w:sz="4" w:space="0" w:color="auto"/>
            </w:tcBorders>
            <w:shd w:val="clear" w:color="000000" w:fill="FF6D00"/>
            <w:tcMar>
              <w:left w:w="72" w:type="dxa"/>
            </w:tcMar>
            <w:hideMark/>
          </w:tcPr>
          <w:p w14:paraId="7F84A29F" w14:textId="373C4794" w:rsidR="00DF5185" w:rsidRPr="00150CD2" w:rsidRDefault="00DF5185" w:rsidP="00DF5185">
            <w:pPr>
              <w:pStyle w:val="EYTableText"/>
              <w:rPr>
                <w:rFonts w:cs="Arial"/>
              </w:rPr>
            </w:pPr>
          </w:p>
        </w:tc>
        <w:tc>
          <w:tcPr>
            <w:tcW w:w="2016" w:type="dxa"/>
            <w:tcBorders>
              <w:left w:val="single" w:sz="4" w:space="0" w:color="auto"/>
              <w:bottom w:val="single" w:sz="4" w:space="0" w:color="000000"/>
              <w:right w:val="single" w:sz="4" w:space="0" w:color="auto"/>
            </w:tcBorders>
            <w:shd w:val="clear" w:color="auto" w:fill="auto"/>
            <w:tcMar>
              <w:left w:w="72" w:type="dxa"/>
            </w:tcMar>
            <w:hideMark/>
          </w:tcPr>
          <w:p w14:paraId="1E5F9E9C" w14:textId="77777777" w:rsidR="00DF5185" w:rsidRPr="00150CD2" w:rsidRDefault="00DF5185"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55547FFE" w14:textId="77777777" w:rsidR="00DF5185" w:rsidRPr="00150CD2" w:rsidRDefault="00DF5185" w:rsidP="00DF5185">
            <w:pPr>
              <w:pStyle w:val="EYTableText"/>
              <w:rPr>
                <w:rFonts w:cs="Arial"/>
              </w:rPr>
            </w:pPr>
            <w:r w:rsidRPr="00150CD2">
              <w:rPr>
                <w:rFonts w:cs="Arial"/>
              </w:rPr>
              <w:t>3.4.4</w:t>
            </w:r>
          </w:p>
        </w:tc>
        <w:tc>
          <w:tcPr>
            <w:tcW w:w="3600" w:type="dxa"/>
            <w:tcBorders>
              <w:top w:val="nil"/>
              <w:left w:val="nil"/>
              <w:bottom w:val="single" w:sz="4" w:space="0" w:color="auto"/>
              <w:right w:val="single" w:sz="4" w:space="0" w:color="auto"/>
            </w:tcBorders>
            <w:shd w:val="clear" w:color="auto" w:fill="auto"/>
            <w:hideMark/>
          </w:tcPr>
          <w:p w14:paraId="25BF0B64" w14:textId="77777777" w:rsidR="00DF5185" w:rsidRPr="00150CD2" w:rsidRDefault="00DF5185" w:rsidP="00DF5185">
            <w:pPr>
              <w:pStyle w:val="EYTableText"/>
              <w:rPr>
                <w:rFonts w:cs="Arial"/>
              </w:rPr>
            </w:pPr>
            <w:r w:rsidRPr="00150CD2">
              <w:rPr>
                <w:rFonts w:cs="Arial"/>
              </w:rPr>
              <w:t>Indicators of relative geographic access to core services, such as the Access Domain from the Index of Multiple Deprivation</w:t>
            </w:r>
          </w:p>
        </w:tc>
        <w:tc>
          <w:tcPr>
            <w:tcW w:w="1584" w:type="dxa"/>
            <w:tcBorders>
              <w:top w:val="nil"/>
              <w:left w:val="nil"/>
              <w:bottom w:val="single" w:sz="4" w:space="0" w:color="auto"/>
              <w:right w:val="single" w:sz="4" w:space="0" w:color="auto"/>
            </w:tcBorders>
            <w:shd w:val="clear" w:color="auto" w:fill="auto"/>
            <w:noWrap/>
            <w:hideMark/>
          </w:tcPr>
          <w:p w14:paraId="2D24C62F" w14:textId="77777777" w:rsidR="00DF5185" w:rsidRPr="00150CD2" w:rsidRDefault="00DF5185"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76D3BE28"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14154F7"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619D066A"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600BFAC1" w14:textId="77777777" w:rsidR="00DF5185" w:rsidRPr="00150CD2" w:rsidRDefault="00DF5185" w:rsidP="00DF5185">
            <w:pPr>
              <w:pStyle w:val="EYTableText"/>
              <w:rPr>
                <w:rFonts w:cs="Arial"/>
                <w:lang w:eastAsia="en-AU"/>
              </w:rPr>
            </w:pPr>
            <w:r w:rsidRPr="00150CD2">
              <w:rPr>
                <w:rFonts w:cs="Arial"/>
                <w:lang w:eastAsia="en-AU"/>
              </w:rPr>
              <w:t> </w:t>
            </w:r>
          </w:p>
        </w:tc>
      </w:tr>
      <w:tr w:rsidR="00CE65A7" w:rsidRPr="00150CD2" w14:paraId="54AC69E7" w14:textId="77777777" w:rsidTr="00150CD2">
        <w:tc>
          <w:tcPr>
            <w:tcW w:w="1184" w:type="dxa"/>
            <w:tcBorders>
              <w:top w:val="single" w:sz="4" w:space="0" w:color="auto"/>
              <w:left w:val="single" w:sz="4" w:space="0" w:color="auto"/>
              <w:right w:val="single" w:sz="4" w:space="0" w:color="auto"/>
            </w:tcBorders>
            <w:shd w:val="clear" w:color="auto" w:fill="FFC000"/>
            <w:tcMar>
              <w:left w:w="72" w:type="dxa"/>
            </w:tcMar>
            <w:hideMark/>
          </w:tcPr>
          <w:p w14:paraId="5090AE3E" w14:textId="77777777" w:rsidR="00CE65A7" w:rsidRPr="00150CD2" w:rsidRDefault="00CE65A7" w:rsidP="00DF5185">
            <w:pPr>
              <w:pStyle w:val="EYTableText"/>
              <w:rPr>
                <w:rFonts w:cs="Arial"/>
              </w:rPr>
            </w:pPr>
            <w:r w:rsidRPr="00150CD2">
              <w:rPr>
                <w:rFonts w:cs="Arial"/>
              </w:rPr>
              <w:t>Are Developing and Achieving</w:t>
            </w:r>
          </w:p>
        </w:tc>
        <w:tc>
          <w:tcPr>
            <w:tcW w:w="2016" w:type="dxa"/>
            <w:tcBorders>
              <w:top w:val="single" w:sz="4" w:space="0" w:color="auto"/>
              <w:left w:val="single" w:sz="4" w:space="0" w:color="auto"/>
              <w:right w:val="single" w:sz="4" w:space="0" w:color="auto"/>
            </w:tcBorders>
            <w:shd w:val="clear" w:color="auto" w:fill="auto"/>
            <w:tcMar>
              <w:left w:w="72" w:type="dxa"/>
            </w:tcMar>
            <w:hideMark/>
          </w:tcPr>
          <w:p w14:paraId="597961C7" w14:textId="77777777" w:rsidR="00CE65A7" w:rsidRPr="00150CD2" w:rsidRDefault="00CE65A7" w:rsidP="00DF5185">
            <w:pPr>
              <w:pStyle w:val="EYTableText"/>
              <w:rPr>
                <w:rFonts w:cs="Arial"/>
                <w:lang w:eastAsia="en-AU"/>
              </w:rPr>
            </w:pPr>
            <w:r w:rsidRPr="00150CD2">
              <w:rPr>
                <w:rFonts w:cs="Arial"/>
                <w:lang w:eastAsia="en-AU"/>
              </w:rPr>
              <w:t>Are positively engaged with and achieving in education, training, and employment</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42D3703C" w14:textId="77777777" w:rsidR="00CE65A7" w:rsidRPr="00150CD2" w:rsidRDefault="00CE65A7" w:rsidP="00DF5185">
            <w:pPr>
              <w:pStyle w:val="EYTableText"/>
              <w:rPr>
                <w:rFonts w:cs="Arial"/>
              </w:rPr>
            </w:pPr>
            <w:r w:rsidRPr="00150CD2">
              <w:rPr>
                <w:rFonts w:cs="Arial"/>
              </w:rPr>
              <w:t>4.1.1</w:t>
            </w:r>
            <w:r w:rsidRPr="00150CD2">
              <w:rPr>
                <w:rFonts w:cs="Arial"/>
              </w:rPr>
              <w:br/>
            </w:r>
          </w:p>
          <w:p w14:paraId="20A906A8" w14:textId="415DB41C" w:rsidR="00CE65A7" w:rsidRPr="00150CD2" w:rsidRDefault="00CE65A7" w:rsidP="00DF5185">
            <w:pPr>
              <w:pStyle w:val="EYTableText"/>
              <w:rPr>
                <w:rFonts w:cs="Arial"/>
              </w:rPr>
            </w:pPr>
            <w:r w:rsidRPr="00150CD2">
              <w:rPr>
                <w:rFonts w:cs="Arial"/>
              </w:rPr>
              <w:t>4.1.2</w:t>
            </w:r>
          </w:p>
        </w:tc>
        <w:tc>
          <w:tcPr>
            <w:tcW w:w="3600" w:type="dxa"/>
            <w:tcBorders>
              <w:top w:val="nil"/>
              <w:left w:val="nil"/>
              <w:bottom w:val="single" w:sz="4" w:space="0" w:color="auto"/>
              <w:right w:val="single" w:sz="4" w:space="0" w:color="auto"/>
            </w:tcBorders>
            <w:shd w:val="clear" w:color="auto" w:fill="auto"/>
            <w:hideMark/>
          </w:tcPr>
          <w:p w14:paraId="66C707EE" w14:textId="77777777" w:rsidR="00CE65A7" w:rsidRPr="00150CD2" w:rsidRDefault="00CE65A7" w:rsidP="00DF5185">
            <w:pPr>
              <w:pStyle w:val="EYTableText"/>
              <w:rPr>
                <w:rFonts w:cs="Arial"/>
              </w:rPr>
            </w:pPr>
            <w:r w:rsidRPr="00150CD2">
              <w:rPr>
                <w:rFonts w:cs="Arial"/>
              </w:rPr>
              <w:t>Variables related to employment experiences, needs and unmet needs.</w:t>
            </w:r>
          </w:p>
          <w:p w14:paraId="0F711C13" w14:textId="7C88330A" w:rsidR="00CE65A7" w:rsidRPr="00150CD2" w:rsidRDefault="00CE65A7" w:rsidP="00DF5185">
            <w:pPr>
              <w:pStyle w:val="EYTableText"/>
              <w:rPr>
                <w:rFonts w:cs="Arial"/>
              </w:rPr>
            </w:pPr>
            <w:r w:rsidRPr="00150CD2">
              <w:rPr>
                <w:rFonts w:cs="Arial"/>
              </w:rPr>
              <w:t>Variables related to education experiences, needs and unmet needs.</w:t>
            </w:r>
          </w:p>
        </w:tc>
        <w:tc>
          <w:tcPr>
            <w:tcW w:w="1584" w:type="dxa"/>
            <w:tcBorders>
              <w:top w:val="nil"/>
              <w:left w:val="nil"/>
              <w:bottom w:val="single" w:sz="4" w:space="0" w:color="auto"/>
              <w:right w:val="single" w:sz="4" w:space="0" w:color="auto"/>
            </w:tcBorders>
            <w:shd w:val="clear" w:color="auto" w:fill="auto"/>
            <w:noWrap/>
            <w:hideMark/>
          </w:tcPr>
          <w:p w14:paraId="014EAB7F" w14:textId="77777777" w:rsidR="00CE65A7" w:rsidRPr="00150CD2" w:rsidRDefault="00CE65A7" w:rsidP="00DF5185">
            <w:pPr>
              <w:pStyle w:val="EYTableText"/>
              <w:rPr>
                <w:rFonts w:cs="Arial"/>
                <w:color w:val="2E2E38"/>
                <w:lang w:eastAsia="en-AU"/>
              </w:rPr>
            </w:pPr>
            <w:r w:rsidRPr="00150CD2">
              <w:rPr>
                <w:rFonts w:cs="Arial"/>
                <w:color w:val="2E2E38"/>
                <w:lang w:eastAsia="en-AU"/>
              </w:rPr>
              <w:t>Individual</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48C703FF"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single" w:sz="4" w:space="0" w:color="auto"/>
              <w:left w:val="single" w:sz="4" w:space="0" w:color="auto"/>
              <w:bottom w:val="single" w:sz="4" w:space="0" w:color="auto"/>
              <w:right w:val="single" w:sz="4" w:space="0" w:color="auto"/>
            </w:tcBorders>
            <w:shd w:val="clear" w:color="auto" w:fill="92D050"/>
          </w:tcPr>
          <w:p w14:paraId="5AD7AEAB" w14:textId="423D67E1"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147D596B" w14:textId="738545E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1F61AE2D" w14:textId="6310BF0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04A01DBD" w14:textId="77777777" w:rsidTr="00150CD2">
        <w:tc>
          <w:tcPr>
            <w:tcW w:w="1184" w:type="dxa"/>
            <w:tcBorders>
              <w:left w:val="single" w:sz="4" w:space="0" w:color="auto"/>
              <w:right w:val="single" w:sz="4" w:space="0" w:color="auto"/>
            </w:tcBorders>
            <w:shd w:val="clear" w:color="auto" w:fill="FFC000"/>
            <w:tcMar>
              <w:left w:w="72" w:type="dxa"/>
            </w:tcMar>
            <w:hideMark/>
          </w:tcPr>
          <w:p w14:paraId="3836CEF3" w14:textId="77777777" w:rsidR="00CE65A7" w:rsidRPr="00150CD2" w:rsidRDefault="00CE65A7"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29ADFFBE" w14:textId="77777777" w:rsidR="00CE65A7" w:rsidRPr="00150CD2" w:rsidRDefault="00CE65A7"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1338F019" w14:textId="77777777" w:rsidR="00CE65A7" w:rsidRPr="00150CD2" w:rsidRDefault="00CE65A7" w:rsidP="00DF5185">
            <w:pPr>
              <w:pStyle w:val="EYTableText"/>
              <w:rPr>
                <w:rFonts w:cs="Arial"/>
              </w:rPr>
            </w:pPr>
            <w:r w:rsidRPr="00150CD2">
              <w:rPr>
                <w:rFonts w:cs="Arial"/>
              </w:rPr>
              <w:t>4.1.3</w:t>
            </w:r>
          </w:p>
        </w:tc>
        <w:tc>
          <w:tcPr>
            <w:tcW w:w="3600" w:type="dxa"/>
            <w:tcBorders>
              <w:top w:val="nil"/>
              <w:left w:val="nil"/>
              <w:bottom w:val="single" w:sz="4" w:space="0" w:color="auto"/>
              <w:right w:val="single" w:sz="4" w:space="0" w:color="auto"/>
            </w:tcBorders>
            <w:shd w:val="clear" w:color="auto" w:fill="auto"/>
            <w:hideMark/>
          </w:tcPr>
          <w:p w14:paraId="0A5F9AEB" w14:textId="6AC9882B" w:rsidR="00CE65A7" w:rsidRPr="00150CD2" w:rsidRDefault="00CE65A7" w:rsidP="00DF5185">
            <w:pPr>
              <w:pStyle w:val="EYTableText"/>
              <w:rPr>
                <w:rFonts w:cs="Arial"/>
              </w:rPr>
            </w:pPr>
            <w:r w:rsidRPr="00150CD2">
              <w:rPr>
                <w:rFonts w:cs="Arial"/>
              </w:rPr>
              <w:t>Learning support enrolment</w:t>
            </w:r>
          </w:p>
        </w:tc>
        <w:tc>
          <w:tcPr>
            <w:tcW w:w="1584" w:type="dxa"/>
            <w:tcBorders>
              <w:top w:val="nil"/>
              <w:left w:val="nil"/>
              <w:bottom w:val="single" w:sz="4" w:space="0" w:color="auto"/>
              <w:right w:val="single" w:sz="4" w:space="0" w:color="auto"/>
            </w:tcBorders>
            <w:shd w:val="clear" w:color="auto" w:fill="auto"/>
            <w:noWrap/>
            <w:hideMark/>
          </w:tcPr>
          <w:p w14:paraId="10C6E6D1" w14:textId="77777777" w:rsidR="00CE65A7" w:rsidRPr="00150CD2" w:rsidRDefault="00CE65A7"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3991914E"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019BECE"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FFE600"/>
            <w:noWrap/>
            <w:hideMark/>
          </w:tcPr>
          <w:p w14:paraId="41448875"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D33BDFA"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54397BF0" w14:textId="77777777" w:rsidTr="00150CD2">
        <w:tc>
          <w:tcPr>
            <w:tcW w:w="1184" w:type="dxa"/>
            <w:tcBorders>
              <w:left w:val="single" w:sz="4" w:space="0" w:color="auto"/>
              <w:right w:val="single" w:sz="4" w:space="0" w:color="auto"/>
            </w:tcBorders>
            <w:shd w:val="clear" w:color="auto" w:fill="FFC000"/>
            <w:tcMar>
              <w:left w:w="72" w:type="dxa"/>
            </w:tcMar>
            <w:hideMark/>
          </w:tcPr>
          <w:p w14:paraId="0DA1828D" w14:textId="77777777" w:rsidR="00CE65A7" w:rsidRPr="00150CD2" w:rsidRDefault="00CE65A7"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081A191E" w14:textId="77777777" w:rsidR="00CE65A7" w:rsidRPr="00150CD2" w:rsidRDefault="00CE65A7"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6C4248B8" w14:textId="77777777" w:rsidR="00CE65A7" w:rsidRPr="00150CD2" w:rsidRDefault="00CE65A7" w:rsidP="00DF5185">
            <w:pPr>
              <w:pStyle w:val="EYTableText"/>
              <w:rPr>
                <w:rFonts w:cs="Arial"/>
              </w:rPr>
            </w:pPr>
            <w:r w:rsidRPr="00150CD2">
              <w:rPr>
                <w:rFonts w:cs="Arial"/>
              </w:rPr>
              <w:t>4.1.4</w:t>
            </w:r>
          </w:p>
        </w:tc>
        <w:tc>
          <w:tcPr>
            <w:tcW w:w="3600" w:type="dxa"/>
            <w:tcBorders>
              <w:top w:val="nil"/>
              <w:left w:val="nil"/>
              <w:bottom w:val="single" w:sz="4" w:space="0" w:color="auto"/>
              <w:right w:val="single" w:sz="4" w:space="0" w:color="auto"/>
            </w:tcBorders>
            <w:shd w:val="clear" w:color="auto" w:fill="auto"/>
            <w:hideMark/>
          </w:tcPr>
          <w:p w14:paraId="45ECBD38" w14:textId="77777777" w:rsidR="00CE65A7" w:rsidRPr="00150CD2" w:rsidRDefault="00CE65A7" w:rsidP="00DF5185">
            <w:pPr>
              <w:pStyle w:val="EYTableText"/>
              <w:rPr>
                <w:rFonts w:cs="Arial"/>
              </w:rPr>
            </w:pPr>
            <w:r w:rsidRPr="00150CD2">
              <w:rPr>
                <w:rFonts w:cs="Arial"/>
              </w:rPr>
              <w:t>Not disengaged with school (i.e. truant, stand-downs etc.)</w:t>
            </w:r>
          </w:p>
        </w:tc>
        <w:tc>
          <w:tcPr>
            <w:tcW w:w="1584" w:type="dxa"/>
            <w:tcBorders>
              <w:top w:val="nil"/>
              <w:left w:val="nil"/>
              <w:bottom w:val="single" w:sz="4" w:space="0" w:color="auto"/>
              <w:right w:val="single" w:sz="4" w:space="0" w:color="auto"/>
            </w:tcBorders>
            <w:shd w:val="clear" w:color="auto" w:fill="auto"/>
            <w:noWrap/>
            <w:hideMark/>
          </w:tcPr>
          <w:p w14:paraId="2623E948" w14:textId="77777777" w:rsidR="00CE65A7" w:rsidRPr="00150CD2" w:rsidRDefault="00CE65A7"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4AB94420"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3D933D32"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FFE600"/>
            <w:noWrap/>
            <w:hideMark/>
          </w:tcPr>
          <w:p w14:paraId="0680D0E7"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6DAD02A"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3D58FE05" w14:textId="77777777" w:rsidTr="00150CD2">
        <w:tc>
          <w:tcPr>
            <w:tcW w:w="1184" w:type="dxa"/>
            <w:tcBorders>
              <w:left w:val="single" w:sz="4" w:space="0" w:color="auto"/>
              <w:right w:val="single" w:sz="4" w:space="0" w:color="auto"/>
            </w:tcBorders>
            <w:shd w:val="clear" w:color="auto" w:fill="FFC000"/>
            <w:tcMar>
              <w:left w:w="72" w:type="dxa"/>
            </w:tcMar>
            <w:hideMark/>
          </w:tcPr>
          <w:p w14:paraId="3C547670" w14:textId="77777777" w:rsidR="00CE65A7" w:rsidRPr="00150CD2" w:rsidRDefault="00CE65A7"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0F506EC6" w14:textId="77777777" w:rsidR="00CE65A7" w:rsidRPr="00150CD2" w:rsidRDefault="00CE65A7"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1BB64B5E" w14:textId="77777777" w:rsidR="00CE65A7" w:rsidRPr="00150CD2" w:rsidRDefault="00CE65A7" w:rsidP="00DF5185">
            <w:pPr>
              <w:pStyle w:val="EYTableText"/>
              <w:rPr>
                <w:rFonts w:cs="Arial"/>
              </w:rPr>
            </w:pPr>
            <w:r w:rsidRPr="00150CD2">
              <w:rPr>
                <w:rFonts w:cs="Arial"/>
              </w:rPr>
              <w:t>4.1.5</w:t>
            </w:r>
          </w:p>
        </w:tc>
        <w:tc>
          <w:tcPr>
            <w:tcW w:w="3600" w:type="dxa"/>
            <w:tcBorders>
              <w:top w:val="nil"/>
              <w:left w:val="nil"/>
              <w:bottom w:val="single" w:sz="4" w:space="0" w:color="auto"/>
              <w:right w:val="single" w:sz="4" w:space="0" w:color="auto"/>
            </w:tcBorders>
            <w:shd w:val="clear" w:color="auto" w:fill="auto"/>
            <w:hideMark/>
          </w:tcPr>
          <w:p w14:paraId="3B7619C9" w14:textId="77777777" w:rsidR="00CE65A7" w:rsidRPr="00150CD2" w:rsidRDefault="00CE65A7" w:rsidP="00DF5185">
            <w:pPr>
              <w:pStyle w:val="EYTableText"/>
              <w:rPr>
                <w:rFonts w:cs="Arial"/>
              </w:rPr>
            </w:pPr>
            <w:r w:rsidRPr="00150CD2">
              <w:rPr>
                <w:rFonts w:cs="Arial"/>
              </w:rPr>
              <w:t>NCEA level achievement</w:t>
            </w:r>
            <w:r w:rsidRPr="00150CD2">
              <w:rPr>
                <w:rFonts w:cs="Arial"/>
              </w:rPr>
              <w:br/>
              <w:t>Highest lifetime qualifications</w:t>
            </w:r>
          </w:p>
        </w:tc>
        <w:tc>
          <w:tcPr>
            <w:tcW w:w="1584" w:type="dxa"/>
            <w:tcBorders>
              <w:top w:val="nil"/>
              <w:left w:val="nil"/>
              <w:bottom w:val="single" w:sz="4" w:space="0" w:color="auto"/>
              <w:right w:val="single" w:sz="4" w:space="0" w:color="auto"/>
            </w:tcBorders>
            <w:shd w:val="clear" w:color="auto" w:fill="auto"/>
            <w:noWrap/>
            <w:hideMark/>
          </w:tcPr>
          <w:p w14:paraId="3CC7F62F" w14:textId="77777777" w:rsidR="00CE65A7" w:rsidRPr="00150CD2" w:rsidRDefault="00CE65A7"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5E3C2B76"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92D050"/>
            <w:noWrap/>
            <w:hideMark/>
          </w:tcPr>
          <w:p w14:paraId="7B0A60D2"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760BC350"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3C50D1CB"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1011929D" w14:textId="77777777" w:rsidTr="00150CD2">
        <w:tc>
          <w:tcPr>
            <w:tcW w:w="1184" w:type="dxa"/>
            <w:tcBorders>
              <w:left w:val="single" w:sz="4" w:space="0" w:color="auto"/>
              <w:right w:val="single" w:sz="4" w:space="0" w:color="auto"/>
            </w:tcBorders>
            <w:shd w:val="clear" w:color="auto" w:fill="FFC000"/>
            <w:tcMar>
              <w:left w:w="72" w:type="dxa"/>
            </w:tcMar>
            <w:hideMark/>
          </w:tcPr>
          <w:p w14:paraId="1A15D372" w14:textId="77777777" w:rsidR="00CE65A7" w:rsidRPr="00150CD2" w:rsidRDefault="00CE65A7" w:rsidP="00DF5185">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525D76C8" w14:textId="77777777" w:rsidR="00CE65A7" w:rsidRPr="00150CD2" w:rsidRDefault="00CE65A7"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66A2C39A" w14:textId="77777777" w:rsidR="00CE65A7" w:rsidRPr="00150CD2" w:rsidRDefault="00CE65A7" w:rsidP="00DF5185">
            <w:pPr>
              <w:pStyle w:val="EYTableText"/>
              <w:rPr>
                <w:rFonts w:cs="Arial"/>
              </w:rPr>
            </w:pPr>
            <w:r w:rsidRPr="00150CD2">
              <w:rPr>
                <w:rFonts w:cs="Arial"/>
              </w:rPr>
              <w:t>4.1.6</w:t>
            </w:r>
          </w:p>
        </w:tc>
        <w:tc>
          <w:tcPr>
            <w:tcW w:w="3600" w:type="dxa"/>
            <w:tcBorders>
              <w:top w:val="nil"/>
              <w:left w:val="nil"/>
              <w:bottom w:val="single" w:sz="4" w:space="0" w:color="auto"/>
              <w:right w:val="single" w:sz="4" w:space="0" w:color="auto"/>
            </w:tcBorders>
            <w:shd w:val="clear" w:color="auto" w:fill="auto"/>
            <w:hideMark/>
          </w:tcPr>
          <w:p w14:paraId="0D36C8D5" w14:textId="77777777" w:rsidR="00CE65A7" w:rsidRPr="00150CD2" w:rsidRDefault="00CE65A7" w:rsidP="00DF5185">
            <w:pPr>
              <w:pStyle w:val="EYTableText"/>
              <w:rPr>
                <w:rFonts w:cs="Arial"/>
              </w:rPr>
            </w:pPr>
            <w:r w:rsidRPr="00150CD2">
              <w:rPr>
                <w:rFonts w:cs="Arial"/>
              </w:rPr>
              <w:t>Post-school education</w:t>
            </w:r>
          </w:p>
        </w:tc>
        <w:tc>
          <w:tcPr>
            <w:tcW w:w="1584" w:type="dxa"/>
            <w:tcBorders>
              <w:top w:val="nil"/>
              <w:left w:val="nil"/>
              <w:bottom w:val="single" w:sz="4" w:space="0" w:color="auto"/>
              <w:right w:val="single" w:sz="4" w:space="0" w:color="auto"/>
            </w:tcBorders>
            <w:shd w:val="clear" w:color="auto" w:fill="auto"/>
            <w:noWrap/>
            <w:hideMark/>
          </w:tcPr>
          <w:p w14:paraId="09C35DB6" w14:textId="77777777" w:rsidR="00CE65A7" w:rsidRPr="00150CD2" w:rsidRDefault="00CE65A7"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26EEC9CA"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92D050"/>
            <w:noWrap/>
            <w:hideMark/>
          </w:tcPr>
          <w:p w14:paraId="2EC543B9"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54DD1837"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40F6D2BE"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2F0EAA7B" w14:textId="77777777" w:rsidTr="00150CD2">
        <w:tc>
          <w:tcPr>
            <w:tcW w:w="1184" w:type="dxa"/>
            <w:tcBorders>
              <w:left w:val="single" w:sz="4" w:space="0" w:color="auto"/>
              <w:right w:val="single" w:sz="4" w:space="0" w:color="auto"/>
            </w:tcBorders>
            <w:shd w:val="clear" w:color="auto" w:fill="FFC000"/>
            <w:tcMar>
              <w:left w:w="72" w:type="dxa"/>
            </w:tcMar>
            <w:hideMark/>
          </w:tcPr>
          <w:p w14:paraId="36BAC567" w14:textId="77777777" w:rsidR="00CE65A7" w:rsidRPr="00150CD2" w:rsidRDefault="00CE65A7" w:rsidP="00DF5185">
            <w:pPr>
              <w:pStyle w:val="EYTableText"/>
              <w:rPr>
                <w:rFonts w:cs="Arial"/>
              </w:rPr>
            </w:pPr>
          </w:p>
        </w:tc>
        <w:tc>
          <w:tcPr>
            <w:tcW w:w="2016" w:type="dxa"/>
            <w:tcBorders>
              <w:left w:val="single" w:sz="4" w:space="0" w:color="auto"/>
              <w:bottom w:val="single" w:sz="4" w:space="0" w:color="000000"/>
              <w:right w:val="single" w:sz="4" w:space="0" w:color="auto"/>
            </w:tcBorders>
            <w:shd w:val="clear" w:color="auto" w:fill="auto"/>
            <w:tcMar>
              <w:left w:w="72" w:type="dxa"/>
            </w:tcMar>
            <w:hideMark/>
          </w:tcPr>
          <w:p w14:paraId="3633D35D" w14:textId="77777777" w:rsidR="00CE65A7" w:rsidRPr="00150CD2" w:rsidRDefault="00CE65A7" w:rsidP="00DF5185">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7D40738B" w14:textId="70AD1CE4" w:rsidR="00CE65A7" w:rsidRPr="00150CD2" w:rsidRDefault="00CE65A7" w:rsidP="00DF5185">
            <w:pPr>
              <w:pStyle w:val="EYTableText"/>
              <w:rPr>
                <w:rFonts w:cs="Arial"/>
              </w:rPr>
            </w:pPr>
            <w:r w:rsidRPr="00150CD2">
              <w:rPr>
                <w:rFonts w:cs="Arial"/>
              </w:rPr>
              <w:t>4.1.7</w:t>
            </w:r>
          </w:p>
        </w:tc>
        <w:tc>
          <w:tcPr>
            <w:tcW w:w="3600" w:type="dxa"/>
            <w:tcBorders>
              <w:top w:val="nil"/>
              <w:left w:val="nil"/>
              <w:bottom w:val="single" w:sz="4" w:space="0" w:color="auto"/>
              <w:right w:val="single" w:sz="4" w:space="0" w:color="auto"/>
            </w:tcBorders>
            <w:shd w:val="clear" w:color="auto" w:fill="auto"/>
            <w:hideMark/>
          </w:tcPr>
          <w:p w14:paraId="2C9D96C1" w14:textId="77777777" w:rsidR="00CE65A7" w:rsidRPr="00150CD2" w:rsidRDefault="00CE65A7" w:rsidP="00DF5185">
            <w:pPr>
              <w:pStyle w:val="EYTableText"/>
              <w:rPr>
                <w:rFonts w:cs="Arial"/>
              </w:rPr>
            </w:pPr>
            <w:r w:rsidRPr="00150CD2">
              <w:rPr>
                <w:rFonts w:cs="Arial"/>
              </w:rPr>
              <w:t>Employment</w:t>
            </w:r>
          </w:p>
        </w:tc>
        <w:tc>
          <w:tcPr>
            <w:tcW w:w="1584" w:type="dxa"/>
            <w:tcBorders>
              <w:top w:val="nil"/>
              <w:left w:val="nil"/>
              <w:bottom w:val="single" w:sz="4" w:space="0" w:color="auto"/>
              <w:right w:val="single" w:sz="4" w:space="0" w:color="auto"/>
            </w:tcBorders>
            <w:shd w:val="clear" w:color="auto" w:fill="auto"/>
            <w:noWrap/>
            <w:hideMark/>
          </w:tcPr>
          <w:p w14:paraId="34AD3C50" w14:textId="77777777" w:rsidR="00CE65A7" w:rsidRPr="00150CD2" w:rsidRDefault="00CE65A7" w:rsidP="00DF5185">
            <w:pPr>
              <w:pStyle w:val="EYTableText"/>
              <w:rPr>
                <w:rFonts w:cs="Arial"/>
                <w:lang w:eastAsia="en-AU"/>
              </w:rPr>
            </w:pPr>
            <w:r w:rsidRPr="00150CD2">
              <w:rPr>
                <w:rFonts w:cs="Arial"/>
                <w:lang w:eastAsia="en-AU"/>
              </w:rPr>
              <w:t>Individual</w:t>
            </w:r>
          </w:p>
        </w:tc>
        <w:tc>
          <w:tcPr>
            <w:tcW w:w="1224" w:type="dxa"/>
            <w:tcBorders>
              <w:top w:val="nil"/>
              <w:left w:val="single" w:sz="4" w:space="0" w:color="auto"/>
              <w:bottom w:val="single" w:sz="4" w:space="0" w:color="000000"/>
              <w:right w:val="single" w:sz="4" w:space="0" w:color="auto"/>
            </w:tcBorders>
            <w:shd w:val="clear" w:color="000000" w:fill="92D050"/>
            <w:noWrap/>
            <w:hideMark/>
          </w:tcPr>
          <w:p w14:paraId="74EF8680"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0BE0E857"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single" w:sz="4" w:space="0" w:color="auto"/>
              <w:left w:val="single" w:sz="4" w:space="0" w:color="auto"/>
              <w:bottom w:val="single" w:sz="4" w:space="0" w:color="auto"/>
              <w:right w:val="single" w:sz="4" w:space="0" w:color="auto"/>
            </w:tcBorders>
            <w:shd w:val="clear" w:color="auto" w:fill="92D050"/>
          </w:tcPr>
          <w:p w14:paraId="644DC27C" w14:textId="162B080F"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EC0AB85" w14:textId="38FD3101"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2DE169B4" w14:textId="77777777" w:rsidTr="00150CD2">
        <w:tc>
          <w:tcPr>
            <w:tcW w:w="1184" w:type="dxa"/>
            <w:tcBorders>
              <w:left w:val="single" w:sz="4" w:space="0" w:color="auto"/>
              <w:right w:val="single" w:sz="4" w:space="0" w:color="auto"/>
            </w:tcBorders>
            <w:shd w:val="clear" w:color="auto" w:fill="FFC000"/>
            <w:tcMar>
              <w:left w:w="72" w:type="dxa"/>
            </w:tcMar>
            <w:hideMark/>
          </w:tcPr>
          <w:p w14:paraId="45C30550" w14:textId="77777777" w:rsidR="00CE65A7" w:rsidRPr="00150CD2" w:rsidRDefault="00CE65A7" w:rsidP="00DF5185">
            <w:pPr>
              <w:pStyle w:val="EYTableText"/>
              <w:rPr>
                <w:rFonts w:cs="Arial"/>
              </w:rPr>
            </w:pPr>
          </w:p>
        </w:tc>
        <w:tc>
          <w:tcPr>
            <w:tcW w:w="2016" w:type="dxa"/>
            <w:tcBorders>
              <w:top w:val="nil"/>
              <w:left w:val="nil"/>
              <w:bottom w:val="single" w:sz="4" w:space="0" w:color="auto"/>
              <w:right w:val="single" w:sz="4" w:space="0" w:color="auto"/>
            </w:tcBorders>
            <w:shd w:val="clear" w:color="auto" w:fill="auto"/>
            <w:tcMar>
              <w:left w:w="72" w:type="dxa"/>
            </w:tcMar>
            <w:hideMark/>
          </w:tcPr>
          <w:p w14:paraId="65AF989D" w14:textId="77777777" w:rsidR="00CE65A7" w:rsidRPr="00150CD2" w:rsidRDefault="00CE65A7" w:rsidP="00DF5185">
            <w:pPr>
              <w:pStyle w:val="EYTableText"/>
              <w:rPr>
                <w:rFonts w:cs="Arial"/>
                <w:lang w:eastAsia="en-AU"/>
              </w:rPr>
            </w:pPr>
            <w:r w:rsidRPr="00150CD2">
              <w:rPr>
                <w:rFonts w:cs="Arial"/>
                <w:lang w:eastAsia="en-AU"/>
              </w:rPr>
              <w:t>Access opportunities to build their confidence and develop skills</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1C7EB4FA" w14:textId="77777777" w:rsidR="00CE65A7" w:rsidRPr="00150CD2" w:rsidRDefault="00CE65A7" w:rsidP="00DF5185">
            <w:pPr>
              <w:pStyle w:val="EYTableText"/>
              <w:rPr>
                <w:rFonts w:cs="Arial"/>
              </w:rPr>
            </w:pPr>
            <w:r w:rsidRPr="00150CD2">
              <w:rPr>
                <w:rFonts w:cs="Arial"/>
              </w:rPr>
              <w:t>4.2</w:t>
            </w:r>
          </w:p>
        </w:tc>
        <w:tc>
          <w:tcPr>
            <w:tcW w:w="3600" w:type="dxa"/>
            <w:tcBorders>
              <w:top w:val="nil"/>
              <w:left w:val="nil"/>
              <w:bottom w:val="single" w:sz="4" w:space="0" w:color="auto"/>
              <w:right w:val="single" w:sz="4" w:space="0" w:color="auto"/>
            </w:tcBorders>
            <w:shd w:val="clear" w:color="auto" w:fill="auto"/>
            <w:hideMark/>
          </w:tcPr>
          <w:p w14:paraId="43F18A8D" w14:textId="77777777" w:rsidR="00CE65A7" w:rsidRPr="00150CD2" w:rsidRDefault="00CE65A7" w:rsidP="00DF5185">
            <w:pPr>
              <w:pStyle w:val="EYTableText"/>
              <w:rPr>
                <w:rFonts w:cs="Arial"/>
              </w:rPr>
            </w:pPr>
            <w:r w:rsidRPr="00150CD2">
              <w:rPr>
                <w:rFonts w:cs="Arial"/>
              </w:rPr>
              <w:t>Are supported to try new things</w:t>
            </w:r>
          </w:p>
        </w:tc>
        <w:tc>
          <w:tcPr>
            <w:tcW w:w="1584" w:type="dxa"/>
            <w:tcBorders>
              <w:top w:val="nil"/>
              <w:left w:val="nil"/>
              <w:bottom w:val="single" w:sz="4" w:space="0" w:color="auto"/>
              <w:right w:val="single" w:sz="4" w:space="0" w:color="auto"/>
            </w:tcBorders>
            <w:shd w:val="clear" w:color="auto" w:fill="auto"/>
            <w:noWrap/>
            <w:hideMark/>
          </w:tcPr>
          <w:p w14:paraId="245D11C0" w14:textId="77777777" w:rsidR="00CE65A7" w:rsidRPr="00150CD2" w:rsidRDefault="00CE65A7"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217EB404"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single" w:sz="4" w:space="0" w:color="auto"/>
              <w:left w:val="nil"/>
              <w:bottom w:val="single" w:sz="4" w:space="0" w:color="auto"/>
              <w:right w:val="single" w:sz="4" w:space="0" w:color="auto"/>
            </w:tcBorders>
            <w:shd w:val="clear" w:color="auto" w:fill="auto"/>
            <w:noWrap/>
            <w:hideMark/>
          </w:tcPr>
          <w:p w14:paraId="0CDFFE4C"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single" w:sz="4" w:space="0" w:color="auto"/>
              <w:left w:val="nil"/>
              <w:bottom w:val="single" w:sz="4" w:space="0" w:color="auto"/>
              <w:right w:val="single" w:sz="4" w:space="0" w:color="auto"/>
            </w:tcBorders>
            <w:shd w:val="clear" w:color="auto" w:fill="auto"/>
            <w:noWrap/>
            <w:hideMark/>
          </w:tcPr>
          <w:p w14:paraId="057625F3"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single" w:sz="4" w:space="0" w:color="auto"/>
              <w:left w:val="nil"/>
              <w:bottom w:val="single" w:sz="4" w:space="0" w:color="auto"/>
              <w:right w:val="single" w:sz="4" w:space="0" w:color="auto"/>
            </w:tcBorders>
            <w:shd w:val="clear" w:color="auto" w:fill="auto"/>
            <w:noWrap/>
            <w:hideMark/>
          </w:tcPr>
          <w:p w14:paraId="209A877D"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55DF0702" w14:textId="77777777" w:rsidTr="00CE65A7">
        <w:tc>
          <w:tcPr>
            <w:tcW w:w="1184" w:type="dxa"/>
            <w:tcBorders>
              <w:left w:val="single" w:sz="4" w:space="0" w:color="auto"/>
              <w:bottom w:val="nil"/>
              <w:right w:val="single" w:sz="4" w:space="0" w:color="auto"/>
            </w:tcBorders>
            <w:shd w:val="clear" w:color="auto" w:fill="FFC000"/>
            <w:tcMar>
              <w:left w:w="72" w:type="dxa"/>
            </w:tcMar>
            <w:hideMark/>
          </w:tcPr>
          <w:p w14:paraId="3BA0E679" w14:textId="77777777" w:rsidR="00CE65A7" w:rsidRPr="00150CD2" w:rsidRDefault="00CE65A7" w:rsidP="00DF5185">
            <w:pPr>
              <w:pStyle w:val="EYTableText"/>
              <w:rPr>
                <w:rFonts w:cs="Arial"/>
              </w:rPr>
            </w:pPr>
          </w:p>
        </w:tc>
        <w:tc>
          <w:tcPr>
            <w:tcW w:w="2016" w:type="dxa"/>
            <w:tcBorders>
              <w:top w:val="nil"/>
              <w:left w:val="nil"/>
              <w:bottom w:val="single" w:sz="4" w:space="0" w:color="auto"/>
              <w:right w:val="single" w:sz="4" w:space="0" w:color="auto"/>
            </w:tcBorders>
            <w:shd w:val="clear" w:color="auto" w:fill="auto"/>
            <w:tcMar>
              <w:left w:w="72" w:type="dxa"/>
            </w:tcMar>
            <w:hideMark/>
          </w:tcPr>
          <w:p w14:paraId="26B67FC2" w14:textId="77777777" w:rsidR="00CE65A7" w:rsidRPr="00150CD2" w:rsidRDefault="00CE65A7" w:rsidP="00DF5185">
            <w:pPr>
              <w:pStyle w:val="EYTableText"/>
              <w:rPr>
                <w:rFonts w:cs="Arial"/>
                <w:lang w:eastAsia="en-AU"/>
              </w:rPr>
            </w:pPr>
            <w:r w:rsidRPr="00150CD2">
              <w:rPr>
                <w:rFonts w:cs="Arial"/>
                <w:lang w:eastAsia="en-AU"/>
              </w:rPr>
              <w:t>Are achieving what they want in their life</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424FFA1C" w14:textId="77777777" w:rsidR="00CE65A7" w:rsidRPr="00150CD2" w:rsidRDefault="00CE65A7" w:rsidP="00DF5185">
            <w:pPr>
              <w:pStyle w:val="EYTableText"/>
              <w:rPr>
                <w:rFonts w:cs="Arial"/>
              </w:rPr>
            </w:pPr>
            <w:r w:rsidRPr="00150CD2">
              <w:rPr>
                <w:rFonts w:cs="Arial"/>
              </w:rPr>
              <w:t>4.3</w:t>
            </w:r>
          </w:p>
        </w:tc>
        <w:tc>
          <w:tcPr>
            <w:tcW w:w="3600" w:type="dxa"/>
            <w:tcBorders>
              <w:top w:val="nil"/>
              <w:left w:val="nil"/>
              <w:bottom w:val="single" w:sz="4" w:space="0" w:color="auto"/>
              <w:right w:val="single" w:sz="4" w:space="0" w:color="auto"/>
            </w:tcBorders>
            <w:shd w:val="clear" w:color="auto" w:fill="auto"/>
            <w:hideMark/>
          </w:tcPr>
          <w:p w14:paraId="113AECB3" w14:textId="77777777" w:rsidR="00CE65A7" w:rsidRPr="00150CD2" w:rsidRDefault="00CE65A7" w:rsidP="00DF5185">
            <w:pPr>
              <w:pStyle w:val="EYTableText"/>
              <w:rPr>
                <w:rFonts w:cs="Arial"/>
              </w:rPr>
            </w:pPr>
            <w:r w:rsidRPr="00150CD2">
              <w:rPr>
                <w:rFonts w:cs="Arial"/>
              </w:rPr>
              <w:t>Respondent descriptions of what was most important in their lives and what they would like to achieve, do more of or start doing</w:t>
            </w:r>
          </w:p>
        </w:tc>
        <w:tc>
          <w:tcPr>
            <w:tcW w:w="1584" w:type="dxa"/>
            <w:tcBorders>
              <w:top w:val="nil"/>
              <w:left w:val="nil"/>
              <w:bottom w:val="single" w:sz="4" w:space="0" w:color="auto"/>
              <w:right w:val="single" w:sz="4" w:space="0" w:color="auto"/>
            </w:tcBorders>
            <w:shd w:val="clear" w:color="auto" w:fill="auto"/>
            <w:noWrap/>
            <w:hideMark/>
          </w:tcPr>
          <w:p w14:paraId="1C97516B" w14:textId="77777777" w:rsidR="00CE65A7" w:rsidRPr="00150CD2" w:rsidRDefault="00CE65A7"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741B26CC"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DBBA877"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66744F7"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62CD7552"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77A946BD" w14:textId="77777777" w:rsidTr="00150CD2">
        <w:tc>
          <w:tcPr>
            <w:tcW w:w="1184" w:type="dxa"/>
            <w:tcBorders>
              <w:top w:val="single" w:sz="4" w:space="0" w:color="auto"/>
              <w:left w:val="single" w:sz="4" w:space="0" w:color="auto"/>
              <w:right w:val="single" w:sz="4" w:space="0" w:color="auto"/>
            </w:tcBorders>
            <w:shd w:val="clear" w:color="000000" w:fill="FF4136"/>
            <w:tcMar>
              <w:left w:w="72" w:type="dxa"/>
            </w:tcMar>
            <w:hideMark/>
          </w:tcPr>
          <w:p w14:paraId="681CBAC8" w14:textId="77777777" w:rsidR="00CE65A7" w:rsidRPr="00150CD2" w:rsidRDefault="00CE65A7" w:rsidP="00CE65A7">
            <w:pPr>
              <w:pStyle w:val="EYTableText"/>
              <w:rPr>
                <w:rFonts w:cs="Arial"/>
              </w:rPr>
            </w:pPr>
            <w:r w:rsidRPr="00150CD2">
              <w:rPr>
                <w:rFonts w:cs="Arial"/>
              </w:rPr>
              <w:t>Belong, Contribute and Are Valued</w:t>
            </w:r>
          </w:p>
        </w:tc>
        <w:tc>
          <w:tcPr>
            <w:tcW w:w="2016" w:type="dxa"/>
            <w:tcBorders>
              <w:top w:val="single" w:sz="4" w:space="0" w:color="auto"/>
              <w:left w:val="single" w:sz="4" w:space="0" w:color="auto"/>
              <w:right w:val="single" w:sz="4" w:space="0" w:color="auto"/>
            </w:tcBorders>
            <w:shd w:val="clear" w:color="auto" w:fill="auto"/>
            <w:tcMar>
              <w:left w:w="72" w:type="dxa"/>
            </w:tcMar>
            <w:hideMark/>
          </w:tcPr>
          <w:p w14:paraId="31366971" w14:textId="77777777" w:rsidR="00CE65A7" w:rsidRPr="00150CD2" w:rsidRDefault="00CE65A7" w:rsidP="00CE65A7">
            <w:pPr>
              <w:pStyle w:val="EYTableText"/>
              <w:rPr>
                <w:rFonts w:cs="Arial"/>
                <w:lang w:eastAsia="en-AU"/>
              </w:rPr>
            </w:pPr>
            <w:r w:rsidRPr="00150CD2">
              <w:rPr>
                <w:rFonts w:cs="Arial"/>
                <w:lang w:eastAsia="en-AU"/>
              </w:rPr>
              <w:t>Are connected to their family, whānau, community, culture, place (tūrangawaewae) and beliefs</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0F77E547" w14:textId="20507DF9" w:rsidR="00CE65A7" w:rsidRPr="00150CD2" w:rsidRDefault="00CE65A7" w:rsidP="00DF5185">
            <w:pPr>
              <w:pStyle w:val="EYTableText"/>
              <w:rPr>
                <w:rFonts w:cs="Arial"/>
              </w:rPr>
            </w:pPr>
            <w:r w:rsidRPr="00150CD2">
              <w:rPr>
                <w:rFonts w:cs="Arial"/>
              </w:rPr>
              <w:t>5.1.1</w:t>
            </w:r>
          </w:p>
        </w:tc>
        <w:tc>
          <w:tcPr>
            <w:tcW w:w="3600" w:type="dxa"/>
            <w:tcBorders>
              <w:top w:val="nil"/>
              <w:left w:val="nil"/>
              <w:bottom w:val="single" w:sz="4" w:space="0" w:color="auto"/>
              <w:right w:val="single" w:sz="4" w:space="0" w:color="auto"/>
            </w:tcBorders>
            <w:shd w:val="clear" w:color="auto" w:fill="auto"/>
            <w:hideMark/>
          </w:tcPr>
          <w:p w14:paraId="05A38460" w14:textId="77777777" w:rsidR="00CE65A7" w:rsidRPr="00150CD2" w:rsidRDefault="00CE65A7" w:rsidP="00DF5185">
            <w:pPr>
              <w:pStyle w:val="EYTableText"/>
              <w:rPr>
                <w:rFonts w:cs="Arial"/>
              </w:rPr>
            </w:pPr>
            <w:r w:rsidRPr="00150CD2">
              <w:rPr>
                <w:rFonts w:cs="Arial"/>
              </w:rPr>
              <w:t>Believe supports help them to strengthen their relationship with their community</w:t>
            </w:r>
          </w:p>
        </w:tc>
        <w:tc>
          <w:tcPr>
            <w:tcW w:w="1584" w:type="dxa"/>
            <w:tcBorders>
              <w:top w:val="nil"/>
              <w:left w:val="nil"/>
              <w:bottom w:val="single" w:sz="4" w:space="0" w:color="auto"/>
              <w:right w:val="single" w:sz="4" w:space="0" w:color="auto"/>
            </w:tcBorders>
            <w:shd w:val="clear" w:color="auto" w:fill="auto"/>
            <w:noWrap/>
            <w:hideMark/>
          </w:tcPr>
          <w:p w14:paraId="6D1A1776" w14:textId="77777777" w:rsidR="00CE65A7" w:rsidRPr="00150CD2" w:rsidRDefault="00CE65A7"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1D02F9BD"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512172B6"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6271AF27"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3E595D6F"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5524BC1A" w14:textId="77777777" w:rsidTr="00CE65A7">
        <w:tc>
          <w:tcPr>
            <w:tcW w:w="1184" w:type="dxa"/>
            <w:tcBorders>
              <w:left w:val="single" w:sz="4" w:space="0" w:color="auto"/>
              <w:right w:val="single" w:sz="4" w:space="0" w:color="auto"/>
            </w:tcBorders>
            <w:shd w:val="clear" w:color="000000" w:fill="FF4136"/>
            <w:tcMar>
              <w:left w:w="72" w:type="dxa"/>
            </w:tcMar>
            <w:hideMark/>
          </w:tcPr>
          <w:p w14:paraId="340BB5A0" w14:textId="77777777" w:rsidR="00CE65A7" w:rsidRPr="00150CD2" w:rsidRDefault="00CE65A7" w:rsidP="00CE65A7">
            <w:pPr>
              <w:pStyle w:val="EYTableText"/>
              <w:rPr>
                <w:rFonts w:cs="Arial"/>
              </w:rPr>
            </w:pPr>
          </w:p>
        </w:tc>
        <w:tc>
          <w:tcPr>
            <w:tcW w:w="2016" w:type="dxa"/>
            <w:tcBorders>
              <w:top w:val="nil"/>
              <w:left w:val="single" w:sz="4" w:space="0" w:color="auto"/>
              <w:right w:val="single" w:sz="4" w:space="0" w:color="auto"/>
            </w:tcBorders>
            <w:shd w:val="clear" w:color="auto" w:fill="auto"/>
            <w:tcMar>
              <w:left w:w="72" w:type="dxa"/>
            </w:tcMar>
            <w:hideMark/>
          </w:tcPr>
          <w:p w14:paraId="4043836E" w14:textId="77777777" w:rsidR="00CE65A7" w:rsidRPr="00150CD2" w:rsidRDefault="00CE65A7" w:rsidP="00CE65A7">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7915F7A9" w14:textId="77777777" w:rsidR="00CE65A7" w:rsidRPr="00150CD2" w:rsidRDefault="00CE65A7" w:rsidP="00DF5185">
            <w:pPr>
              <w:pStyle w:val="EYTableText"/>
              <w:rPr>
                <w:rFonts w:cs="Arial"/>
              </w:rPr>
            </w:pPr>
            <w:r w:rsidRPr="00150CD2">
              <w:rPr>
                <w:rFonts w:cs="Arial"/>
              </w:rPr>
              <w:t>5.1.2</w:t>
            </w:r>
          </w:p>
        </w:tc>
        <w:tc>
          <w:tcPr>
            <w:tcW w:w="3600" w:type="dxa"/>
            <w:tcBorders>
              <w:top w:val="nil"/>
              <w:left w:val="nil"/>
              <w:bottom w:val="single" w:sz="4" w:space="0" w:color="auto"/>
              <w:right w:val="single" w:sz="4" w:space="0" w:color="auto"/>
            </w:tcBorders>
            <w:shd w:val="clear" w:color="auto" w:fill="auto"/>
            <w:hideMark/>
          </w:tcPr>
          <w:p w14:paraId="5ACB1364" w14:textId="77777777" w:rsidR="00CE65A7" w:rsidRPr="00150CD2" w:rsidRDefault="00CE65A7" w:rsidP="00DF5185">
            <w:pPr>
              <w:pStyle w:val="EYTableText"/>
              <w:rPr>
                <w:rFonts w:cs="Arial"/>
              </w:rPr>
            </w:pPr>
            <w:r w:rsidRPr="00150CD2">
              <w:rPr>
                <w:rFonts w:cs="Arial"/>
              </w:rPr>
              <w:t>Right level of extended family contact</w:t>
            </w:r>
          </w:p>
        </w:tc>
        <w:tc>
          <w:tcPr>
            <w:tcW w:w="1584" w:type="dxa"/>
            <w:tcBorders>
              <w:top w:val="nil"/>
              <w:left w:val="nil"/>
              <w:bottom w:val="single" w:sz="4" w:space="0" w:color="auto"/>
              <w:right w:val="single" w:sz="4" w:space="0" w:color="auto"/>
            </w:tcBorders>
            <w:shd w:val="clear" w:color="auto" w:fill="auto"/>
            <w:noWrap/>
            <w:hideMark/>
          </w:tcPr>
          <w:p w14:paraId="3BB3CD0D" w14:textId="77777777" w:rsidR="00CE65A7" w:rsidRPr="00150CD2" w:rsidRDefault="00CE65A7"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7BCE50DF"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161CF081"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2DD7BE0"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5E5E279"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6A98ADA2" w14:textId="77777777" w:rsidTr="00CE65A7">
        <w:tc>
          <w:tcPr>
            <w:tcW w:w="1184" w:type="dxa"/>
            <w:tcBorders>
              <w:left w:val="single" w:sz="4" w:space="0" w:color="auto"/>
              <w:right w:val="single" w:sz="4" w:space="0" w:color="auto"/>
            </w:tcBorders>
            <w:shd w:val="clear" w:color="000000" w:fill="FF4136"/>
            <w:tcMar>
              <w:left w:w="72" w:type="dxa"/>
            </w:tcMar>
            <w:hideMark/>
          </w:tcPr>
          <w:p w14:paraId="7D510762" w14:textId="77777777" w:rsidR="00CE65A7" w:rsidRPr="00150CD2" w:rsidRDefault="00CE65A7" w:rsidP="00CE65A7">
            <w:pPr>
              <w:pStyle w:val="EYTableText"/>
              <w:rPr>
                <w:rFonts w:cs="Arial"/>
              </w:rPr>
            </w:pPr>
          </w:p>
        </w:tc>
        <w:tc>
          <w:tcPr>
            <w:tcW w:w="2016" w:type="dxa"/>
            <w:tcBorders>
              <w:top w:val="nil"/>
              <w:left w:val="single" w:sz="4" w:space="0" w:color="auto"/>
              <w:right w:val="single" w:sz="4" w:space="0" w:color="auto"/>
            </w:tcBorders>
            <w:shd w:val="clear" w:color="auto" w:fill="auto"/>
            <w:tcMar>
              <w:left w:w="72" w:type="dxa"/>
            </w:tcMar>
            <w:hideMark/>
          </w:tcPr>
          <w:p w14:paraId="289547EB" w14:textId="77777777" w:rsidR="00CE65A7" w:rsidRPr="00150CD2" w:rsidRDefault="00CE65A7" w:rsidP="00CE65A7">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01F4CC08" w14:textId="77777777" w:rsidR="00CE65A7" w:rsidRPr="00150CD2" w:rsidRDefault="00CE65A7" w:rsidP="00DF5185">
            <w:pPr>
              <w:pStyle w:val="EYTableText"/>
              <w:rPr>
                <w:rFonts w:cs="Arial"/>
              </w:rPr>
            </w:pPr>
            <w:r w:rsidRPr="00150CD2">
              <w:rPr>
                <w:rFonts w:cs="Arial"/>
              </w:rPr>
              <w:t>5.1.3</w:t>
            </w:r>
          </w:p>
        </w:tc>
        <w:tc>
          <w:tcPr>
            <w:tcW w:w="3600" w:type="dxa"/>
            <w:tcBorders>
              <w:top w:val="nil"/>
              <w:left w:val="nil"/>
              <w:bottom w:val="single" w:sz="4" w:space="0" w:color="auto"/>
              <w:right w:val="single" w:sz="4" w:space="0" w:color="auto"/>
            </w:tcBorders>
            <w:shd w:val="clear" w:color="auto" w:fill="auto"/>
            <w:hideMark/>
          </w:tcPr>
          <w:p w14:paraId="2743F13A" w14:textId="77777777" w:rsidR="00CE65A7" w:rsidRPr="00150CD2" w:rsidRDefault="00CE65A7" w:rsidP="00DF5185">
            <w:pPr>
              <w:pStyle w:val="EYTableText"/>
              <w:rPr>
                <w:rFonts w:cs="Arial"/>
              </w:rPr>
            </w:pPr>
            <w:r w:rsidRPr="00150CD2">
              <w:rPr>
                <w:rFonts w:cs="Arial"/>
              </w:rPr>
              <w:t>In which language(s) could you have a conversation about a lot of everyday things?</w:t>
            </w:r>
          </w:p>
        </w:tc>
        <w:tc>
          <w:tcPr>
            <w:tcW w:w="1584" w:type="dxa"/>
            <w:tcBorders>
              <w:top w:val="nil"/>
              <w:left w:val="nil"/>
              <w:bottom w:val="single" w:sz="4" w:space="0" w:color="auto"/>
              <w:right w:val="single" w:sz="4" w:space="0" w:color="auto"/>
            </w:tcBorders>
            <w:shd w:val="clear" w:color="auto" w:fill="auto"/>
            <w:noWrap/>
            <w:hideMark/>
          </w:tcPr>
          <w:p w14:paraId="7489F8E3" w14:textId="77777777" w:rsidR="00CE65A7" w:rsidRPr="00150CD2" w:rsidRDefault="00CE65A7"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6C1E23DC"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92D050"/>
            <w:noWrap/>
            <w:hideMark/>
          </w:tcPr>
          <w:p w14:paraId="09A2E397"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633600D2"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9CA51E8"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54B50525" w14:textId="77777777" w:rsidTr="00CE65A7">
        <w:tc>
          <w:tcPr>
            <w:tcW w:w="1184" w:type="dxa"/>
            <w:tcBorders>
              <w:left w:val="single" w:sz="4" w:space="0" w:color="auto"/>
              <w:right w:val="single" w:sz="4" w:space="0" w:color="auto"/>
            </w:tcBorders>
            <w:shd w:val="clear" w:color="000000" w:fill="FF4136"/>
            <w:tcMar>
              <w:left w:w="72" w:type="dxa"/>
            </w:tcMar>
            <w:hideMark/>
          </w:tcPr>
          <w:p w14:paraId="7E4A1C87" w14:textId="77777777" w:rsidR="00CE65A7" w:rsidRPr="00150CD2" w:rsidRDefault="00CE65A7" w:rsidP="00CE65A7">
            <w:pPr>
              <w:pStyle w:val="EYTableText"/>
              <w:rPr>
                <w:rFonts w:cs="Arial"/>
              </w:rPr>
            </w:pPr>
          </w:p>
        </w:tc>
        <w:tc>
          <w:tcPr>
            <w:tcW w:w="2016" w:type="dxa"/>
            <w:tcBorders>
              <w:top w:val="nil"/>
              <w:left w:val="single" w:sz="4" w:space="0" w:color="auto"/>
              <w:right w:val="single" w:sz="4" w:space="0" w:color="auto"/>
            </w:tcBorders>
            <w:shd w:val="clear" w:color="auto" w:fill="auto"/>
            <w:tcMar>
              <w:left w:w="72" w:type="dxa"/>
            </w:tcMar>
            <w:hideMark/>
          </w:tcPr>
          <w:p w14:paraId="7C3570D5" w14:textId="77777777" w:rsidR="00CE65A7" w:rsidRPr="00150CD2" w:rsidRDefault="00CE65A7" w:rsidP="00CE65A7">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29369D15" w14:textId="77777777" w:rsidR="00CE65A7" w:rsidRPr="00150CD2" w:rsidRDefault="00CE65A7" w:rsidP="00DF5185">
            <w:pPr>
              <w:pStyle w:val="EYTableText"/>
              <w:rPr>
                <w:rFonts w:cs="Arial"/>
              </w:rPr>
            </w:pPr>
            <w:r w:rsidRPr="00150CD2">
              <w:rPr>
                <w:rFonts w:cs="Arial"/>
              </w:rPr>
              <w:t>5.1.4</w:t>
            </w:r>
          </w:p>
        </w:tc>
        <w:tc>
          <w:tcPr>
            <w:tcW w:w="3600" w:type="dxa"/>
            <w:tcBorders>
              <w:top w:val="nil"/>
              <w:left w:val="nil"/>
              <w:bottom w:val="single" w:sz="4" w:space="0" w:color="auto"/>
              <w:right w:val="single" w:sz="4" w:space="0" w:color="auto"/>
            </w:tcBorders>
            <w:shd w:val="clear" w:color="auto" w:fill="auto"/>
            <w:hideMark/>
          </w:tcPr>
          <w:p w14:paraId="2F34F24A" w14:textId="77777777" w:rsidR="00CE65A7" w:rsidRPr="00150CD2" w:rsidRDefault="00CE65A7" w:rsidP="00DF5185">
            <w:pPr>
              <w:pStyle w:val="EYTableText"/>
              <w:rPr>
                <w:rFonts w:cs="Arial"/>
              </w:rPr>
            </w:pPr>
            <w:r w:rsidRPr="00150CD2">
              <w:rPr>
                <w:rFonts w:cs="Arial"/>
              </w:rPr>
              <w:t>Are you descended from a Māori (that is, did you have a Māori birth parent, grandparent or great-grandparent, etc)?</w:t>
            </w:r>
          </w:p>
        </w:tc>
        <w:tc>
          <w:tcPr>
            <w:tcW w:w="1584" w:type="dxa"/>
            <w:tcBorders>
              <w:top w:val="nil"/>
              <w:left w:val="nil"/>
              <w:bottom w:val="single" w:sz="4" w:space="0" w:color="auto"/>
              <w:right w:val="single" w:sz="4" w:space="0" w:color="auto"/>
            </w:tcBorders>
            <w:shd w:val="clear" w:color="auto" w:fill="auto"/>
            <w:noWrap/>
            <w:hideMark/>
          </w:tcPr>
          <w:p w14:paraId="1D3FDB8C" w14:textId="77777777" w:rsidR="00CE65A7" w:rsidRPr="00150CD2" w:rsidRDefault="00CE65A7"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35D65B75"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92D050"/>
            <w:noWrap/>
            <w:hideMark/>
          </w:tcPr>
          <w:p w14:paraId="620F7B71"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53F0E1E"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F0D5FE7"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04707394" w14:textId="77777777" w:rsidTr="00CE65A7">
        <w:tc>
          <w:tcPr>
            <w:tcW w:w="1184" w:type="dxa"/>
            <w:tcBorders>
              <w:left w:val="single" w:sz="4" w:space="0" w:color="auto"/>
              <w:right w:val="single" w:sz="4" w:space="0" w:color="auto"/>
            </w:tcBorders>
            <w:shd w:val="clear" w:color="000000" w:fill="FF4136"/>
            <w:tcMar>
              <w:left w:w="72" w:type="dxa"/>
            </w:tcMar>
            <w:hideMark/>
          </w:tcPr>
          <w:p w14:paraId="3F932EF0" w14:textId="77777777" w:rsidR="00CE65A7" w:rsidRPr="00150CD2" w:rsidRDefault="00CE65A7" w:rsidP="00CE65A7">
            <w:pPr>
              <w:pStyle w:val="EYTableText"/>
              <w:rPr>
                <w:rFonts w:cs="Arial"/>
              </w:rPr>
            </w:pPr>
          </w:p>
        </w:tc>
        <w:tc>
          <w:tcPr>
            <w:tcW w:w="2016" w:type="dxa"/>
            <w:tcBorders>
              <w:top w:val="nil"/>
              <w:left w:val="single" w:sz="4" w:space="0" w:color="auto"/>
              <w:right w:val="single" w:sz="4" w:space="0" w:color="auto"/>
            </w:tcBorders>
            <w:shd w:val="clear" w:color="auto" w:fill="auto"/>
            <w:tcMar>
              <w:left w:w="72" w:type="dxa"/>
            </w:tcMar>
            <w:hideMark/>
          </w:tcPr>
          <w:p w14:paraId="0C7C8681" w14:textId="77777777" w:rsidR="00CE65A7" w:rsidRPr="00150CD2" w:rsidRDefault="00CE65A7" w:rsidP="00CE65A7">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2040CA1F" w14:textId="77777777" w:rsidR="00CE65A7" w:rsidRPr="00150CD2" w:rsidRDefault="00CE65A7" w:rsidP="00DF5185">
            <w:pPr>
              <w:pStyle w:val="EYTableText"/>
              <w:rPr>
                <w:rFonts w:cs="Arial"/>
              </w:rPr>
            </w:pPr>
            <w:r w:rsidRPr="00150CD2">
              <w:rPr>
                <w:rFonts w:cs="Arial"/>
              </w:rPr>
              <w:t>5.1.5</w:t>
            </w:r>
          </w:p>
        </w:tc>
        <w:tc>
          <w:tcPr>
            <w:tcW w:w="3600" w:type="dxa"/>
            <w:tcBorders>
              <w:top w:val="nil"/>
              <w:left w:val="nil"/>
              <w:bottom w:val="single" w:sz="4" w:space="0" w:color="auto"/>
              <w:right w:val="single" w:sz="4" w:space="0" w:color="auto"/>
            </w:tcBorders>
            <w:shd w:val="clear" w:color="auto" w:fill="auto"/>
            <w:hideMark/>
          </w:tcPr>
          <w:p w14:paraId="7096D722" w14:textId="77777777" w:rsidR="00CE65A7" w:rsidRPr="00150CD2" w:rsidRDefault="00CE65A7" w:rsidP="00DF5185">
            <w:pPr>
              <w:pStyle w:val="EYTableText"/>
              <w:rPr>
                <w:rFonts w:cs="Arial"/>
              </w:rPr>
            </w:pPr>
            <w:r w:rsidRPr="00150CD2">
              <w:rPr>
                <w:rFonts w:cs="Arial"/>
              </w:rPr>
              <w:t>Do you know the name(s) of your iwi (tribe or tribes)?</w:t>
            </w:r>
          </w:p>
        </w:tc>
        <w:tc>
          <w:tcPr>
            <w:tcW w:w="1584" w:type="dxa"/>
            <w:tcBorders>
              <w:top w:val="nil"/>
              <w:left w:val="nil"/>
              <w:bottom w:val="single" w:sz="4" w:space="0" w:color="auto"/>
              <w:right w:val="single" w:sz="4" w:space="0" w:color="auto"/>
            </w:tcBorders>
            <w:shd w:val="clear" w:color="auto" w:fill="auto"/>
            <w:noWrap/>
            <w:hideMark/>
          </w:tcPr>
          <w:p w14:paraId="65C82551" w14:textId="77777777" w:rsidR="00CE65A7" w:rsidRPr="00150CD2" w:rsidRDefault="00CE65A7"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4A4C78E8"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92D050"/>
            <w:noWrap/>
            <w:hideMark/>
          </w:tcPr>
          <w:p w14:paraId="5D0A10BD"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0D2067C"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44F8091"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16F031F3" w14:textId="77777777" w:rsidTr="00CE65A7">
        <w:tc>
          <w:tcPr>
            <w:tcW w:w="1184" w:type="dxa"/>
            <w:tcBorders>
              <w:left w:val="single" w:sz="4" w:space="0" w:color="auto"/>
              <w:right w:val="single" w:sz="4" w:space="0" w:color="auto"/>
            </w:tcBorders>
            <w:shd w:val="clear" w:color="000000" w:fill="FF4136"/>
            <w:tcMar>
              <w:left w:w="72" w:type="dxa"/>
            </w:tcMar>
            <w:hideMark/>
          </w:tcPr>
          <w:p w14:paraId="690EA5B1" w14:textId="77777777" w:rsidR="00CE65A7" w:rsidRPr="00150CD2" w:rsidRDefault="00CE65A7" w:rsidP="00CE65A7">
            <w:pPr>
              <w:pStyle w:val="EYTableText"/>
              <w:rPr>
                <w:rFonts w:cs="Arial"/>
              </w:rPr>
            </w:pPr>
          </w:p>
        </w:tc>
        <w:tc>
          <w:tcPr>
            <w:tcW w:w="2016" w:type="dxa"/>
            <w:tcBorders>
              <w:top w:val="nil"/>
              <w:left w:val="single" w:sz="4" w:space="0" w:color="auto"/>
              <w:bottom w:val="single" w:sz="4" w:space="0" w:color="000000"/>
              <w:right w:val="single" w:sz="4" w:space="0" w:color="auto"/>
            </w:tcBorders>
            <w:shd w:val="clear" w:color="auto" w:fill="auto"/>
            <w:tcMar>
              <w:left w:w="72" w:type="dxa"/>
            </w:tcMar>
            <w:hideMark/>
          </w:tcPr>
          <w:p w14:paraId="71F76897" w14:textId="77777777" w:rsidR="00CE65A7" w:rsidRPr="00150CD2" w:rsidRDefault="00CE65A7" w:rsidP="00CE65A7">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3B745B46" w14:textId="77777777" w:rsidR="00CE65A7" w:rsidRPr="00150CD2" w:rsidRDefault="00CE65A7" w:rsidP="00DF5185">
            <w:pPr>
              <w:pStyle w:val="EYTableText"/>
              <w:rPr>
                <w:rFonts w:cs="Arial"/>
              </w:rPr>
            </w:pPr>
            <w:r w:rsidRPr="00150CD2">
              <w:rPr>
                <w:rFonts w:cs="Arial"/>
              </w:rPr>
              <w:t>5.1.6</w:t>
            </w:r>
          </w:p>
        </w:tc>
        <w:tc>
          <w:tcPr>
            <w:tcW w:w="3600" w:type="dxa"/>
            <w:tcBorders>
              <w:top w:val="nil"/>
              <w:left w:val="nil"/>
              <w:bottom w:val="single" w:sz="4" w:space="0" w:color="auto"/>
              <w:right w:val="single" w:sz="4" w:space="0" w:color="auto"/>
            </w:tcBorders>
            <w:shd w:val="clear" w:color="auto" w:fill="auto"/>
            <w:hideMark/>
          </w:tcPr>
          <w:p w14:paraId="79DE4DFD" w14:textId="77777777" w:rsidR="00CE65A7" w:rsidRPr="00150CD2" w:rsidRDefault="00CE65A7" w:rsidP="00DF5185">
            <w:pPr>
              <w:pStyle w:val="EYTableText"/>
              <w:rPr>
                <w:rFonts w:cs="Arial"/>
              </w:rPr>
            </w:pPr>
            <w:r w:rsidRPr="00150CD2">
              <w:rPr>
                <w:rFonts w:cs="Arial"/>
              </w:rPr>
              <w:t>What is your religion?</w:t>
            </w:r>
          </w:p>
        </w:tc>
        <w:tc>
          <w:tcPr>
            <w:tcW w:w="1584" w:type="dxa"/>
            <w:tcBorders>
              <w:top w:val="nil"/>
              <w:left w:val="nil"/>
              <w:bottom w:val="single" w:sz="4" w:space="0" w:color="auto"/>
              <w:right w:val="single" w:sz="4" w:space="0" w:color="auto"/>
            </w:tcBorders>
            <w:shd w:val="clear" w:color="auto" w:fill="auto"/>
            <w:noWrap/>
            <w:hideMark/>
          </w:tcPr>
          <w:p w14:paraId="6062E0A3" w14:textId="77777777" w:rsidR="00CE65A7" w:rsidRPr="00150CD2" w:rsidRDefault="00CE65A7"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4C50C5A0"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92D050"/>
            <w:noWrap/>
            <w:hideMark/>
          </w:tcPr>
          <w:p w14:paraId="7627D041"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A7A91AE"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3B3386DE"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2E79DB18" w14:textId="77777777" w:rsidTr="00CE65A7">
        <w:tc>
          <w:tcPr>
            <w:tcW w:w="1184" w:type="dxa"/>
            <w:tcBorders>
              <w:left w:val="single" w:sz="4" w:space="0" w:color="auto"/>
              <w:right w:val="single" w:sz="4" w:space="0" w:color="auto"/>
            </w:tcBorders>
            <w:shd w:val="clear" w:color="000000" w:fill="FF4136"/>
            <w:tcMar>
              <w:left w:w="72" w:type="dxa"/>
            </w:tcMar>
            <w:hideMark/>
          </w:tcPr>
          <w:p w14:paraId="17B8EFDA" w14:textId="77777777" w:rsidR="00CE65A7" w:rsidRPr="00150CD2" w:rsidRDefault="00CE65A7" w:rsidP="00CE65A7">
            <w:pPr>
              <w:pStyle w:val="EYTableText"/>
              <w:rPr>
                <w:rFonts w:cs="Arial"/>
              </w:rPr>
            </w:pPr>
          </w:p>
        </w:tc>
        <w:tc>
          <w:tcPr>
            <w:tcW w:w="2016" w:type="dxa"/>
            <w:tcBorders>
              <w:top w:val="nil"/>
              <w:left w:val="nil"/>
              <w:bottom w:val="nil"/>
              <w:right w:val="single" w:sz="4" w:space="0" w:color="auto"/>
            </w:tcBorders>
            <w:shd w:val="clear" w:color="auto" w:fill="auto"/>
            <w:tcMar>
              <w:left w:w="72" w:type="dxa"/>
            </w:tcMar>
            <w:hideMark/>
          </w:tcPr>
          <w:p w14:paraId="2CD636FE" w14:textId="77777777" w:rsidR="00CE65A7" w:rsidRPr="00150CD2" w:rsidRDefault="00CE65A7" w:rsidP="00CE65A7">
            <w:pPr>
              <w:pStyle w:val="EYTableText"/>
              <w:rPr>
                <w:rFonts w:cs="Arial"/>
                <w:lang w:eastAsia="en-AU"/>
              </w:rPr>
            </w:pPr>
            <w:r w:rsidRPr="00150CD2">
              <w:rPr>
                <w:rFonts w:cs="Arial"/>
                <w:lang w:eastAsia="en-AU"/>
              </w:rPr>
              <w:t>Do everyday things and use services that are for everyone</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31087BFA" w14:textId="77777777" w:rsidR="00CE65A7" w:rsidRPr="00150CD2" w:rsidRDefault="00CE65A7" w:rsidP="00DF5185">
            <w:pPr>
              <w:pStyle w:val="EYTableText"/>
              <w:rPr>
                <w:rFonts w:cs="Arial"/>
              </w:rPr>
            </w:pPr>
            <w:r w:rsidRPr="00150CD2">
              <w:rPr>
                <w:rFonts w:cs="Arial"/>
              </w:rPr>
              <w:t>5.2</w:t>
            </w:r>
          </w:p>
        </w:tc>
        <w:tc>
          <w:tcPr>
            <w:tcW w:w="3600" w:type="dxa"/>
            <w:tcBorders>
              <w:top w:val="nil"/>
              <w:left w:val="nil"/>
              <w:bottom w:val="single" w:sz="4" w:space="0" w:color="auto"/>
              <w:right w:val="single" w:sz="4" w:space="0" w:color="auto"/>
            </w:tcBorders>
            <w:shd w:val="clear" w:color="auto" w:fill="auto"/>
            <w:hideMark/>
          </w:tcPr>
          <w:p w14:paraId="2D88E729" w14:textId="77777777" w:rsidR="00CE65A7" w:rsidRPr="00150CD2" w:rsidRDefault="00CE65A7" w:rsidP="00DF5185">
            <w:pPr>
              <w:pStyle w:val="EYTableText"/>
              <w:rPr>
                <w:rFonts w:cs="Arial"/>
              </w:rPr>
            </w:pPr>
            <w:r w:rsidRPr="00150CD2">
              <w:rPr>
                <w:rFonts w:cs="Arial"/>
              </w:rPr>
              <w:t>Variables related to participation in community, leisure and recreation activities</w:t>
            </w:r>
          </w:p>
        </w:tc>
        <w:tc>
          <w:tcPr>
            <w:tcW w:w="1584" w:type="dxa"/>
            <w:tcBorders>
              <w:top w:val="nil"/>
              <w:left w:val="nil"/>
              <w:bottom w:val="single" w:sz="4" w:space="0" w:color="auto"/>
              <w:right w:val="single" w:sz="4" w:space="0" w:color="auto"/>
            </w:tcBorders>
            <w:shd w:val="clear" w:color="auto" w:fill="auto"/>
            <w:noWrap/>
            <w:hideMark/>
          </w:tcPr>
          <w:p w14:paraId="7818D25A" w14:textId="77777777" w:rsidR="00CE65A7" w:rsidRPr="00150CD2" w:rsidRDefault="00CE65A7"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6B4ACB51"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163CACD4"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A17E78A"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21A6A5A"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282B3818" w14:textId="77777777" w:rsidTr="00CE65A7">
        <w:tc>
          <w:tcPr>
            <w:tcW w:w="1184" w:type="dxa"/>
            <w:tcBorders>
              <w:left w:val="single" w:sz="4" w:space="0" w:color="auto"/>
              <w:right w:val="single" w:sz="4" w:space="0" w:color="auto"/>
            </w:tcBorders>
            <w:shd w:val="clear" w:color="000000" w:fill="FF4136"/>
            <w:tcMar>
              <w:left w:w="72" w:type="dxa"/>
            </w:tcMar>
            <w:hideMark/>
          </w:tcPr>
          <w:p w14:paraId="13D6E550" w14:textId="77777777" w:rsidR="00CE65A7" w:rsidRPr="00150CD2" w:rsidRDefault="00CE65A7" w:rsidP="00CE65A7">
            <w:pPr>
              <w:pStyle w:val="EYTableText"/>
              <w:rPr>
                <w:rFonts w:cs="Arial"/>
              </w:rPr>
            </w:pPr>
          </w:p>
        </w:tc>
        <w:tc>
          <w:tcPr>
            <w:tcW w:w="2016" w:type="dxa"/>
            <w:tcBorders>
              <w:top w:val="single" w:sz="4" w:space="0" w:color="auto"/>
              <w:left w:val="single" w:sz="4" w:space="0" w:color="auto"/>
              <w:right w:val="single" w:sz="4" w:space="0" w:color="auto"/>
            </w:tcBorders>
            <w:shd w:val="clear" w:color="auto" w:fill="auto"/>
            <w:tcMar>
              <w:left w:w="72" w:type="dxa"/>
            </w:tcMar>
            <w:hideMark/>
          </w:tcPr>
          <w:p w14:paraId="3627ED61" w14:textId="77777777" w:rsidR="00CE65A7" w:rsidRPr="00150CD2" w:rsidRDefault="00CE65A7" w:rsidP="00CE65A7">
            <w:pPr>
              <w:pStyle w:val="EYTableText"/>
              <w:rPr>
                <w:rFonts w:cs="Arial"/>
                <w:lang w:eastAsia="en-AU"/>
              </w:rPr>
            </w:pPr>
            <w:r w:rsidRPr="00150CD2">
              <w:rPr>
                <w:rFonts w:cs="Arial"/>
                <w:lang w:eastAsia="en-AU"/>
              </w:rPr>
              <w:t>Participate in social, recreational and community activities</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34CA685F" w14:textId="77777777" w:rsidR="00CE65A7" w:rsidRPr="00150CD2" w:rsidRDefault="00CE65A7" w:rsidP="00DF5185">
            <w:pPr>
              <w:pStyle w:val="EYTableText"/>
              <w:rPr>
                <w:rFonts w:cs="Arial"/>
              </w:rPr>
            </w:pPr>
            <w:r w:rsidRPr="00150CD2">
              <w:rPr>
                <w:rFonts w:cs="Arial"/>
              </w:rPr>
              <w:t>5.3.1</w:t>
            </w:r>
          </w:p>
        </w:tc>
        <w:tc>
          <w:tcPr>
            <w:tcW w:w="3600" w:type="dxa"/>
            <w:tcBorders>
              <w:top w:val="nil"/>
              <w:left w:val="nil"/>
              <w:bottom w:val="single" w:sz="4" w:space="0" w:color="auto"/>
              <w:right w:val="single" w:sz="4" w:space="0" w:color="auto"/>
            </w:tcBorders>
            <w:shd w:val="clear" w:color="auto" w:fill="auto"/>
            <w:hideMark/>
          </w:tcPr>
          <w:p w14:paraId="5412DEF3" w14:textId="77777777" w:rsidR="00CE65A7" w:rsidRPr="00150CD2" w:rsidRDefault="00CE65A7" w:rsidP="00DF5185">
            <w:pPr>
              <w:pStyle w:val="EYTableText"/>
              <w:rPr>
                <w:rFonts w:cs="Arial"/>
              </w:rPr>
            </w:pPr>
            <w:r w:rsidRPr="00150CD2">
              <w:rPr>
                <w:rFonts w:cs="Arial"/>
              </w:rPr>
              <w:t>Variables related to participation in community, leisure and recreation activities</w:t>
            </w:r>
          </w:p>
        </w:tc>
        <w:tc>
          <w:tcPr>
            <w:tcW w:w="1584" w:type="dxa"/>
            <w:tcBorders>
              <w:top w:val="nil"/>
              <w:left w:val="nil"/>
              <w:bottom w:val="single" w:sz="4" w:space="0" w:color="auto"/>
              <w:right w:val="single" w:sz="4" w:space="0" w:color="auto"/>
            </w:tcBorders>
            <w:shd w:val="clear" w:color="auto" w:fill="auto"/>
            <w:noWrap/>
            <w:hideMark/>
          </w:tcPr>
          <w:p w14:paraId="72FFF354" w14:textId="77777777" w:rsidR="00CE65A7" w:rsidRPr="00150CD2" w:rsidRDefault="00CE65A7"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6026E2A9"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787BA6FE"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4F08308C"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83B4F6B"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7B6E8AF1" w14:textId="77777777" w:rsidTr="00CE65A7">
        <w:tc>
          <w:tcPr>
            <w:tcW w:w="1184" w:type="dxa"/>
            <w:tcBorders>
              <w:left w:val="single" w:sz="4" w:space="0" w:color="auto"/>
              <w:right w:val="single" w:sz="4" w:space="0" w:color="auto"/>
            </w:tcBorders>
            <w:shd w:val="clear" w:color="000000" w:fill="FF4136"/>
            <w:tcMar>
              <w:left w:w="72" w:type="dxa"/>
            </w:tcMar>
            <w:hideMark/>
          </w:tcPr>
          <w:p w14:paraId="1D13B79A" w14:textId="77777777" w:rsidR="00CE65A7" w:rsidRPr="00150CD2" w:rsidRDefault="00CE65A7" w:rsidP="00CE65A7">
            <w:pPr>
              <w:pStyle w:val="EYTableText"/>
              <w:rPr>
                <w:rFonts w:cs="Arial"/>
              </w:rPr>
            </w:pPr>
          </w:p>
        </w:tc>
        <w:tc>
          <w:tcPr>
            <w:tcW w:w="2016" w:type="dxa"/>
            <w:tcBorders>
              <w:left w:val="single" w:sz="4" w:space="0" w:color="auto"/>
              <w:right w:val="single" w:sz="4" w:space="0" w:color="auto"/>
            </w:tcBorders>
            <w:shd w:val="clear" w:color="auto" w:fill="auto"/>
            <w:tcMar>
              <w:left w:w="72" w:type="dxa"/>
            </w:tcMar>
            <w:hideMark/>
          </w:tcPr>
          <w:p w14:paraId="18776258" w14:textId="77777777" w:rsidR="00CE65A7" w:rsidRPr="00150CD2" w:rsidRDefault="00CE65A7" w:rsidP="00CE65A7">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370483D0" w14:textId="77777777" w:rsidR="00CE65A7" w:rsidRPr="00150CD2" w:rsidRDefault="00CE65A7" w:rsidP="00DF5185">
            <w:pPr>
              <w:pStyle w:val="EYTableText"/>
              <w:rPr>
                <w:rFonts w:cs="Arial"/>
              </w:rPr>
            </w:pPr>
            <w:r w:rsidRPr="00150CD2">
              <w:rPr>
                <w:rFonts w:cs="Arial"/>
              </w:rPr>
              <w:t>5.3.2</w:t>
            </w:r>
          </w:p>
        </w:tc>
        <w:tc>
          <w:tcPr>
            <w:tcW w:w="3600" w:type="dxa"/>
            <w:tcBorders>
              <w:top w:val="nil"/>
              <w:left w:val="nil"/>
              <w:bottom w:val="single" w:sz="4" w:space="0" w:color="auto"/>
              <w:right w:val="single" w:sz="4" w:space="0" w:color="auto"/>
            </w:tcBorders>
            <w:shd w:val="clear" w:color="auto" w:fill="auto"/>
            <w:hideMark/>
          </w:tcPr>
          <w:p w14:paraId="4341A518" w14:textId="77777777" w:rsidR="00CE65A7" w:rsidRPr="00150CD2" w:rsidRDefault="00CE65A7" w:rsidP="00DF5185">
            <w:pPr>
              <w:pStyle w:val="EYTableText"/>
              <w:rPr>
                <w:rFonts w:cs="Arial"/>
              </w:rPr>
            </w:pPr>
            <w:r w:rsidRPr="00150CD2">
              <w:rPr>
                <w:rFonts w:cs="Arial"/>
              </w:rPr>
              <w:t>Volunteer work</w:t>
            </w:r>
          </w:p>
        </w:tc>
        <w:tc>
          <w:tcPr>
            <w:tcW w:w="1584" w:type="dxa"/>
            <w:tcBorders>
              <w:top w:val="nil"/>
              <w:left w:val="nil"/>
              <w:bottom w:val="single" w:sz="4" w:space="0" w:color="auto"/>
              <w:right w:val="single" w:sz="4" w:space="0" w:color="auto"/>
            </w:tcBorders>
            <w:shd w:val="clear" w:color="auto" w:fill="auto"/>
            <w:noWrap/>
            <w:hideMark/>
          </w:tcPr>
          <w:p w14:paraId="48675E16" w14:textId="68AB7331" w:rsidR="00CE65A7" w:rsidRPr="00150CD2" w:rsidRDefault="00CE65A7"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auto" w:fill="92D050"/>
            <w:noWrap/>
            <w:hideMark/>
          </w:tcPr>
          <w:p w14:paraId="40916010" w14:textId="2A777194" w:rsidR="00CE65A7" w:rsidRPr="00150CD2" w:rsidRDefault="00CE65A7" w:rsidP="00DF5185">
            <w:pPr>
              <w:pStyle w:val="EYTableText"/>
              <w:rPr>
                <w:rFonts w:cs="Arial"/>
                <w:lang w:eastAsia="en-AU"/>
              </w:rPr>
            </w:pPr>
          </w:p>
        </w:tc>
        <w:tc>
          <w:tcPr>
            <w:tcW w:w="1224" w:type="dxa"/>
            <w:tcBorders>
              <w:top w:val="nil"/>
              <w:left w:val="nil"/>
              <w:bottom w:val="single" w:sz="4" w:space="0" w:color="auto"/>
              <w:right w:val="single" w:sz="4" w:space="0" w:color="auto"/>
            </w:tcBorders>
            <w:shd w:val="clear" w:color="000000" w:fill="92D050"/>
            <w:noWrap/>
            <w:hideMark/>
          </w:tcPr>
          <w:p w14:paraId="58140697"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7391039"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533025EF"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4587E758" w14:textId="77777777" w:rsidTr="00CE65A7">
        <w:tc>
          <w:tcPr>
            <w:tcW w:w="1184" w:type="dxa"/>
            <w:tcBorders>
              <w:left w:val="single" w:sz="4" w:space="0" w:color="auto"/>
              <w:right w:val="single" w:sz="4" w:space="0" w:color="auto"/>
            </w:tcBorders>
            <w:shd w:val="clear" w:color="000000" w:fill="FF4136"/>
            <w:tcMar>
              <w:left w:w="72" w:type="dxa"/>
            </w:tcMar>
            <w:hideMark/>
          </w:tcPr>
          <w:p w14:paraId="5AD53BC8" w14:textId="77777777" w:rsidR="00CE65A7" w:rsidRPr="00150CD2" w:rsidRDefault="00CE65A7" w:rsidP="00CE65A7">
            <w:pPr>
              <w:pStyle w:val="EYTableText"/>
              <w:rPr>
                <w:rFonts w:cs="Arial"/>
              </w:rPr>
            </w:pPr>
          </w:p>
        </w:tc>
        <w:tc>
          <w:tcPr>
            <w:tcW w:w="2016" w:type="dxa"/>
            <w:tcBorders>
              <w:left w:val="single" w:sz="4" w:space="0" w:color="auto"/>
              <w:bottom w:val="single" w:sz="4" w:space="0" w:color="000000"/>
              <w:right w:val="single" w:sz="4" w:space="0" w:color="auto"/>
            </w:tcBorders>
            <w:shd w:val="clear" w:color="auto" w:fill="auto"/>
            <w:tcMar>
              <w:left w:w="72" w:type="dxa"/>
            </w:tcMar>
            <w:hideMark/>
          </w:tcPr>
          <w:p w14:paraId="416347CA" w14:textId="77777777" w:rsidR="00CE65A7" w:rsidRPr="00150CD2" w:rsidRDefault="00CE65A7" w:rsidP="00CE65A7">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18C5EBF3" w14:textId="77777777" w:rsidR="00CE65A7" w:rsidRPr="00150CD2" w:rsidRDefault="00CE65A7" w:rsidP="00DF5185">
            <w:pPr>
              <w:pStyle w:val="EYTableText"/>
              <w:rPr>
                <w:rFonts w:cs="Arial"/>
              </w:rPr>
            </w:pPr>
            <w:r w:rsidRPr="00150CD2">
              <w:rPr>
                <w:rFonts w:cs="Arial"/>
              </w:rPr>
              <w:t>5.3.3</w:t>
            </w:r>
          </w:p>
        </w:tc>
        <w:tc>
          <w:tcPr>
            <w:tcW w:w="3600" w:type="dxa"/>
            <w:tcBorders>
              <w:top w:val="nil"/>
              <w:left w:val="nil"/>
              <w:bottom w:val="single" w:sz="4" w:space="0" w:color="auto"/>
              <w:right w:val="single" w:sz="4" w:space="0" w:color="auto"/>
            </w:tcBorders>
            <w:shd w:val="clear" w:color="auto" w:fill="auto"/>
            <w:hideMark/>
          </w:tcPr>
          <w:p w14:paraId="7BF97B67" w14:textId="77777777" w:rsidR="00CE65A7" w:rsidRPr="00150CD2" w:rsidRDefault="00CE65A7" w:rsidP="00DF5185">
            <w:pPr>
              <w:pStyle w:val="EYTableText"/>
              <w:rPr>
                <w:rFonts w:cs="Arial"/>
              </w:rPr>
            </w:pPr>
            <w:r w:rsidRPr="00150CD2">
              <w:rPr>
                <w:rFonts w:cs="Arial"/>
              </w:rPr>
              <w:t>Are a member of a local group, club or church</w:t>
            </w:r>
          </w:p>
        </w:tc>
        <w:tc>
          <w:tcPr>
            <w:tcW w:w="1584" w:type="dxa"/>
            <w:tcBorders>
              <w:top w:val="nil"/>
              <w:left w:val="nil"/>
              <w:bottom w:val="single" w:sz="4" w:space="0" w:color="auto"/>
              <w:right w:val="single" w:sz="4" w:space="0" w:color="auto"/>
            </w:tcBorders>
            <w:shd w:val="clear" w:color="auto" w:fill="auto"/>
            <w:noWrap/>
            <w:hideMark/>
          </w:tcPr>
          <w:p w14:paraId="2D000C1D" w14:textId="77777777" w:rsidR="00CE65A7" w:rsidRPr="00150CD2" w:rsidRDefault="00CE65A7"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75DD8B60"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5185AAC5"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4DE95818"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BE57008"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6B5CB583" w14:textId="77777777" w:rsidTr="00CE65A7">
        <w:tc>
          <w:tcPr>
            <w:tcW w:w="1184" w:type="dxa"/>
            <w:tcBorders>
              <w:left w:val="single" w:sz="4" w:space="0" w:color="auto"/>
              <w:right w:val="single" w:sz="4" w:space="0" w:color="auto"/>
            </w:tcBorders>
            <w:shd w:val="clear" w:color="000000" w:fill="FF4136"/>
            <w:tcMar>
              <w:left w:w="72" w:type="dxa"/>
            </w:tcMar>
            <w:hideMark/>
          </w:tcPr>
          <w:p w14:paraId="09C30020" w14:textId="77777777" w:rsidR="00CE65A7" w:rsidRPr="00150CD2" w:rsidRDefault="00CE65A7" w:rsidP="00CE65A7">
            <w:pPr>
              <w:pStyle w:val="EYTableText"/>
              <w:rPr>
                <w:rFonts w:cs="Arial"/>
              </w:rPr>
            </w:pPr>
          </w:p>
        </w:tc>
        <w:tc>
          <w:tcPr>
            <w:tcW w:w="2016" w:type="dxa"/>
            <w:tcBorders>
              <w:top w:val="single" w:sz="4" w:space="0" w:color="000000"/>
              <w:left w:val="single" w:sz="4" w:space="0" w:color="auto"/>
              <w:right w:val="single" w:sz="4" w:space="0" w:color="auto"/>
            </w:tcBorders>
            <w:shd w:val="clear" w:color="auto" w:fill="auto"/>
            <w:tcMar>
              <w:left w:w="72" w:type="dxa"/>
            </w:tcMar>
            <w:hideMark/>
          </w:tcPr>
          <w:p w14:paraId="18E88758" w14:textId="77777777" w:rsidR="00CE65A7" w:rsidRPr="00150CD2" w:rsidRDefault="00CE65A7" w:rsidP="00CE65A7">
            <w:pPr>
              <w:pStyle w:val="EYTableText"/>
              <w:rPr>
                <w:rFonts w:cs="Arial"/>
                <w:lang w:eastAsia="en-AU"/>
              </w:rPr>
            </w:pPr>
            <w:r w:rsidRPr="00150CD2">
              <w:rPr>
                <w:rFonts w:cs="Arial"/>
                <w:lang w:eastAsia="en-AU"/>
              </w:rPr>
              <w:t xml:space="preserve">Are valued and treated with respect and dignity </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0F9A6705" w14:textId="77777777" w:rsidR="00CE65A7" w:rsidRPr="00150CD2" w:rsidRDefault="00CE65A7" w:rsidP="00DF5185">
            <w:pPr>
              <w:pStyle w:val="EYTableText"/>
              <w:rPr>
                <w:rFonts w:cs="Arial"/>
              </w:rPr>
            </w:pPr>
            <w:r w:rsidRPr="00150CD2">
              <w:rPr>
                <w:rFonts w:cs="Arial"/>
              </w:rPr>
              <w:t>5.4.1</w:t>
            </w:r>
          </w:p>
          <w:p w14:paraId="2B9D0BE5" w14:textId="316EE663" w:rsidR="00CE65A7" w:rsidRPr="00150CD2" w:rsidRDefault="00CE65A7" w:rsidP="00DF5185">
            <w:pPr>
              <w:pStyle w:val="EYTableText"/>
              <w:rPr>
                <w:rFonts w:cs="Arial"/>
              </w:rPr>
            </w:pPr>
            <w:r w:rsidRPr="00150CD2">
              <w:rPr>
                <w:rFonts w:cs="Arial"/>
              </w:rPr>
              <w:t>5.4.2</w:t>
            </w:r>
          </w:p>
        </w:tc>
        <w:tc>
          <w:tcPr>
            <w:tcW w:w="3600" w:type="dxa"/>
            <w:tcBorders>
              <w:top w:val="nil"/>
              <w:left w:val="nil"/>
              <w:bottom w:val="single" w:sz="4" w:space="0" w:color="auto"/>
              <w:right w:val="single" w:sz="4" w:space="0" w:color="auto"/>
            </w:tcBorders>
            <w:shd w:val="clear" w:color="auto" w:fill="auto"/>
            <w:hideMark/>
          </w:tcPr>
          <w:p w14:paraId="79985A8F" w14:textId="77777777" w:rsidR="00CE65A7" w:rsidRPr="00150CD2" w:rsidRDefault="00CE65A7" w:rsidP="00DF5185">
            <w:pPr>
              <w:pStyle w:val="EYTableText"/>
              <w:rPr>
                <w:rFonts w:cs="Arial"/>
              </w:rPr>
            </w:pPr>
            <w:r w:rsidRPr="00150CD2">
              <w:rPr>
                <w:rFonts w:cs="Arial"/>
              </w:rPr>
              <w:t>Variables related to discrimination</w:t>
            </w:r>
          </w:p>
          <w:p w14:paraId="42DE0A43" w14:textId="64D71EF3" w:rsidR="00CE65A7" w:rsidRPr="00150CD2" w:rsidRDefault="00CE65A7" w:rsidP="00DF5185">
            <w:pPr>
              <w:pStyle w:val="EYTableText"/>
              <w:rPr>
                <w:rFonts w:cs="Arial"/>
              </w:rPr>
            </w:pPr>
            <w:r w:rsidRPr="00150CD2">
              <w:rPr>
                <w:rFonts w:cs="Arial"/>
              </w:rPr>
              <w:t>Treated unfairly or had something nasty done to you because of the group you belong to or seem to belong to</w:t>
            </w:r>
          </w:p>
        </w:tc>
        <w:tc>
          <w:tcPr>
            <w:tcW w:w="1584" w:type="dxa"/>
            <w:tcBorders>
              <w:top w:val="nil"/>
              <w:left w:val="nil"/>
              <w:bottom w:val="single" w:sz="4" w:space="0" w:color="auto"/>
              <w:right w:val="single" w:sz="4" w:space="0" w:color="auto"/>
            </w:tcBorders>
            <w:shd w:val="clear" w:color="auto" w:fill="auto"/>
            <w:noWrap/>
            <w:hideMark/>
          </w:tcPr>
          <w:p w14:paraId="5B3C7D69" w14:textId="77777777" w:rsidR="00CE65A7" w:rsidRPr="00150CD2" w:rsidRDefault="00CE65A7"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3AA41384"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253922C7"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175618A"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5F2BB0AA"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3C956430" w14:textId="77777777" w:rsidTr="00CE65A7">
        <w:tc>
          <w:tcPr>
            <w:tcW w:w="1184" w:type="dxa"/>
            <w:tcBorders>
              <w:left w:val="single" w:sz="4" w:space="0" w:color="auto"/>
              <w:right w:val="single" w:sz="4" w:space="0" w:color="auto"/>
            </w:tcBorders>
            <w:shd w:val="clear" w:color="000000" w:fill="FF4136"/>
            <w:tcMar>
              <w:left w:w="72" w:type="dxa"/>
            </w:tcMar>
            <w:hideMark/>
          </w:tcPr>
          <w:p w14:paraId="13C30813" w14:textId="77777777" w:rsidR="00CE65A7" w:rsidRPr="00150CD2" w:rsidRDefault="00CE65A7" w:rsidP="00CE65A7">
            <w:pPr>
              <w:pStyle w:val="EYTableText"/>
              <w:rPr>
                <w:rFonts w:cs="Arial"/>
              </w:rPr>
            </w:pPr>
          </w:p>
        </w:tc>
        <w:tc>
          <w:tcPr>
            <w:tcW w:w="2016" w:type="dxa"/>
            <w:tcBorders>
              <w:top w:val="nil"/>
              <w:left w:val="single" w:sz="4" w:space="0" w:color="auto"/>
              <w:right w:val="single" w:sz="4" w:space="0" w:color="auto"/>
            </w:tcBorders>
            <w:shd w:val="clear" w:color="auto" w:fill="auto"/>
            <w:tcMar>
              <w:left w:w="72" w:type="dxa"/>
            </w:tcMar>
            <w:hideMark/>
          </w:tcPr>
          <w:p w14:paraId="3C1978F3" w14:textId="77777777" w:rsidR="00CE65A7" w:rsidRPr="00150CD2" w:rsidRDefault="00CE65A7" w:rsidP="00CE65A7">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3841D706" w14:textId="77777777" w:rsidR="00CE65A7" w:rsidRPr="00150CD2" w:rsidRDefault="00CE65A7" w:rsidP="00DF5185">
            <w:pPr>
              <w:pStyle w:val="EYTableText"/>
              <w:rPr>
                <w:rFonts w:cs="Arial"/>
              </w:rPr>
            </w:pPr>
            <w:r w:rsidRPr="00150CD2">
              <w:rPr>
                <w:rFonts w:cs="Arial"/>
              </w:rPr>
              <w:t>5.4.3</w:t>
            </w:r>
          </w:p>
        </w:tc>
        <w:tc>
          <w:tcPr>
            <w:tcW w:w="3600" w:type="dxa"/>
            <w:tcBorders>
              <w:top w:val="nil"/>
              <w:left w:val="nil"/>
              <w:bottom w:val="single" w:sz="4" w:space="0" w:color="auto"/>
              <w:right w:val="single" w:sz="4" w:space="0" w:color="auto"/>
            </w:tcBorders>
            <w:shd w:val="clear" w:color="auto" w:fill="auto"/>
            <w:hideMark/>
          </w:tcPr>
          <w:p w14:paraId="50E2C55D" w14:textId="77777777" w:rsidR="00CE65A7" w:rsidRPr="00150CD2" w:rsidRDefault="00CE65A7" w:rsidP="00DF5185">
            <w:pPr>
              <w:pStyle w:val="EYTableText"/>
              <w:rPr>
                <w:rFonts w:cs="Arial"/>
              </w:rPr>
            </w:pPr>
            <w:r w:rsidRPr="00150CD2">
              <w:rPr>
                <w:rFonts w:cs="Arial"/>
              </w:rPr>
              <w:t>Believe people in their lives value what they can do</w:t>
            </w:r>
          </w:p>
        </w:tc>
        <w:tc>
          <w:tcPr>
            <w:tcW w:w="1584" w:type="dxa"/>
            <w:tcBorders>
              <w:top w:val="nil"/>
              <w:left w:val="nil"/>
              <w:bottom w:val="single" w:sz="4" w:space="0" w:color="auto"/>
              <w:right w:val="single" w:sz="4" w:space="0" w:color="auto"/>
            </w:tcBorders>
            <w:shd w:val="clear" w:color="auto" w:fill="auto"/>
            <w:noWrap/>
            <w:hideMark/>
          </w:tcPr>
          <w:p w14:paraId="26BA65DE" w14:textId="77777777" w:rsidR="00CE65A7" w:rsidRPr="00150CD2" w:rsidRDefault="00CE65A7"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57E2AA66"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4F34FF24"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371A8F19"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0F0790B"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063C9ACC" w14:textId="77777777" w:rsidTr="00CE65A7">
        <w:tc>
          <w:tcPr>
            <w:tcW w:w="1184" w:type="dxa"/>
            <w:tcBorders>
              <w:left w:val="single" w:sz="4" w:space="0" w:color="auto"/>
              <w:bottom w:val="single" w:sz="4" w:space="0" w:color="auto"/>
              <w:right w:val="single" w:sz="4" w:space="0" w:color="auto"/>
            </w:tcBorders>
            <w:shd w:val="clear" w:color="000000" w:fill="FF4136"/>
            <w:tcMar>
              <w:left w:w="72" w:type="dxa"/>
            </w:tcMar>
            <w:hideMark/>
          </w:tcPr>
          <w:p w14:paraId="4A315D41" w14:textId="77777777" w:rsidR="00CE65A7" w:rsidRPr="00150CD2" w:rsidRDefault="00CE65A7" w:rsidP="00CE65A7">
            <w:pPr>
              <w:pStyle w:val="EYTableText"/>
              <w:rPr>
                <w:rFonts w:cs="Arial"/>
              </w:rPr>
            </w:pPr>
          </w:p>
        </w:tc>
        <w:tc>
          <w:tcPr>
            <w:tcW w:w="2016" w:type="dxa"/>
            <w:tcBorders>
              <w:top w:val="nil"/>
              <w:left w:val="single" w:sz="4" w:space="0" w:color="auto"/>
              <w:bottom w:val="single" w:sz="4" w:space="0" w:color="000000"/>
              <w:right w:val="single" w:sz="4" w:space="0" w:color="auto"/>
            </w:tcBorders>
            <w:shd w:val="clear" w:color="auto" w:fill="auto"/>
            <w:tcMar>
              <w:left w:w="72" w:type="dxa"/>
            </w:tcMar>
            <w:hideMark/>
          </w:tcPr>
          <w:p w14:paraId="62D35BF4" w14:textId="77777777" w:rsidR="00CE65A7" w:rsidRPr="00150CD2" w:rsidRDefault="00CE65A7" w:rsidP="00CE65A7">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617B9B92" w14:textId="77777777" w:rsidR="00CE65A7" w:rsidRPr="00150CD2" w:rsidRDefault="00CE65A7" w:rsidP="00DF5185">
            <w:pPr>
              <w:pStyle w:val="EYTableText"/>
              <w:rPr>
                <w:rFonts w:cs="Arial"/>
              </w:rPr>
            </w:pPr>
            <w:r w:rsidRPr="00150CD2">
              <w:rPr>
                <w:rFonts w:cs="Arial"/>
              </w:rPr>
              <w:t>5.4.4</w:t>
            </w:r>
          </w:p>
        </w:tc>
        <w:tc>
          <w:tcPr>
            <w:tcW w:w="3600" w:type="dxa"/>
            <w:tcBorders>
              <w:top w:val="nil"/>
              <w:left w:val="nil"/>
              <w:bottom w:val="single" w:sz="4" w:space="0" w:color="auto"/>
              <w:right w:val="single" w:sz="4" w:space="0" w:color="auto"/>
            </w:tcBorders>
            <w:shd w:val="clear" w:color="auto" w:fill="auto"/>
            <w:hideMark/>
          </w:tcPr>
          <w:p w14:paraId="5E0C1A83" w14:textId="77777777" w:rsidR="00CE65A7" w:rsidRPr="00150CD2" w:rsidRDefault="00CE65A7" w:rsidP="00DF5185">
            <w:pPr>
              <w:pStyle w:val="EYTableText"/>
              <w:rPr>
                <w:rFonts w:cs="Arial"/>
              </w:rPr>
            </w:pPr>
            <w:r w:rsidRPr="00150CD2">
              <w:rPr>
                <w:rFonts w:cs="Arial"/>
              </w:rPr>
              <w:t>Feel they belong in their community</w:t>
            </w:r>
          </w:p>
        </w:tc>
        <w:tc>
          <w:tcPr>
            <w:tcW w:w="1584" w:type="dxa"/>
            <w:tcBorders>
              <w:top w:val="nil"/>
              <w:left w:val="nil"/>
              <w:bottom w:val="single" w:sz="4" w:space="0" w:color="auto"/>
              <w:right w:val="single" w:sz="4" w:space="0" w:color="auto"/>
            </w:tcBorders>
            <w:shd w:val="clear" w:color="auto" w:fill="auto"/>
            <w:noWrap/>
            <w:hideMark/>
          </w:tcPr>
          <w:p w14:paraId="1161F1B4" w14:textId="77777777" w:rsidR="00CE65A7" w:rsidRPr="00150CD2" w:rsidRDefault="00CE65A7" w:rsidP="00DF5185">
            <w:pPr>
              <w:pStyle w:val="EYTableText"/>
              <w:rPr>
                <w:rFonts w:cs="Arial"/>
                <w:lang w:eastAsia="en-AU"/>
              </w:rPr>
            </w:pPr>
            <w:r w:rsidRPr="00150CD2">
              <w:rPr>
                <w:rFonts w:cs="Arial"/>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75823F42"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443CAA75"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977454A"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5FAA0132"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2FA92B10" w14:textId="77777777" w:rsidTr="00CE65A7">
        <w:tc>
          <w:tcPr>
            <w:tcW w:w="1184" w:type="dxa"/>
            <w:tcBorders>
              <w:top w:val="single" w:sz="4" w:space="0" w:color="auto"/>
              <w:left w:val="single" w:sz="4" w:space="0" w:color="auto"/>
              <w:right w:val="single" w:sz="4" w:space="0" w:color="auto"/>
            </w:tcBorders>
            <w:shd w:val="clear" w:color="000000" w:fill="2DB757"/>
            <w:tcMar>
              <w:left w:w="72" w:type="dxa"/>
            </w:tcMar>
            <w:hideMark/>
          </w:tcPr>
          <w:p w14:paraId="5E0B4226" w14:textId="77777777" w:rsidR="00CE65A7" w:rsidRPr="00150CD2" w:rsidRDefault="00CE65A7" w:rsidP="00CE65A7">
            <w:pPr>
              <w:pStyle w:val="EYTableText"/>
              <w:rPr>
                <w:rFonts w:cs="Arial"/>
              </w:rPr>
            </w:pPr>
            <w:r w:rsidRPr="00150CD2">
              <w:rPr>
                <w:rFonts w:cs="Arial"/>
              </w:rPr>
              <w:t>Have Positive Relationships</w:t>
            </w:r>
          </w:p>
        </w:tc>
        <w:tc>
          <w:tcPr>
            <w:tcW w:w="2016" w:type="dxa"/>
            <w:tcBorders>
              <w:top w:val="nil"/>
              <w:left w:val="single" w:sz="4" w:space="0" w:color="auto"/>
              <w:right w:val="single" w:sz="4" w:space="0" w:color="auto"/>
            </w:tcBorders>
            <w:shd w:val="clear" w:color="auto" w:fill="auto"/>
            <w:tcMar>
              <w:left w:w="72" w:type="dxa"/>
            </w:tcMar>
            <w:hideMark/>
          </w:tcPr>
          <w:p w14:paraId="70F594ED" w14:textId="77777777" w:rsidR="00CE65A7" w:rsidRPr="00150CD2" w:rsidRDefault="00CE65A7" w:rsidP="00CE65A7">
            <w:pPr>
              <w:pStyle w:val="EYTableText"/>
              <w:rPr>
                <w:rFonts w:cs="Arial"/>
                <w:lang w:eastAsia="en-AU"/>
              </w:rPr>
            </w:pPr>
            <w:r w:rsidRPr="00150CD2">
              <w:rPr>
                <w:rFonts w:cs="Arial"/>
                <w:lang w:eastAsia="en-AU"/>
              </w:rPr>
              <w:t>Have constructive relationships with family and whānau and have positive connections to friends, peers and social networks outside of where they live</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5876B544" w14:textId="77777777" w:rsidR="00CE65A7" w:rsidRPr="00150CD2" w:rsidRDefault="00CE65A7" w:rsidP="00DF5185">
            <w:pPr>
              <w:pStyle w:val="EYTableText"/>
              <w:rPr>
                <w:rFonts w:cs="Arial"/>
              </w:rPr>
            </w:pPr>
            <w:r w:rsidRPr="00150CD2">
              <w:rPr>
                <w:rFonts w:cs="Arial"/>
              </w:rPr>
              <w:t>6.1.1</w:t>
            </w:r>
          </w:p>
          <w:p w14:paraId="74D81083" w14:textId="77777777" w:rsidR="00CE65A7" w:rsidRPr="00150CD2" w:rsidRDefault="00CE65A7" w:rsidP="00DF5185">
            <w:pPr>
              <w:pStyle w:val="EYTableText"/>
              <w:rPr>
                <w:rFonts w:cs="Arial"/>
              </w:rPr>
            </w:pPr>
            <w:r w:rsidRPr="00150CD2">
              <w:rPr>
                <w:rFonts w:cs="Arial"/>
              </w:rPr>
              <w:t>6.1.2</w:t>
            </w:r>
          </w:p>
          <w:p w14:paraId="185F423C" w14:textId="7E86600C" w:rsidR="00CE65A7" w:rsidRPr="00150CD2" w:rsidRDefault="00CE65A7" w:rsidP="00DF5185">
            <w:pPr>
              <w:pStyle w:val="EYTableText"/>
              <w:rPr>
                <w:rFonts w:cs="Arial"/>
              </w:rPr>
            </w:pPr>
          </w:p>
        </w:tc>
        <w:tc>
          <w:tcPr>
            <w:tcW w:w="3600" w:type="dxa"/>
            <w:tcBorders>
              <w:top w:val="nil"/>
              <w:left w:val="nil"/>
              <w:bottom w:val="single" w:sz="4" w:space="0" w:color="auto"/>
              <w:right w:val="single" w:sz="4" w:space="0" w:color="auto"/>
            </w:tcBorders>
            <w:shd w:val="clear" w:color="auto" w:fill="auto"/>
            <w:hideMark/>
          </w:tcPr>
          <w:p w14:paraId="042E1667" w14:textId="77777777" w:rsidR="00CE65A7" w:rsidRPr="00150CD2" w:rsidRDefault="00CE65A7" w:rsidP="00DF5185">
            <w:pPr>
              <w:pStyle w:val="EYTableText"/>
              <w:rPr>
                <w:rFonts w:cs="Arial"/>
              </w:rPr>
            </w:pPr>
            <w:r w:rsidRPr="00150CD2">
              <w:rPr>
                <w:rFonts w:cs="Arial"/>
              </w:rPr>
              <w:t>Responses around social connectedness</w:t>
            </w:r>
          </w:p>
          <w:p w14:paraId="197CAE46" w14:textId="38D8679C" w:rsidR="00CE65A7" w:rsidRPr="00150CD2" w:rsidRDefault="00CE65A7" w:rsidP="00DF5185">
            <w:pPr>
              <w:pStyle w:val="EYTableText"/>
              <w:rPr>
                <w:rFonts w:cs="Arial"/>
              </w:rPr>
            </w:pPr>
            <w:r w:rsidRPr="00150CD2">
              <w:rPr>
                <w:rFonts w:cs="Arial"/>
              </w:rPr>
              <w:t>Responses around social contact and loneliness</w:t>
            </w:r>
          </w:p>
        </w:tc>
        <w:tc>
          <w:tcPr>
            <w:tcW w:w="1584" w:type="dxa"/>
            <w:tcBorders>
              <w:top w:val="nil"/>
              <w:left w:val="nil"/>
              <w:bottom w:val="single" w:sz="4" w:space="0" w:color="auto"/>
              <w:right w:val="single" w:sz="4" w:space="0" w:color="auto"/>
            </w:tcBorders>
            <w:shd w:val="clear" w:color="auto" w:fill="auto"/>
            <w:noWrap/>
            <w:hideMark/>
          </w:tcPr>
          <w:p w14:paraId="1728CC65" w14:textId="77777777" w:rsidR="00CE65A7" w:rsidRPr="00150CD2" w:rsidRDefault="00CE65A7" w:rsidP="00DF5185">
            <w:pPr>
              <w:pStyle w:val="EYTableText"/>
              <w:rPr>
                <w:rFonts w:cs="Arial"/>
                <w:color w:val="2E2E38"/>
                <w:lang w:eastAsia="en-AU"/>
              </w:rPr>
            </w:pPr>
            <w:r w:rsidRPr="00150CD2">
              <w:rPr>
                <w:rFonts w:cs="Arial"/>
                <w:color w:val="2E2E38"/>
                <w:lang w:eastAsia="en-AU"/>
              </w:rPr>
              <w:t>Individual</w:t>
            </w:r>
          </w:p>
          <w:p w14:paraId="5F3668ED" w14:textId="24E40761" w:rsidR="00CE65A7" w:rsidRPr="00150CD2" w:rsidRDefault="00CE65A7"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auto" w:fill="auto"/>
            <w:noWrap/>
            <w:hideMark/>
          </w:tcPr>
          <w:p w14:paraId="45644076"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000000" w:fill="92D050"/>
            <w:noWrap/>
            <w:hideMark/>
          </w:tcPr>
          <w:p w14:paraId="3CE6F39B"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2C4A842" w14:textId="77777777" w:rsidR="00CE65A7" w:rsidRPr="00150CD2" w:rsidRDefault="00CE65A7"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D77D912" w14:textId="77777777" w:rsidR="00CE65A7" w:rsidRPr="00150CD2" w:rsidRDefault="00CE65A7" w:rsidP="00DF5185">
            <w:pPr>
              <w:pStyle w:val="EYTableText"/>
              <w:rPr>
                <w:rFonts w:cs="Arial"/>
                <w:lang w:eastAsia="en-AU"/>
              </w:rPr>
            </w:pPr>
            <w:r w:rsidRPr="00150CD2">
              <w:rPr>
                <w:rFonts w:cs="Arial"/>
                <w:lang w:eastAsia="en-AU"/>
              </w:rPr>
              <w:t> </w:t>
            </w:r>
          </w:p>
        </w:tc>
      </w:tr>
      <w:tr w:rsidR="00CE65A7" w:rsidRPr="00150CD2" w14:paraId="24974673" w14:textId="77777777" w:rsidTr="00CE65A7">
        <w:tc>
          <w:tcPr>
            <w:tcW w:w="1184" w:type="dxa"/>
            <w:tcBorders>
              <w:left w:val="single" w:sz="4" w:space="0" w:color="auto"/>
              <w:right w:val="single" w:sz="4" w:space="0" w:color="auto"/>
            </w:tcBorders>
            <w:shd w:val="clear" w:color="000000" w:fill="2DB757"/>
            <w:tcMar>
              <w:left w:w="72" w:type="dxa"/>
            </w:tcMar>
            <w:hideMark/>
          </w:tcPr>
          <w:p w14:paraId="4F204532" w14:textId="77777777" w:rsidR="00CE65A7" w:rsidRPr="00150CD2" w:rsidRDefault="00CE65A7" w:rsidP="00CE65A7">
            <w:pPr>
              <w:pStyle w:val="EYTableText"/>
              <w:rPr>
                <w:rFonts w:cs="Arial"/>
              </w:rPr>
            </w:pPr>
          </w:p>
        </w:tc>
        <w:tc>
          <w:tcPr>
            <w:tcW w:w="2016" w:type="dxa"/>
            <w:tcBorders>
              <w:left w:val="single" w:sz="4" w:space="0" w:color="auto"/>
              <w:bottom w:val="single" w:sz="4" w:space="0" w:color="000000"/>
              <w:right w:val="single" w:sz="4" w:space="0" w:color="auto"/>
            </w:tcBorders>
            <w:shd w:val="clear" w:color="auto" w:fill="auto"/>
            <w:tcMar>
              <w:left w:w="72" w:type="dxa"/>
            </w:tcMar>
            <w:hideMark/>
          </w:tcPr>
          <w:p w14:paraId="240B7046" w14:textId="77777777" w:rsidR="00CE65A7" w:rsidRPr="00150CD2" w:rsidRDefault="00CE65A7" w:rsidP="00CE65A7">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0D037FBB" w14:textId="77777777" w:rsidR="00CE65A7" w:rsidRPr="00150CD2" w:rsidRDefault="00CE65A7" w:rsidP="00CE65A7">
            <w:pPr>
              <w:pStyle w:val="EYTableText"/>
              <w:rPr>
                <w:rFonts w:cs="Arial"/>
              </w:rPr>
            </w:pPr>
            <w:r w:rsidRPr="00150CD2">
              <w:rPr>
                <w:rFonts w:cs="Arial"/>
              </w:rPr>
              <w:t>6.1.3</w:t>
            </w:r>
          </w:p>
          <w:p w14:paraId="5A47EACB" w14:textId="77777777" w:rsidR="00CE65A7" w:rsidRPr="00150CD2" w:rsidRDefault="00CE65A7" w:rsidP="00CE65A7">
            <w:pPr>
              <w:pStyle w:val="EYTableText"/>
              <w:rPr>
                <w:rFonts w:cs="Arial"/>
              </w:rPr>
            </w:pPr>
            <w:r w:rsidRPr="00150CD2">
              <w:rPr>
                <w:rFonts w:cs="Arial"/>
              </w:rPr>
              <w:t>6.1.4</w:t>
            </w:r>
          </w:p>
          <w:p w14:paraId="65DEF07D" w14:textId="140760FD" w:rsidR="00CE65A7" w:rsidRPr="00150CD2" w:rsidRDefault="00CE65A7" w:rsidP="00CE65A7">
            <w:pPr>
              <w:pStyle w:val="EYTableText"/>
              <w:rPr>
                <w:rFonts w:cs="Arial"/>
              </w:rPr>
            </w:pPr>
            <w:r w:rsidRPr="00150CD2">
              <w:rPr>
                <w:rFonts w:cs="Arial"/>
              </w:rPr>
              <w:t>6.1.5</w:t>
            </w:r>
          </w:p>
        </w:tc>
        <w:tc>
          <w:tcPr>
            <w:tcW w:w="3600" w:type="dxa"/>
            <w:tcBorders>
              <w:top w:val="nil"/>
              <w:left w:val="nil"/>
              <w:bottom w:val="single" w:sz="4" w:space="0" w:color="auto"/>
              <w:right w:val="single" w:sz="4" w:space="0" w:color="auto"/>
            </w:tcBorders>
            <w:shd w:val="clear" w:color="auto" w:fill="auto"/>
            <w:hideMark/>
          </w:tcPr>
          <w:p w14:paraId="7A208B52" w14:textId="77777777" w:rsidR="00CE65A7" w:rsidRPr="00150CD2" w:rsidRDefault="00CE65A7" w:rsidP="00CE65A7">
            <w:pPr>
              <w:pStyle w:val="EYTableText"/>
              <w:rPr>
                <w:rFonts w:cs="Arial"/>
              </w:rPr>
            </w:pPr>
            <w:r w:rsidRPr="00150CD2">
              <w:rPr>
                <w:rFonts w:cs="Arial"/>
              </w:rPr>
              <w:t>Believe they are important to their family</w:t>
            </w:r>
          </w:p>
          <w:p w14:paraId="4D8DB895" w14:textId="77777777" w:rsidR="00CE65A7" w:rsidRPr="00150CD2" w:rsidRDefault="00CE65A7" w:rsidP="00CE65A7">
            <w:pPr>
              <w:pStyle w:val="EYTableText"/>
              <w:rPr>
                <w:rFonts w:cs="Arial"/>
              </w:rPr>
            </w:pPr>
            <w:r w:rsidRPr="00150CD2">
              <w:rPr>
                <w:rFonts w:cs="Arial"/>
              </w:rPr>
              <w:t>When did you last visit friends</w:t>
            </w:r>
          </w:p>
          <w:p w14:paraId="34BCDB0E" w14:textId="50EF0644" w:rsidR="00CE65A7" w:rsidRPr="00150CD2" w:rsidRDefault="00CE65A7" w:rsidP="00CE65A7">
            <w:pPr>
              <w:pStyle w:val="EYTableText"/>
              <w:rPr>
                <w:rFonts w:cs="Arial"/>
              </w:rPr>
            </w:pPr>
            <w:r w:rsidRPr="00150CD2">
              <w:rPr>
                <w:rFonts w:cs="Arial"/>
              </w:rPr>
              <w:t>Have friends outside of where they live</w:t>
            </w:r>
          </w:p>
        </w:tc>
        <w:tc>
          <w:tcPr>
            <w:tcW w:w="1584" w:type="dxa"/>
            <w:tcBorders>
              <w:top w:val="nil"/>
              <w:left w:val="nil"/>
              <w:bottom w:val="single" w:sz="4" w:space="0" w:color="auto"/>
              <w:right w:val="single" w:sz="4" w:space="0" w:color="auto"/>
            </w:tcBorders>
            <w:shd w:val="clear" w:color="auto" w:fill="auto"/>
            <w:noWrap/>
            <w:hideMark/>
          </w:tcPr>
          <w:p w14:paraId="4C2C744A" w14:textId="77777777" w:rsidR="00CE65A7" w:rsidRPr="00150CD2" w:rsidRDefault="00CE65A7" w:rsidP="00CE65A7">
            <w:pPr>
              <w:pStyle w:val="EYTableText"/>
              <w:rPr>
                <w:rFonts w:cs="Arial"/>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60760A4E" w14:textId="77777777" w:rsidR="00CE65A7" w:rsidRPr="00150CD2" w:rsidRDefault="00CE65A7" w:rsidP="00CE65A7">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2A2E853" w14:textId="77777777" w:rsidR="00CE65A7" w:rsidRPr="00150CD2" w:rsidRDefault="00CE65A7" w:rsidP="00CE65A7">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55CB885" w14:textId="77777777" w:rsidR="00CE65A7" w:rsidRPr="00150CD2" w:rsidRDefault="00CE65A7" w:rsidP="00CE65A7">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11F8C3A" w14:textId="77777777" w:rsidR="00CE65A7" w:rsidRPr="00150CD2" w:rsidRDefault="00CE65A7" w:rsidP="00CE65A7">
            <w:pPr>
              <w:pStyle w:val="EYTableText"/>
              <w:rPr>
                <w:rFonts w:cs="Arial"/>
                <w:lang w:eastAsia="en-AU"/>
              </w:rPr>
            </w:pPr>
            <w:r w:rsidRPr="00150CD2">
              <w:rPr>
                <w:rFonts w:cs="Arial"/>
                <w:lang w:eastAsia="en-AU"/>
              </w:rPr>
              <w:t> </w:t>
            </w:r>
          </w:p>
        </w:tc>
      </w:tr>
      <w:tr w:rsidR="00DF5185" w:rsidRPr="00150CD2" w14:paraId="070B9974" w14:textId="77777777" w:rsidTr="00CE65A7">
        <w:tc>
          <w:tcPr>
            <w:tcW w:w="1184" w:type="dxa"/>
            <w:tcBorders>
              <w:left w:val="single" w:sz="4" w:space="0" w:color="auto"/>
              <w:right w:val="single" w:sz="4" w:space="0" w:color="auto"/>
            </w:tcBorders>
            <w:shd w:val="clear" w:color="000000" w:fill="2DB757"/>
            <w:tcMar>
              <w:left w:w="72" w:type="dxa"/>
            </w:tcMar>
            <w:hideMark/>
          </w:tcPr>
          <w:p w14:paraId="5A765F33" w14:textId="77777777" w:rsidR="00DF5185" w:rsidRPr="00150CD2" w:rsidRDefault="00DF5185" w:rsidP="00CE65A7">
            <w:pPr>
              <w:pStyle w:val="EYTableText"/>
              <w:rPr>
                <w:rFonts w:cs="Arial"/>
              </w:rPr>
            </w:pPr>
          </w:p>
        </w:tc>
        <w:tc>
          <w:tcPr>
            <w:tcW w:w="2016" w:type="dxa"/>
            <w:tcBorders>
              <w:top w:val="nil"/>
              <w:left w:val="single" w:sz="4" w:space="0" w:color="auto"/>
              <w:bottom w:val="nil"/>
              <w:right w:val="single" w:sz="4" w:space="0" w:color="auto"/>
            </w:tcBorders>
            <w:shd w:val="clear" w:color="auto" w:fill="auto"/>
            <w:tcMar>
              <w:left w:w="72" w:type="dxa"/>
            </w:tcMar>
            <w:hideMark/>
          </w:tcPr>
          <w:p w14:paraId="0A2F14ED" w14:textId="77777777" w:rsidR="00DF5185" w:rsidRPr="00150CD2" w:rsidRDefault="00DF5185" w:rsidP="00CE65A7">
            <w:pPr>
              <w:pStyle w:val="EYTableText"/>
              <w:rPr>
                <w:rFonts w:cs="Arial"/>
                <w:lang w:eastAsia="en-AU"/>
              </w:rPr>
            </w:pPr>
            <w:r w:rsidRPr="00150CD2">
              <w:rPr>
                <w:rFonts w:cs="Arial"/>
                <w:lang w:eastAsia="en-AU"/>
              </w:rPr>
              <w:t>Have consensual intimate relationships (if they choose)</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2C07CE97" w14:textId="77777777" w:rsidR="00DF5185" w:rsidRPr="00150CD2" w:rsidRDefault="00DF5185" w:rsidP="00DF5185">
            <w:pPr>
              <w:pStyle w:val="EYTableText"/>
              <w:rPr>
                <w:rFonts w:cs="Arial"/>
              </w:rPr>
            </w:pPr>
            <w:r w:rsidRPr="00150CD2">
              <w:rPr>
                <w:rFonts w:cs="Arial"/>
              </w:rPr>
              <w:t>6.2.1</w:t>
            </w:r>
          </w:p>
          <w:p w14:paraId="4B428311" w14:textId="428D4468" w:rsidR="00CE65A7" w:rsidRPr="00150CD2" w:rsidRDefault="00CE65A7" w:rsidP="00DF5185">
            <w:pPr>
              <w:pStyle w:val="EYTableText"/>
              <w:rPr>
                <w:rFonts w:cs="Arial"/>
              </w:rPr>
            </w:pPr>
            <w:r w:rsidRPr="00150CD2">
              <w:rPr>
                <w:rFonts w:cs="Arial"/>
              </w:rPr>
              <w:t>6.2.2</w:t>
            </w:r>
          </w:p>
        </w:tc>
        <w:tc>
          <w:tcPr>
            <w:tcW w:w="3600" w:type="dxa"/>
            <w:tcBorders>
              <w:top w:val="nil"/>
              <w:left w:val="nil"/>
              <w:bottom w:val="single" w:sz="4" w:space="0" w:color="auto"/>
              <w:right w:val="single" w:sz="4" w:space="0" w:color="auto"/>
            </w:tcBorders>
            <w:shd w:val="clear" w:color="auto" w:fill="auto"/>
            <w:hideMark/>
          </w:tcPr>
          <w:p w14:paraId="6AEB8523" w14:textId="77777777" w:rsidR="00DF5185" w:rsidRPr="00150CD2" w:rsidRDefault="00DF5185" w:rsidP="00DF5185">
            <w:pPr>
              <w:pStyle w:val="EYTableText"/>
              <w:rPr>
                <w:rFonts w:cs="Arial"/>
              </w:rPr>
            </w:pPr>
            <w:r w:rsidRPr="00150CD2">
              <w:rPr>
                <w:rFonts w:cs="Arial"/>
              </w:rPr>
              <w:t>Are in a relationship</w:t>
            </w:r>
          </w:p>
          <w:p w14:paraId="51AAFB24" w14:textId="685F704C" w:rsidR="00CE65A7" w:rsidRPr="00150CD2" w:rsidRDefault="00CE65A7" w:rsidP="00DF5185">
            <w:pPr>
              <w:pStyle w:val="EYTableText"/>
              <w:rPr>
                <w:rFonts w:cs="Arial"/>
              </w:rPr>
            </w:pPr>
            <w:r w:rsidRPr="00150CD2">
              <w:rPr>
                <w:rFonts w:cs="Arial"/>
              </w:rPr>
              <w:t>Live with a partner/spouse</w:t>
            </w:r>
          </w:p>
        </w:tc>
        <w:tc>
          <w:tcPr>
            <w:tcW w:w="1584" w:type="dxa"/>
            <w:tcBorders>
              <w:top w:val="nil"/>
              <w:left w:val="nil"/>
              <w:bottom w:val="single" w:sz="4" w:space="0" w:color="auto"/>
              <w:right w:val="single" w:sz="4" w:space="0" w:color="auto"/>
            </w:tcBorders>
            <w:shd w:val="clear" w:color="auto" w:fill="auto"/>
            <w:noWrap/>
            <w:hideMark/>
          </w:tcPr>
          <w:p w14:paraId="2771775C" w14:textId="77777777" w:rsidR="00DF5185" w:rsidRPr="00150CD2" w:rsidRDefault="00DF5185" w:rsidP="00DF5185">
            <w:pPr>
              <w:pStyle w:val="EYTableText"/>
              <w:rPr>
                <w:rFonts w:cs="Arial"/>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46FCD1BF"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58472BC"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312BF998"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F12FB61"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0FEB8B81" w14:textId="77777777" w:rsidTr="00CE65A7">
        <w:tc>
          <w:tcPr>
            <w:tcW w:w="1184" w:type="dxa"/>
            <w:tcBorders>
              <w:left w:val="single" w:sz="4" w:space="0" w:color="auto"/>
              <w:bottom w:val="single" w:sz="4" w:space="0" w:color="000000"/>
              <w:right w:val="single" w:sz="4" w:space="0" w:color="auto"/>
            </w:tcBorders>
            <w:shd w:val="clear" w:color="000000" w:fill="2DB757"/>
            <w:tcMar>
              <w:left w:w="72" w:type="dxa"/>
            </w:tcMar>
            <w:hideMark/>
          </w:tcPr>
          <w:p w14:paraId="377B88A7" w14:textId="77777777" w:rsidR="00DF5185" w:rsidRPr="00150CD2" w:rsidRDefault="00DF5185" w:rsidP="00CE65A7">
            <w:pPr>
              <w:pStyle w:val="EYTableText"/>
              <w:rPr>
                <w:rFonts w:cs="Arial"/>
              </w:rPr>
            </w:pPr>
          </w:p>
        </w:tc>
        <w:tc>
          <w:tcPr>
            <w:tcW w:w="2016" w:type="dxa"/>
            <w:tcBorders>
              <w:top w:val="nil"/>
              <w:left w:val="single" w:sz="4" w:space="0" w:color="auto"/>
              <w:bottom w:val="single" w:sz="4" w:space="0" w:color="auto"/>
              <w:right w:val="single" w:sz="4" w:space="0" w:color="auto"/>
            </w:tcBorders>
            <w:shd w:val="clear" w:color="auto" w:fill="auto"/>
            <w:tcMar>
              <w:left w:w="72" w:type="dxa"/>
            </w:tcMar>
            <w:hideMark/>
          </w:tcPr>
          <w:p w14:paraId="19363E8B" w14:textId="77777777" w:rsidR="00DF5185" w:rsidRPr="00150CD2" w:rsidRDefault="00DF5185" w:rsidP="00CE65A7">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510A2619" w14:textId="77777777" w:rsidR="00DF5185" w:rsidRPr="00150CD2" w:rsidRDefault="00DF5185" w:rsidP="00DF5185">
            <w:pPr>
              <w:pStyle w:val="EYTableText"/>
              <w:rPr>
                <w:rFonts w:cs="Arial"/>
              </w:rPr>
            </w:pPr>
            <w:r w:rsidRPr="00150CD2">
              <w:rPr>
                <w:rFonts w:cs="Arial"/>
              </w:rPr>
              <w:t>6.2.3</w:t>
            </w:r>
          </w:p>
        </w:tc>
        <w:tc>
          <w:tcPr>
            <w:tcW w:w="3600" w:type="dxa"/>
            <w:tcBorders>
              <w:top w:val="nil"/>
              <w:left w:val="nil"/>
              <w:bottom w:val="single" w:sz="4" w:space="0" w:color="auto"/>
              <w:right w:val="single" w:sz="4" w:space="0" w:color="auto"/>
            </w:tcBorders>
            <w:shd w:val="clear" w:color="auto" w:fill="auto"/>
            <w:hideMark/>
          </w:tcPr>
          <w:p w14:paraId="0D64717D" w14:textId="77777777" w:rsidR="00DF5185" w:rsidRPr="00150CD2" w:rsidRDefault="00DF5185" w:rsidP="00DF5185">
            <w:pPr>
              <w:pStyle w:val="EYTableText"/>
              <w:rPr>
                <w:rFonts w:cs="Arial"/>
              </w:rPr>
            </w:pPr>
            <w:r w:rsidRPr="00150CD2">
              <w:rPr>
                <w:rFonts w:cs="Arial"/>
              </w:rPr>
              <w:t>Marriage or de facto status</w:t>
            </w:r>
          </w:p>
        </w:tc>
        <w:tc>
          <w:tcPr>
            <w:tcW w:w="1584" w:type="dxa"/>
            <w:tcBorders>
              <w:top w:val="nil"/>
              <w:left w:val="nil"/>
              <w:bottom w:val="single" w:sz="4" w:space="0" w:color="auto"/>
              <w:right w:val="single" w:sz="4" w:space="0" w:color="auto"/>
            </w:tcBorders>
            <w:shd w:val="clear" w:color="auto" w:fill="auto"/>
            <w:noWrap/>
            <w:hideMark/>
          </w:tcPr>
          <w:p w14:paraId="61628B2B" w14:textId="77777777" w:rsidR="00DF5185" w:rsidRPr="00150CD2" w:rsidRDefault="00DF5185" w:rsidP="00DF5185">
            <w:pPr>
              <w:pStyle w:val="EYTableText"/>
              <w:rPr>
                <w:rFonts w:cs="Arial"/>
                <w:lang w:eastAsia="en-AU"/>
              </w:rPr>
            </w:pPr>
            <w:r w:rsidRPr="00150CD2">
              <w:rPr>
                <w:rFonts w:cs="Arial"/>
                <w:color w:val="2E2E38"/>
                <w:lang w:eastAsia="en-AU"/>
              </w:rPr>
              <w:t>Individual</w:t>
            </w:r>
          </w:p>
        </w:tc>
        <w:tc>
          <w:tcPr>
            <w:tcW w:w="1224" w:type="dxa"/>
            <w:tcBorders>
              <w:top w:val="nil"/>
              <w:left w:val="single" w:sz="4" w:space="0" w:color="auto"/>
              <w:bottom w:val="single" w:sz="4" w:space="0" w:color="000000"/>
              <w:right w:val="single" w:sz="4" w:space="0" w:color="auto"/>
            </w:tcBorders>
            <w:shd w:val="clear" w:color="auto" w:fill="auto"/>
            <w:noWrap/>
            <w:hideMark/>
          </w:tcPr>
          <w:p w14:paraId="1C81EAC2"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single" w:sz="4" w:space="0" w:color="auto"/>
              <w:bottom w:val="single" w:sz="4" w:space="0" w:color="000000"/>
              <w:right w:val="single" w:sz="4" w:space="0" w:color="auto"/>
            </w:tcBorders>
            <w:shd w:val="clear" w:color="auto" w:fill="auto"/>
            <w:noWrap/>
            <w:hideMark/>
          </w:tcPr>
          <w:p w14:paraId="0ECBE867"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single" w:sz="4" w:space="0" w:color="auto"/>
              <w:bottom w:val="single" w:sz="4" w:space="0" w:color="000000"/>
              <w:right w:val="single" w:sz="4" w:space="0" w:color="auto"/>
            </w:tcBorders>
            <w:shd w:val="clear" w:color="000000" w:fill="92D050"/>
            <w:noWrap/>
            <w:hideMark/>
          </w:tcPr>
          <w:p w14:paraId="614AAB12"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single" w:sz="4" w:space="0" w:color="auto"/>
              <w:bottom w:val="single" w:sz="4" w:space="0" w:color="000000"/>
              <w:right w:val="single" w:sz="4" w:space="0" w:color="auto"/>
            </w:tcBorders>
            <w:shd w:val="clear" w:color="auto" w:fill="auto"/>
            <w:noWrap/>
            <w:hideMark/>
          </w:tcPr>
          <w:p w14:paraId="0891B0ED"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2FCB0529" w14:textId="77777777" w:rsidTr="00CE65A7">
        <w:tc>
          <w:tcPr>
            <w:tcW w:w="1184" w:type="dxa"/>
            <w:tcBorders>
              <w:top w:val="single" w:sz="4" w:space="0" w:color="000000"/>
              <w:left w:val="single" w:sz="4" w:space="0" w:color="auto"/>
              <w:right w:val="single" w:sz="4" w:space="0" w:color="auto"/>
            </w:tcBorders>
            <w:shd w:val="clear" w:color="000000" w:fill="00B0F0"/>
            <w:tcMar>
              <w:left w:w="72" w:type="dxa"/>
            </w:tcMar>
            <w:hideMark/>
          </w:tcPr>
          <w:p w14:paraId="5A538132" w14:textId="77777777" w:rsidR="00DF5185" w:rsidRPr="00150CD2" w:rsidRDefault="00DF5185" w:rsidP="00CE65A7">
            <w:pPr>
              <w:pStyle w:val="EYTableText"/>
              <w:rPr>
                <w:rFonts w:cs="Arial"/>
              </w:rPr>
            </w:pPr>
            <w:r w:rsidRPr="00150CD2">
              <w:rPr>
                <w:rFonts w:cs="Arial"/>
              </w:rPr>
              <w:t>Exercise Choice and Control</w:t>
            </w:r>
          </w:p>
        </w:tc>
        <w:tc>
          <w:tcPr>
            <w:tcW w:w="2016" w:type="dxa"/>
            <w:tcBorders>
              <w:top w:val="single" w:sz="4" w:space="0" w:color="auto"/>
              <w:left w:val="single" w:sz="4" w:space="0" w:color="auto"/>
              <w:right w:val="single" w:sz="4" w:space="0" w:color="auto"/>
            </w:tcBorders>
            <w:shd w:val="clear" w:color="auto" w:fill="auto"/>
            <w:tcMar>
              <w:left w:w="72" w:type="dxa"/>
            </w:tcMar>
            <w:hideMark/>
          </w:tcPr>
          <w:p w14:paraId="509030E2" w14:textId="77777777" w:rsidR="00DF5185" w:rsidRPr="00150CD2" w:rsidRDefault="00DF5185" w:rsidP="00CE65A7">
            <w:pPr>
              <w:pStyle w:val="EYTableText"/>
              <w:rPr>
                <w:rFonts w:cs="Arial"/>
                <w:lang w:eastAsia="en-AU"/>
              </w:rPr>
            </w:pPr>
            <w:r w:rsidRPr="00150CD2">
              <w:rPr>
                <w:rFonts w:cs="Arial"/>
                <w:lang w:eastAsia="en-AU"/>
              </w:rPr>
              <w:t>Have choice and exercise decision making authority over the supports and services they need to go about their daily lives</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44C4C85F" w14:textId="53B93201" w:rsidR="00DF5185" w:rsidRPr="00150CD2" w:rsidRDefault="00DF5185" w:rsidP="00DF5185">
            <w:pPr>
              <w:pStyle w:val="EYTableText"/>
              <w:rPr>
                <w:rFonts w:cs="Arial"/>
              </w:rPr>
            </w:pPr>
            <w:r w:rsidRPr="00150CD2">
              <w:rPr>
                <w:rFonts w:cs="Arial"/>
              </w:rPr>
              <w:t>7.1.1</w:t>
            </w:r>
            <w:r w:rsidR="00CE65A7" w:rsidRPr="00150CD2">
              <w:rPr>
                <w:rFonts w:cs="Arial"/>
              </w:rPr>
              <w:br/>
            </w:r>
          </w:p>
          <w:p w14:paraId="46B02026" w14:textId="4C47BC8D" w:rsidR="00CE65A7" w:rsidRPr="00150CD2" w:rsidRDefault="00CE65A7" w:rsidP="00DF5185">
            <w:pPr>
              <w:pStyle w:val="EYTableText"/>
              <w:rPr>
                <w:rFonts w:cs="Arial"/>
              </w:rPr>
            </w:pPr>
            <w:r w:rsidRPr="00150CD2">
              <w:rPr>
                <w:rFonts w:cs="Arial"/>
              </w:rPr>
              <w:t>7.1.2</w:t>
            </w:r>
          </w:p>
        </w:tc>
        <w:tc>
          <w:tcPr>
            <w:tcW w:w="3600" w:type="dxa"/>
            <w:tcBorders>
              <w:top w:val="nil"/>
              <w:left w:val="nil"/>
              <w:bottom w:val="single" w:sz="4" w:space="0" w:color="auto"/>
              <w:right w:val="single" w:sz="4" w:space="0" w:color="auto"/>
            </w:tcBorders>
            <w:shd w:val="clear" w:color="auto" w:fill="auto"/>
            <w:hideMark/>
          </w:tcPr>
          <w:p w14:paraId="0B6D6A77" w14:textId="77777777" w:rsidR="00DF5185" w:rsidRPr="00150CD2" w:rsidRDefault="00DF5185" w:rsidP="00DF5185">
            <w:pPr>
              <w:pStyle w:val="EYTableText"/>
              <w:rPr>
                <w:rFonts w:cs="Arial"/>
              </w:rPr>
            </w:pPr>
            <w:r w:rsidRPr="00150CD2">
              <w:rPr>
                <w:rFonts w:cs="Arial"/>
              </w:rPr>
              <w:t>Believe they have real choice about the kind of support they receive</w:t>
            </w:r>
          </w:p>
          <w:p w14:paraId="6DCE27AC" w14:textId="7F9A0B87" w:rsidR="00CE65A7" w:rsidRPr="00150CD2" w:rsidRDefault="00CE65A7" w:rsidP="00DF5185">
            <w:pPr>
              <w:pStyle w:val="EYTableText"/>
              <w:rPr>
                <w:rFonts w:cs="Arial"/>
              </w:rPr>
            </w:pPr>
            <w:r w:rsidRPr="00150CD2">
              <w:rPr>
                <w:rFonts w:cs="Arial"/>
              </w:rPr>
              <w:t>Believe support happens at times that work for them</w:t>
            </w:r>
          </w:p>
        </w:tc>
        <w:tc>
          <w:tcPr>
            <w:tcW w:w="1584" w:type="dxa"/>
            <w:tcBorders>
              <w:top w:val="nil"/>
              <w:left w:val="nil"/>
              <w:bottom w:val="single" w:sz="4" w:space="0" w:color="auto"/>
              <w:right w:val="single" w:sz="4" w:space="0" w:color="auto"/>
            </w:tcBorders>
            <w:shd w:val="clear" w:color="auto" w:fill="auto"/>
            <w:noWrap/>
            <w:hideMark/>
          </w:tcPr>
          <w:p w14:paraId="18D4D178" w14:textId="77777777" w:rsidR="00DF5185" w:rsidRPr="00150CD2" w:rsidRDefault="00DF5185" w:rsidP="00DF5185">
            <w:pPr>
              <w:pStyle w:val="EYTableText"/>
              <w:rPr>
                <w:rFonts w:cs="Arial"/>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3774B64C"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74F26BE"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C796A8B"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8F922EC"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1B17E15A" w14:textId="77777777" w:rsidTr="00E64D7A">
        <w:tc>
          <w:tcPr>
            <w:tcW w:w="1184" w:type="dxa"/>
            <w:tcBorders>
              <w:top w:val="nil"/>
              <w:left w:val="single" w:sz="4" w:space="0" w:color="auto"/>
              <w:right w:val="single" w:sz="4" w:space="0" w:color="auto"/>
            </w:tcBorders>
            <w:shd w:val="clear" w:color="000000" w:fill="00B0F0"/>
            <w:tcMar>
              <w:left w:w="72" w:type="dxa"/>
            </w:tcMar>
            <w:hideMark/>
          </w:tcPr>
          <w:p w14:paraId="0B940148" w14:textId="77777777" w:rsidR="00DF5185" w:rsidRPr="00150CD2" w:rsidRDefault="00DF5185" w:rsidP="00CE65A7">
            <w:pPr>
              <w:pStyle w:val="EYTableText"/>
              <w:rPr>
                <w:rFonts w:cs="Arial"/>
                <w:b/>
                <w:bCs/>
                <w:color w:val="FFFFFF"/>
                <w:sz w:val="22"/>
                <w:szCs w:val="22"/>
                <w:lang w:eastAsia="en-AU"/>
              </w:rPr>
            </w:pPr>
          </w:p>
        </w:tc>
        <w:tc>
          <w:tcPr>
            <w:tcW w:w="2016" w:type="dxa"/>
            <w:tcBorders>
              <w:left w:val="single" w:sz="4" w:space="0" w:color="auto"/>
              <w:bottom w:val="single" w:sz="4" w:space="0" w:color="000000"/>
              <w:right w:val="single" w:sz="4" w:space="0" w:color="auto"/>
            </w:tcBorders>
            <w:shd w:val="clear" w:color="auto" w:fill="auto"/>
            <w:tcMar>
              <w:left w:w="72" w:type="dxa"/>
            </w:tcMar>
            <w:hideMark/>
          </w:tcPr>
          <w:p w14:paraId="4801D816" w14:textId="77777777" w:rsidR="00DF5185" w:rsidRPr="00150CD2" w:rsidRDefault="00DF5185" w:rsidP="00CE65A7">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09CB8EED" w14:textId="77777777" w:rsidR="00DF5185" w:rsidRPr="00150CD2" w:rsidRDefault="00DF5185" w:rsidP="00DF5185">
            <w:pPr>
              <w:pStyle w:val="EYTableText"/>
              <w:rPr>
                <w:rFonts w:cs="Arial"/>
              </w:rPr>
            </w:pPr>
            <w:r w:rsidRPr="00150CD2">
              <w:rPr>
                <w:rFonts w:cs="Arial"/>
              </w:rPr>
              <w:t>7.1.3</w:t>
            </w:r>
          </w:p>
        </w:tc>
        <w:tc>
          <w:tcPr>
            <w:tcW w:w="3600" w:type="dxa"/>
            <w:tcBorders>
              <w:top w:val="nil"/>
              <w:left w:val="nil"/>
              <w:bottom w:val="single" w:sz="4" w:space="0" w:color="auto"/>
              <w:right w:val="single" w:sz="4" w:space="0" w:color="auto"/>
            </w:tcBorders>
            <w:shd w:val="clear" w:color="auto" w:fill="auto"/>
            <w:hideMark/>
          </w:tcPr>
          <w:p w14:paraId="6136BFC9" w14:textId="77777777" w:rsidR="00DF5185" w:rsidRPr="00150CD2" w:rsidRDefault="00DF5185" w:rsidP="00DF5185">
            <w:pPr>
              <w:pStyle w:val="EYTableText"/>
              <w:rPr>
                <w:rFonts w:cs="Arial"/>
              </w:rPr>
            </w:pPr>
            <w:r w:rsidRPr="00150CD2">
              <w:rPr>
                <w:rFonts w:cs="Arial"/>
              </w:rPr>
              <w:t>Review their situation and make changes as they need to</w:t>
            </w:r>
          </w:p>
        </w:tc>
        <w:tc>
          <w:tcPr>
            <w:tcW w:w="1584" w:type="dxa"/>
            <w:tcBorders>
              <w:top w:val="nil"/>
              <w:left w:val="nil"/>
              <w:bottom w:val="single" w:sz="4" w:space="0" w:color="auto"/>
              <w:right w:val="single" w:sz="4" w:space="0" w:color="auto"/>
            </w:tcBorders>
            <w:shd w:val="clear" w:color="auto" w:fill="auto"/>
            <w:noWrap/>
            <w:hideMark/>
          </w:tcPr>
          <w:p w14:paraId="0C6869E0" w14:textId="77777777" w:rsidR="00DF5185" w:rsidRPr="00150CD2" w:rsidRDefault="00DF5185" w:rsidP="00DF5185">
            <w:pPr>
              <w:pStyle w:val="EYTableText"/>
              <w:rPr>
                <w:rFonts w:cs="Arial"/>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1CB2606A"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B0D7CD1"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2BA9862D"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92D050"/>
            <w:noWrap/>
            <w:hideMark/>
          </w:tcPr>
          <w:p w14:paraId="218D39F0"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78526825" w14:textId="77777777" w:rsidTr="00E64D7A">
        <w:tc>
          <w:tcPr>
            <w:tcW w:w="1184" w:type="dxa"/>
            <w:tcBorders>
              <w:top w:val="nil"/>
              <w:left w:val="single" w:sz="4" w:space="0" w:color="auto"/>
              <w:right w:val="single" w:sz="4" w:space="0" w:color="auto"/>
            </w:tcBorders>
            <w:shd w:val="clear" w:color="000000" w:fill="00B0F0"/>
            <w:tcMar>
              <w:left w:w="72" w:type="dxa"/>
            </w:tcMar>
            <w:hideMark/>
          </w:tcPr>
          <w:p w14:paraId="7E2CEF1E" w14:textId="77777777" w:rsidR="00DF5185" w:rsidRPr="00150CD2" w:rsidRDefault="00DF5185" w:rsidP="00CE65A7">
            <w:pPr>
              <w:pStyle w:val="EYTableText"/>
              <w:rPr>
                <w:rFonts w:cs="Arial"/>
                <w:b/>
                <w:bCs/>
                <w:color w:val="FFFFFF"/>
                <w:sz w:val="22"/>
                <w:szCs w:val="22"/>
                <w:lang w:eastAsia="en-AU"/>
              </w:rPr>
            </w:pPr>
          </w:p>
        </w:tc>
        <w:tc>
          <w:tcPr>
            <w:tcW w:w="2016" w:type="dxa"/>
            <w:tcBorders>
              <w:top w:val="single" w:sz="4" w:space="0" w:color="000000"/>
              <w:left w:val="single" w:sz="4" w:space="0" w:color="auto"/>
              <w:right w:val="single" w:sz="4" w:space="0" w:color="auto"/>
            </w:tcBorders>
            <w:shd w:val="clear" w:color="auto" w:fill="auto"/>
            <w:tcMar>
              <w:left w:w="72" w:type="dxa"/>
            </w:tcMar>
            <w:hideMark/>
          </w:tcPr>
          <w:p w14:paraId="1CDE3F4C" w14:textId="77777777" w:rsidR="00DF5185" w:rsidRPr="00150CD2" w:rsidRDefault="00DF5185" w:rsidP="00CE65A7">
            <w:pPr>
              <w:pStyle w:val="EYTableText"/>
              <w:rPr>
                <w:rFonts w:cs="Arial"/>
                <w:lang w:eastAsia="en-AU"/>
              </w:rPr>
            </w:pPr>
            <w:r w:rsidRPr="00150CD2">
              <w:rPr>
                <w:rFonts w:cs="Arial"/>
                <w:lang w:eastAsia="en-AU"/>
              </w:rPr>
              <w:t>Make age appropriate choices about their lives (day-to-day and big things) and wellbeing</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252B7447" w14:textId="77777777" w:rsidR="00DF5185" w:rsidRPr="00150CD2" w:rsidRDefault="00DF5185" w:rsidP="00DF5185">
            <w:pPr>
              <w:pStyle w:val="EYTableText"/>
              <w:rPr>
                <w:rFonts w:cs="Arial"/>
              </w:rPr>
            </w:pPr>
            <w:r w:rsidRPr="00150CD2">
              <w:rPr>
                <w:rFonts w:cs="Arial"/>
              </w:rPr>
              <w:t>7.2.1</w:t>
            </w:r>
          </w:p>
          <w:p w14:paraId="6603490A" w14:textId="77777777" w:rsidR="00E64D7A" w:rsidRPr="00150CD2" w:rsidRDefault="00E64D7A" w:rsidP="00DF5185">
            <w:pPr>
              <w:pStyle w:val="EYTableText"/>
              <w:rPr>
                <w:rFonts w:cs="Arial"/>
              </w:rPr>
            </w:pPr>
            <w:r w:rsidRPr="00150CD2">
              <w:rPr>
                <w:rFonts w:cs="Arial"/>
              </w:rPr>
              <w:t>7.2.2</w:t>
            </w:r>
          </w:p>
          <w:p w14:paraId="19BB6B23" w14:textId="77777777" w:rsidR="00E64D7A" w:rsidRPr="00150CD2" w:rsidRDefault="00E64D7A" w:rsidP="00DF5185">
            <w:pPr>
              <w:pStyle w:val="EYTableText"/>
              <w:rPr>
                <w:rFonts w:cs="Arial"/>
              </w:rPr>
            </w:pPr>
            <w:r w:rsidRPr="00150CD2">
              <w:rPr>
                <w:rFonts w:cs="Arial"/>
              </w:rPr>
              <w:t>7.2.3</w:t>
            </w:r>
          </w:p>
          <w:p w14:paraId="152F0195" w14:textId="4609DD41" w:rsidR="00E64D7A" w:rsidRPr="00150CD2" w:rsidRDefault="00E64D7A" w:rsidP="00DF5185">
            <w:pPr>
              <w:pStyle w:val="EYTableText"/>
              <w:rPr>
                <w:rFonts w:cs="Arial"/>
              </w:rPr>
            </w:pPr>
            <w:r w:rsidRPr="00150CD2">
              <w:rPr>
                <w:rFonts w:cs="Arial"/>
              </w:rPr>
              <w:t>7.2.4</w:t>
            </w:r>
          </w:p>
        </w:tc>
        <w:tc>
          <w:tcPr>
            <w:tcW w:w="3600" w:type="dxa"/>
            <w:tcBorders>
              <w:top w:val="nil"/>
              <w:left w:val="nil"/>
              <w:bottom w:val="single" w:sz="4" w:space="0" w:color="auto"/>
              <w:right w:val="single" w:sz="4" w:space="0" w:color="auto"/>
            </w:tcBorders>
            <w:shd w:val="clear" w:color="auto" w:fill="auto"/>
            <w:hideMark/>
          </w:tcPr>
          <w:p w14:paraId="3A7B3F11" w14:textId="77777777" w:rsidR="00DF5185" w:rsidRPr="00150CD2" w:rsidRDefault="00DF5185" w:rsidP="00DF5185">
            <w:pPr>
              <w:pStyle w:val="EYTableText"/>
              <w:rPr>
                <w:rFonts w:cs="Arial"/>
              </w:rPr>
            </w:pPr>
            <w:r w:rsidRPr="00150CD2">
              <w:rPr>
                <w:rFonts w:cs="Arial"/>
              </w:rPr>
              <w:t>Can choose what happens in their own life</w:t>
            </w:r>
          </w:p>
          <w:p w14:paraId="249E2319" w14:textId="77777777" w:rsidR="00E64D7A" w:rsidRPr="00150CD2" w:rsidRDefault="00E64D7A" w:rsidP="00DF5185">
            <w:pPr>
              <w:pStyle w:val="EYTableText"/>
              <w:rPr>
                <w:rFonts w:cs="Arial"/>
              </w:rPr>
            </w:pPr>
            <w:r w:rsidRPr="00150CD2">
              <w:rPr>
                <w:rFonts w:cs="Arial"/>
              </w:rPr>
              <w:t>Can choose where they live</w:t>
            </w:r>
          </w:p>
          <w:p w14:paraId="12B38F2E" w14:textId="77777777" w:rsidR="00E64D7A" w:rsidRPr="00150CD2" w:rsidRDefault="00E64D7A" w:rsidP="00DF5185">
            <w:pPr>
              <w:pStyle w:val="EYTableText"/>
              <w:rPr>
                <w:rFonts w:cs="Arial"/>
              </w:rPr>
            </w:pPr>
            <w:r w:rsidRPr="00150CD2">
              <w:rPr>
                <w:rFonts w:cs="Arial"/>
              </w:rPr>
              <w:t>Can choose who they live with</w:t>
            </w:r>
          </w:p>
          <w:p w14:paraId="475C62BB" w14:textId="0D8888CB" w:rsidR="00E64D7A" w:rsidRPr="00150CD2" w:rsidRDefault="00E64D7A" w:rsidP="00DF5185">
            <w:pPr>
              <w:pStyle w:val="EYTableText"/>
              <w:rPr>
                <w:rFonts w:cs="Arial"/>
              </w:rPr>
            </w:pPr>
            <w:r w:rsidRPr="00150CD2">
              <w:rPr>
                <w:rFonts w:cs="Arial"/>
              </w:rPr>
              <w:t>Can make plans based on what they want</w:t>
            </w:r>
          </w:p>
        </w:tc>
        <w:tc>
          <w:tcPr>
            <w:tcW w:w="1584" w:type="dxa"/>
            <w:tcBorders>
              <w:top w:val="nil"/>
              <w:left w:val="nil"/>
              <w:bottom w:val="single" w:sz="4" w:space="0" w:color="auto"/>
              <w:right w:val="single" w:sz="4" w:space="0" w:color="auto"/>
            </w:tcBorders>
            <w:shd w:val="clear" w:color="auto" w:fill="auto"/>
            <w:noWrap/>
            <w:hideMark/>
          </w:tcPr>
          <w:p w14:paraId="3E448337" w14:textId="77777777" w:rsidR="00DF5185" w:rsidRPr="00150CD2" w:rsidRDefault="00DF5185" w:rsidP="00DF5185">
            <w:pPr>
              <w:pStyle w:val="EYTableText"/>
              <w:rPr>
                <w:rFonts w:cs="Arial"/>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656AA24E"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5267C604"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9170785"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388600C"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0A47F51A" w14:textId="77777777" w:rsidTr="00CE65A7">
        <w:tc>
          <w:tcPr>
            <w:tcW w:w="1184" w:type="dxa"/>
            <w:tcBorders>
              <w:top w:val="nil"/>
              <w:left w:val="single" w:sz="4" w:space="0" w:color="auto"/>
              <w:right w:val="single" w:sz="4" w:space="0" w:color="auto"/>
            </w:tcBorders>
            <w:shd w:val="clear" w:color="000000" w:fill="00B0F0"/>
            <w:tcMar>
              <w:left w:w="72" w:type="dxa"/>
            </w:tcMar>
            <w:hideMark/>
          </w:tcPr>
          <w:p w14:paraId="06938C86" w14:textId="77777777" w:rsidR="00DF5185" w:rsidRPr="00150CD2" w:rsidRDefault="00DF5185" w:rsidP="00CE65A7">
            <w:pPr>
              <w:pStyle w:val="EYTableText"/>
              <w:rPr>
                <w:rFonts w:cs="Arial"/>
                <w:b/>
                <w:bCs/>
                <w:color w:val="FFFFFF"/>
                <w:sz w:val="22"/>
                <w:szCs w:val="22"/>
                <w:lang w:eastAsia="en-AU"/>
              </w:rPr>
            </w:pPr>
          </w:p>
        </w:tc>
        <w:tc>
          <w:tcPr>
            <w:tcW w:w="2016" w:type="dxa"/>
            <w:tcBorders>
              <w:top w:val="nil"/>
              <w:left w:val="single" w:sz="4" w:space="0" w:color="auto"/>
              <w:bottom w:val="single" w:sz="4" w:space="0" w:color="000000"/>
              <w:right w:val="single" w:sz="4" w:space="0" w:color="auto"/>
            </w:tcBorders>
            <w:shd w:val="clear" w:color="auto" w:fill="auto"/>
            <w:tcMar>
              <w:left w:w="72" w:type="dxa"/>
            </w:tcMar>
            <w:hideMark/>
          </w:tcPr>
          <w:p w14:paraId="6582A760" w14:textId="77777777" w:rsidR="00DF5185" w:rsidRPr="00150CD2" w:rsidRDefault="00DF5185" w:rsidP="00CE65A7">
            <w:pPr>
              <w:pStyle w:val="EYTableText"/>
              <w:rPr>
                <w:rFonts w:cs="Arial"/>
                <w:lang w:eastAsia="en-AU"/>
              </w:rPr>
            </w:pPr>
          </w:p>
        </w:tc>
        <w:tc>
          <w:tcPr>
            <w:tcW w:w="612" w:type="dxa"/>
            <w:tcBorders>
              <w:top w:val="nil"/>
              <w:left w:val="nil"/>
              <w:bottom w:val="single" w:sz="4" w:space="0" w:color="auto"/>
              <w:right w:val="single" w:sz="4" w:space="0" w:color="auto"/>
            </w:tcBorders>
            <w:shd w:val="clear" w:color="auto" w:fill="auto"/>
            <w:noWrap/>
            <w:tcMar>
              <w:left w:w="72" w:type="dxa"/>
            </w:tcMar>
            <w:hideMark/>
          </w:tcPr>
          <w:p w14:paraId="605BFEA4" w14:textId="77777777" w:rsidR="00DF5185" w:rsidRPr="00150CD2" w:rsidRDefault="00DF5185" w:rsidP="00DF5185">
            <w:pPr>
              <w:pStyle w:val="EYTableText"/>
              <w:rPr>
                <w:rFonts w:cs="Arial"/>
              </w:rPr>
            </w:pPr>
            <w:r w:rsidRPr="00150CD2">
              <w:rPr>
                <w:rFonts w:cs="Arial"/>
              </w:rPr>
              <w:t>7.2.5</w:t>
            </w:r>
          </w:p>
        </w:tc>
        <w:tc>
          <w:tcPr>
            <w:tcW w:w="3600" w:type="dxa"/>
            <w:tcBorders>
              <w:top w:val="nil"/>
              <w:left w:val="nil"/>
              <w:bottom w:val="single" w:sz="4" w:space="0" w:color="auto"/>
              <w:right w:val="single" w:sz="4" w:space="0" w:color="auto"/>
            </w:tcBorders>
            <w:shd w:val="clear" w:color="auto" w:fill="auto"/>
            <w:hideMark/>
          </w:tcPr>
          <w:p w14:paraId="4444C194" w14:textId="77777777" w:rsidR="00DF5185" w:rsidRPr="00150CD2" w:rsidRDefault="00DF5185" w:rsidP="00DF5185">
            <w:pPr>
              <w:pStyle w:val="EYTableText"/>
              <w:rPr>
                <w:rFonts w:cs="Arial"/>
              </w:rPr>
            </w:pPr>
            <w:r w:rsidRPr="00150CD2">
              <w:rPr>
                <w:rFonts w:cs="Arial"/>
              </w:rPr>
              <w:t>Decide when to share their personal information</w:t>
            </w:r>
          </w:p>
        </w:tc>
        <w:tc>
          <w:tcPr>
            <w:tcW w:w="1584" w:type="dxa"/>
            <w:tcBorders>
              <w:top w:val="nil"/>
              <w:left w:val="nil"/>
              <w:bottom w:val="single" w:sz="4" w:space="0" w:color="auto"/>
              <w:right w:val="single" w:sz="4" w:space="0" w:color="auto"/>
            </w:tcBorders>
            <w:shd w:val="clear" w:color="auto" w:fill="auto"/>
            <w:noWrap/>
            <w:hideMark/>
          </w:tcPr>
          <w:p w14:paraId="1CC3291A" w14:textId="77777777" w:rsidR="00DF5185" w:rsidRPr="00150CD2" w:rsidRDefault="00DF5185" w:rsidP="00DF5185">
            <w:pPr>
              <w:pStyle w:val="EYTableText"/>
              <w:rPr>
                <w:rFonts w:cs="Arial"/>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060C983A"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1039D6CC"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01385AE4"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92D050"/>
            <w:noWrap/>
            <w:hideMark/>
          </w:tcPr>
          <w:p w14:paraId="6A0394A6" w14:textId="77777777" w:rsidR="00DF5185" w:rsidRPr="00150CD2" w:rsidRDefault="00DF5185" w:rsidP="00DF5185">
            <w:pPr>
              <w:pStyle w:val="EYTableText"/>
              <w:rPr>
                <w:rFonts w:cs="Arial"/>
                <w:lang w:eastAsia="en-AU"/>
              </w:rPr>
            </w:pPr>
            <w:r w:rsidRPr="00150CD2">
              <w:rPr>
                <w:rFonts w:cs="Arial"/>
                <w:lang w:eastAsia="en-AU"/>
              </w:rPr>
              <w:t> </w:t>
            </w:r>
          </w:p>
        </w:tc>
      </w:tr>
      <w:tr w:rsidR="00DF5185" w:rsidRPr="00150CD2" w14:paraId="73F9586C" w14:textId="77777777" w:rsidTr="00CE65A7">
        <w:tc>
          <w:tcPr>
            <w:tcW w:w="1184" w:type="dxa"/>
            <w:tcBorders>
              <w:top w:val="nil"/>
              <w:left w:val="single" w:sz="4" w:space="0" w:color="auto"/>
              <w:bottom w:val="single" w:sz="4" w:space="0" w:color="auto"/>
              <w:right w:val="single" w:sz="4" w:space="0" w:color="auto"/>
            </w:tcBorders>
            <w:shd w:val="clear" w:color="000000" w:fill="00B0F0"/>
            <w:tcMar>
              <w:left w:w="72" w:type="dxa"/>
            </w:tcMar>
            <w:hideMark/>
          </w:tcPr>
          <w:p w14:paraId="0592950E" w14:textId="77777777" w:rsidR="00DF5185" w:rsidRPr="00150CD2" w:rsidRDefault="00DF5185" w:rsidP="00CE65A7">
            <w:pPr>
              <w:pStyle w:val="EYTableText"/>
              <w:rPr>
                <w:rFonts w:cs="Arial"/>
                <w:b/>
                <w:bCs/>
                <w:color w:val="FFFFFF"/>
                <w:sz w:val="22"/>
                <w:szCs w:val="22"/>
                <w:lang w:eastAsia="en-AU"/>
              </w:rPr>
            </w:pPr>
          </w:p>
        </w:tc>
        <w:tc>
          <w:tcPr>
            <w:tcW w:w="2016" w:type="dxa"/>
            <w:tcBorders>
              <w:top w:val="nil"/>
              <w:left w:val="nil"/>
              <w:bottom w:val="single" w:sz="4" w:space="0" w:color="auto"/>
              <w:right w:val="single" w:sz="4" w:space="0" w:color="auto"/>
            </w:tcBorders>
            <w:shd w:val="clear" w:color="auto" w:fill="auto"/>
            <w:tcMar>
              <w:left w:w="72" w:type="dxa"/>
            </w:tcMar>
            <w:hideMark/>
          </w:tcPr>
          <w:p w14:paraId="636CECD0" w14:textId="77777777" w:rsidR="00DF5185" w:rsidRPr="00150CD2" w:rsidRDefault="00DF5185" w:rsidP="00CE65A7">
            <w:pPr>
              <w:pStyle w:val="EYTableText"/>
              <w:rPr>
                <w:rFonts w:cs="Arial"/>
                <w:lang w:eastAsia="en-AU"/>
              </w:rPr>
            </w:pPr>
            <w:r w:rsidRPr="00150CD2">
              <w:rPr>
                <w:rFonts w:cs="Arial"/>
                <w:lang w:eastAsia="en-AU"/>
              </w:rPr>
              <w:t>Pursue their interests</w:t>
            </w:r>
          </w:p>
        </w:tc>
        <w:tc>
          <w:tcPr>
            <w:tcW w:w="612" w:type="dxa"/>
            <w:tcBorders>
              <w:top w:val="nil"/>
              <w:left w:val="nil"/>
              <w:bottom w:val="single" w:sz="4" w:space="0" w:color="auto"/>
              <w:right w:val="single" w:sz="4" w:space="0" w:color="auto"/>
            </w:tcBorders>
            <w:shd w:val="clear" w:color="auto" w:fill="auto"/>
            <w:noWrap/>
            <w:tcMar>
              <w:left w:w="72" w:type="dxa"/>
            </w:tcMar>
            <w:hideMark/>
          </w:tcPr>
          <w:p w14:paraId="64C5C047" w14:textId="77777777" w:rsidR="00DF5185" w:rsidRPr="00150CD2" w:rsidRDefault="00DF5185" w:rsidP="00DF5185">
            <w:pPr>
              <w:pStyle w:val="EYTableText"/>
              <w:rPr>
                <w:rFonts w:cs="Arial"/>
              </w:rPr>
            </w:pPr>
            <w:r w:rsidRPr="00150CD2">
              <w:rPr>
                <w:rFonts w:cs="Arial"/>
              </w:rPr>
              <w:t>7.3</w:t>
            </w:r>
          </w:p>
        </w:tc>
        <w:tc>
          <w:tcPr>
            <w:tcW w:w="3600" w:type="dxa"/>
            <w:tcBorders>
              <w:top w:val="nil"/>
              <w:left w:val="nil"/>
              <w:bottom w:val="single" w:sz="4" w:space="0" w:color="auto"/>
              <w:right w:val="single" w:sz="4" w:space="0" w:color="auto"/>
            </w:tcBorders>
            <w:shd w:val="clear" w:color="auto" w:fill="auto"/>
            <w:hideMark/>
          </w:tcPr>
          <w:p w14:paraId="116E4008" w14:textId="77777777" w:rsidR="00DF5185" w:rsidRPr="00150CD2" w:rsidRDefault="00DF5185" w:rsidP="00DF5185">
            <w:pPr>
              <w:pStyle w:val="EYTableText"/>
              <w:rPr>
                <w:rFonts w:cs="Arial"/>
              </w:rPr>
            </w:pPr>
            <w:r w:rsidRPr="00150CD2">
              <w:rPr>
                <w:rFonts w:cs="Arial"/>
              </w:rPr>
              <w:t>Variables related to participation in community, leisure and recreation activities</w:t>
            </w:r>
          </w:p>
        </w:tc>
        <w:tc>
          <w:tcPr>
            <w:tcW w:w="1584" w:type="dxa"/>
            <w:tcBorders>
              <w:top w:val="nil"/>
              <w:left w:val="nil"/>
              <w:bottom w:val="single" w:sz="4" w:space="0" w:color="auto"/>
              <w:right w:val="single" w:sz="4" w:space="0" w:color="auto"/>
            </w:tcBorders>
            <w:shd w:val="clear" w:color="auto" w:fill="auto"/>
            <w:noWrap/>
            <w:hideMark/>
          </w:tcPr>
          <w:p w14:paraId="4D9B3D62" w14:textId="77777777" w:rsidR="00DF5185" w:rsidRPr="00150CD2" w:rsidRDefault="00DF5185" w:rsidP="00DF5185">
            <w:pPr>
              <w:pStyle w:val="EYTableText"/>
              <w:rPr>
                <w:rFonts w:cs="Arial"/>
                <w:color w:val="2E2E38"/>
                <w:lang w:eastAsia="en-AU"/>
              </w:rPr>
            </w:pPr>
            <w:r w:rsidRPr="00150CD2">
              <w:rPr>
                <w:rFonts w:cs="Arial"/>
                <w:color w:val="2E2E38"/>
                <w:lang w:eastAsia="en-AU"/>
              </w:rPr>
              <w:t>Individual</w:t>
            </w:r>
          </w:p>
        </w:tc>
        <w:tc>
          <w:tcPr>
            <w:tcW w:w="1224" w:type="dxa"/>
            <w:tcBorders>
              <w:top w:val="nil"/>
              <w:left w:val="nil"/>
              <w:bottom w:val="single" w:sz="4" w:space="0" w:color="auto"/>
              <w:right w:val="single" w:sz="4" w:space="0" w:color="auto"/>
            </w:tcBorders>
            <w:shd w:val="clear" w:color="000000" w:fill="92D050"/>
            <w:noWrap/>
            <w:hideMark/>
          </w:tcPr>
          <w:p w14:paraId="578EC792"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3F7BB9C4"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16CB201" w14:textId="77777777" w:rsidR="00DF5185" w:rsidRPr="00150CD2" w:rsidRDefault="00DF5185" w:rsidP="00DF5185">
            <w:pPr>
              <w:pStyle w:val="EYTableText"/>
              <w:rPr>
                <w:rFonts w:cs="Arial"/>
                <w:lang w:eastAsia="en-AU"/>
              </w:rPr>
            </w:pPr>
            <w:r w:rsidRPr="00150CD2">
              <w:rPr>
                <w:rFonts w:cs="Arial"/>
                <w:lang w:eastAsia="en-AU"/>
              </w:rPr>
              <w:t> </w:t>
            </w:r>
          </w:p>
        </w:tc>
        <w:tc>
          <w:tcPr>
            <w:tcW w:w="1224" w:type="dxa"/>
            <w:tcBorders>
              <w:top w:val="nil"/>
              <w:left w:val="nil"/>
              <w:bottom w:val="single" w:sz="4" w:space="0" w:color="auto"/>
              <w:right w:val="single" w:sz="4" w:space="0" w:color="auto"/>
            </w:tcBorders>
            <w:shd w:val="clear" w:color="auto" w:fill="auto"/>
            <w:noWrap/>
            <w:hideMark/>
          </w:tcPr>
          <w:p w14:paraId="71F5D73B" w14:textId="77777777" w:rsidR="00DF5185" w:rsidRPr="00150CD2" w:rsidRDefault="00DF5185" w:rsidP="00DF5185">
            <w:pPr>
              <w:pStyle w:val="EYTableText"/>
              <w:rPr>
                <w:rFonts w:cs="Arial"/>
                <w:lang w:eastAsia="en-AU"/>
              </w:rPr>
            </w:pPr>
            <w:r w:rsidRPr="00150CD2">
              <w:rPr>
                <w:rFonts w:cs="Arial"/>
                <w:lang w:eastAsia="en-AU"/>
              </w:rPr>
              <w:t> </w:t>
            </w:r>
          </w:p>
        </w:tc>
      </w:tr>
    </w:tbl>
    <w:p w14:paraId="5AC54A4C" w14:textId="1D6FFB05" w:rsidR="00A10CB3" w:rsidRPr="00150CD2" w:rsidRDefault="00A10CB3" w:rsidP="00A10CB3">
      <w:pPr>
        <w:pStyle w:val="EYBodytextwithparaspace"/>
        <w:rPr>
          <w:rFonts w:cs="Arial"/>
        </w:rPr>
        <w:sectPr w:rsidR="00A10CB3" w:rsidRPr="00150CD2" w:rsidSect="00E03375">
          <w:footerReference w:type="default" r:id="rId18"/>
          <w:pgSz w:w="16834" w:h="11909" w:orient="landscape" w:code="9"/>
          <w:pgMar w:top="1440" w:right="1440" w:bottom="1440" w:left="1440" w:header="720" w:footer="720" w:gutter="0"/>
          <w:cols w:space="720"/>
          <w:docGrid w:linePitch="360"/>
        </w:sectPr>
      </w:pPr>
    </w:p>
    <w:p w14:paraId="292D07F0" w14:textId="20EB18A4" w:rsidR="004812C3" w:rsidRPr="00150CD2" w:rsidRDefault="00692DD5" w:rsidP="00184038">
      <w:pPr>
        <w:pStyle w:val="EYHeading1"/>
      </w:pPr>
      <w:bookmarkStart w:id="55" w:name="_Toc34052738"/>
      <w:bookmarkStart w:id="56" w:name="_Toc34054062"/>
      <w:bookmarkStart w:id="57" w:name="_Toc34055380"/>
      <w:bookmarkStart w:id="58" w:name="_Toc34056698"/>
      <w:bookmarkStart w:id="59" w:name="_Toc34077116"/>
      <w:bookmarkStart w:id="60" w:name="_Toc34091144"/>
      <w:bookmarkStart w:id="61" w:name="_Toc34095657"/>
      <w:bookmarkStart w:id="62" w:name="_Toc34052739"/>
      <w:bookmarkStart w:id="63" w:name="_Toc34054063"/>
      <w:bookmarkStart w:id="64" w:name="_Toc34055381"/>
      <w:bookmarkStart w:id="65" w:name="_Toc34056699"/>
      <w:bookmarkStart w:id="66" w:name="_Toc34077117"/>
      <w:bookmarkStart w:id="67" w:name="_Toc34091145"/>
      <w:bookmarkStart w:id="68" w:name="_Toc34095658"/>
      <w:bookmarkStart w:id="69" w:name="_Ref26027250"/>
      <w:bookmarkStart w:id="70" w:name="_Toc46365139"/>
      <w:bookmarkStart w:id="71" w:name="_Toc48752357"/>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150CD2">
        <w:t>MidCentral DS</w:t>
      </w:r>
      <w:r w:rsidR="00B01A9E" w:rsidRPr="00150CD2">
        <w:t>S</w:t>
      </w:r>
      <w:r w:rsidRPr="00150CD2">
        <w:t xml:space="preserve"> clients – baseline outcomes</w:t>
      </w:r>
      <w:r w:rsidR="003036A0" w:rsidRPr="00150CD2">
        <w:t xml:space="preserve"> and service contact</w:t>
      </w:r>
      <w:bookmarkEnd w:id="69"/>
      <w:bookmarkEnd w:id="70"/>
      <w:bookmarkEnd w:id="71"/>
    </w:p>
    <w:p w14:paraId="78D7EF16" w14:textId="5C3EA4AC" w:rsidR="00E07D9C" w:rsidRPr="00150CD2" w:rsidRDefault="00DA68B7" w:rsidP="00CE7586">
      <w:pPr>
        <w:pStyle w:val="EYBodytextwithparaspace"/>
        <w:rPr>
          <w:rFonts w:cs="Arial"/>
        </w:rPr>
      </w:pPr>
      <w:r w:rsidRPr="00150CD2">
        <w:rPr>
          <w:rFonts w:cs="Arial"/>
        </w:rPr>
        <w:t xml:space="preserve">This section summarises key observations </w:t>
      </w:r>
      <w:r w:rsidR="006679B6" w:rsidRPr="00150CD2">
        <w:rPr>
          <w:rFonts w:cs="Arial"/>
        </w:rPr>
        <w:t xml:space="preserve">from </w:t>
      </w:r>
      <w:r w:rsidR="0037250F" w:rsidRPr="00150CD2">
        <w:rPr>
          <w:rFonts w:cs="Arial"/>
        </w:rPr>
        <w:t>Statistics NZ’s</w:t>
      </w:r>
      <w:r w:rsidR="006679B6" w:rsidRPr="00150CD2">
        <w:rPr>
          <w:rFonts w:cs="Arial"/>
        </w:rPr>
        <w:t xml:space="preserve"> </w:t>
      </w:r>
      <w:r w:rsidR="0037250F" w:rsidRPr="00150CD2">
        <w:rPr>
          <w:rFonts w:cs="Arial"/>
        </w:rPr>
        <w:t>I</w:t>
      </w:r>
      <w:r w:rsidR="006679B6" w:rsidRPr="00150CD2">
        <w:rPr>
          <w:rFonts w:cs="Arial"/>
        </w:rPr>
        <w:t xml:space="preserve">ntegrated </w:t>
      </w:r>
      <w:r w:rsidR="0037250F" w:rsidRPr="00150CD2">
        <w:rPr>
          <w:rFonts w:cs="Arial"/>
        </w:rPr>
        <w:t>D</w:t>
      </w:r>
      <w:r w:rsidR="006679B6" w:rsidRPr="00150CD2">
        <w:rPr>
          <w:rFonts w:cs="Arial"/>
        </w:rPr>
        <w:t xml:space="preserve">ata </w:t>
      </w:r>
      <w:r w:rsidR="0037250F" w:rsidRPr="00150CD2">
        <w:rPr>
          <w:rFonts w:cs="Arial"/>
        </w:rPr>
        <w:t>I</w:t>
      </w:r>
      <w:r w:rsidR="006679B6" w:rsidRPr="00150CD2">
        <w:rPr>
          <w:rFonts w:cs="Arial"/>
        </w:rPr>
        <w:t xml:space="preserve">nfrastructure (IDI) </w:t>
      </w:r>
      <w:r w:rsidRPr="00150CD2">
        <w:rPr>
          <w:rFonts w:cs="Arial"/>
        </w:rPr>
        <w:t xml:space="preserve">around lifecourse outcomes </w:t>
      </w:r>
      <w:r w:rsidR="003036A0" w:rsidRPr="00150CD2">
        <w:rPr>
          <w:rFonts w:cs="Arial"/>
        </w:rPr>
        <w:t xml:space="preserve">and service contact </w:t>
      </w:r>
      <w:r w:rsidRPr="00150CD2">
        <w:rPr>
          <w:rFonts w:cs="Arial"/>
        </w:rPr>
        <w:t xml:space="preserve">for </w:t>
      </w:r>
      <w:r w:rsidR="0037250F" w:rsidRPr="00150CD2">
        <w:rPr>
          <w:rFonts w:cs="Arial"/>
        </w:rPr>
        <w:t>people</w:t>
      </w:r>
      <w:r w:rsidRPr="00150CD2">
        <w:rPr>
          <w:rFonts w:cs="Arial"/>
        </w:rPr>
        <w:t xml:space="preserve"> living in MidCentral</w:t>
      </w:r>
      <w:r w:rsidR="003E20A5" w:rsidRPr="00150CD2">
        <w:rPr>
          <w:rFonts w:cs="Arial"/>
        </w:rPr>
        <w:t xml:space="preserve"> over </w:t>
      </w:r>
      <w:r w:rsidRPr="00150CD2">
        <w:rPr>
          <w:rFonts w:cs="Arial"/>
        </w:rPr>
        <w:t xml:space="preserve">the </w:t>
      </w:r>
      <w:r w:rsidR="003E20A5" w:rsidRPr="00150CD2">
        <w:rPr>
          <w:rFonts w:cs="Arial"/>
        </w:rPr>
        <w:t xml:space="preserve">period </w:t>
      </w:r>
      <w:r w:rsidR="0037250F" w:rsidRPr="00150CD2">
        <w:rPr>
          <w:rFonts w:cs="Arial"/>
        </w:rPr>
        <w:t xml:space="preserve">1 </w:t>
      </w:r>
      <w:r w:rsidR="003E20A5" w:rsidRPr="00150CD2">
        <w:rPr>
          <w:rFonts w:cs="Arial"/>
        </w:rPr>
        <w:t xml:space="preserve">July </w:t>
      </w:r>
      <w:r w:rsidR="0037250F" w:rsidRPr="00150CD2">
        <w:rPr>
          <w:rFonts w:cs="Arial"/>
        </w:rPr>
        <w:t xml:space="preserve">2015 </w:t>
      </w:r>
      <w:r w:rsidR="003E20A5" w:rsidRPr="00150CD2">
        <w:rPr>
          <w:rFonts w:cs="Arial"/>
        </w:rPr>
        <w:t>to</w:t>
      </w:r>
      <w:r w:rsidRPr="00150CD2">
        <w:rPr>
          <w:rFonts w:cs="Arial"/>
        </w:rPr>
        <w:t xml:space="preserve"> 30 June 2018</w:t>
      </w:r>
      <w:r w:rsidR="0037250F" w:rsidRPr="00150CD2">
        <w:rPr>
          <w:rFonts w:cs="Arial"/>
        </w:rPr>
        <w:t xml:space="preserve"> who were allocated DSS funding over the year</w:t>
      </w:r>
      <w:r w:rsidR="00017648" w:rsidRPr="00150CD2">
        <w:rPr>
          <w:rFonts w:cs="Arial"/>
        </w:rPr>
        <w:t xml:space="preserve"> </w:t>
      </w:r>
      <w:r w:rsidR="00CE2FBE" w:rsidRPr="00150CD2">
        <w:rPr>
          <w:rFonts w:cs="Arial"/>
        </w:rPr>
        <w:t xml:space="preserve">1 </w:t>
      </w:r>
      <w:r w:rsidR="00017648" w:rsidRPr="00150CD2">
        <w:rPr>
          <w:rFonts w:cs="Arial"/>
        </w:rPr>
        <w:t xml:space="preserve">July 2017 </w:t>
      </w:r>
      <w:r w:rsidR="0037250F" w:rsidRPr="00150CD2">
        <w:rPr>
          <w:rFonts w:cs="Arial"/>
        </w:rPr>
        <w:t>to 30 June 2018</w:t>
      </w:r>
      <w:r w:rsidRPr="00150CD2">
        <w:rPr>
          <w:rFonts w:cs="Arial"/>
        </w:rPr>
        <w:t>.</w:t>
      </w:r>
      <w:r w:rsidR="00CE7586" w:rsidRPr="00150CD2">
        <w:rPr>
          <w:rFonts w:cs="Arial"/>
        </w:rPr>
        <w:t xml:space="preserve"> </w:t>
      </w:r>
    </w:p>
    <w:tbl>
      <w:tblPr>
        <w:tblStyle w:val="TableGrid"/>
        <w:tblW w:w="0" w:type="auto"/>
        <w:tblBorders>
          <w:top w:val="single" w:sz="24" w:space="0" w:color="FFE600" w:themeColor="text2"/>
          <w:left w:val="single" w:sz="24" w:space="0" w:color="FFE600" w:themeColor="text2"/>
          <w:bottom w:val="single" w:sz="24" w:space="0" w:color="FFE600" w:themeColor="text2"/>
          <w:right w:val="single" w:sz="24" w:space="0" w:color="FFE600" w:themeColor="text2"/>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8969"/>
      </w:tblGrid>
      <w:tr w:rsidR="00DD6099" w:rsidRPr="00150CD2" w14:paraId="4E76C5DA" w14:textId="77777777" w:rsidTr="004F7FD8">
        <w:tc>
          <w:tcPr>
            <w:tcW w:w="9019" w:type="dxa"/>
            <w:shd w:val="clear" w:color="auto" w:fill="auto"/>
          </w:tcPr>
          <w:p w14:paraId="190C8DC5" w14:textId="34FA114B" w:rsidR="00DD6099" w:rsidRPr="00150CD2" w:rsidRDefault="00DD6099" w:rsidP="00DD6099">
            <w:pPr>
              <w:pStyle w:val="EYSubheading"/>
              <w:rPr>
                <w:rFonts w:cs="Arial"/>
              </w:rPr>
            </w:pPr>
            <w:bookmarkStart w:id="72" w:name="_Hlk44436906"/>
            <w:r w:rsidRPr="00150CD2">
              <w:rPr>
                <w:rFonts w:cs="Arial"/>
              </w:rPr>
              <w:t>Overall demographics</w:t>
            </w:r>
            <w:r w:rsidR="00454B95" w:rsidRPr="00150CD2">
              <w:rPr>
                <w:rFonts w:cs="Arial"/>
              </w:rPr>
              <w:t xml:space="preserve"> for MidCentral DSS clients</w:t>
            </w:r>
          </w:p>
          <w:p w14:paraId="11A78108" w14:textId="7876467B" w:rsidR="00DD6099" w:rsidRPr="00150CD2" w:rsidRDefault="00DD6099" w:rsidP="00DD6099">
            <w:pPr>
              <w:pStyle w:val="EYTablebullet1"/>
              <w:spacing w:before="0" w:after="120"/>
              <w:ind w:left="288" w:hanging="288"/>
              <w:rPr>
                <w:rFonts w:cs="Arial"/>
                <w:sz w:val="24"/>
              </w:rPr>
            </w:pPr>
            <w:r w:rsidRPr="00150CD2">
              <w:rPr>
                <w:rFonts w:cs="Arial"/>
                <w:sz w:val="24"/>
              </w:rPr>
              <w:t xml:space="preserve">Around 1,800 disabled people living in MidCentral were allocated one or more Ministry-funded disability support services </w:t>
            </w:r>
            <w:r w:rsidR="00F81E08" w:rsidRPr="00150CD2">
              <w:rPr>
                <w:rFonts w:cs="Arial"/>
                <w:sz w:val="24"/>
              </w:rPr>
              <w:t>over the year to</w:t>
            </w:r>
            <w:r w:rsidRPr="00150CD2">
              <w:rPr>
                <w:rFonts w:cs="Arial"/>
                <w:sz w:val="24"/>
              </w:rPr>
              <w:t xml:space="preserve"> 30 June 2018</w:t>
            </w:r>
            <w:r w:rsidR="00F81E08" w:rsidRPr="00150CD2">
              <w:rPr>
                <w:rFonts w:cs="Arial"/>
                <w:sz w:val="24"/>
              </w:rPr>
              <w:t xml:space="preserve"> (‘MidCentral DSS population’)</w:t>
            </w:r>
            <w:r w:rsidRPr="00150CD2">
              <w:rPr>
                <w:rFonts w:cs="Arial"/>
                <w:sz w:val="24"/>
              </w:rPr>
              <w:t>. This represents around 1% of the total MidCentral population.</w:t>
            </w:r>
          </w:p>
          <w:p w14:paraId="620DC7CD" w14:textId="77777777" w:rsidR="00DD6099" w:rsidRPr="00150CD2" w:rsidRDefault="00DD6099" w:rsidP="00DD6099">
            <w:pPr>
              <w:pStyle w:val="EYTablebullet1"/>
              <w:spacing w:before="0" w:after="120"/>
              <w:ind w:left="288" w:hanging="288"/>
              <w:rPr>
                <w:rFonts w:cs="Arial"/>
                <w:sz w:val="24"/>
              </w:rPr>
            </w:pPr>
            <w:r w:rsidRPr="00150CD2">
              <w:rPr>
                <w:rFonts w:cs="Arial"/>
                <w:sz w:val="24"/>
              </w:rPr>
              <w:t>People with intellectual disability make up more than half of those people allocated disability support services. Many also have a physical disability.</w:t>
            </w:r>
            <w:r w:rsidRPr="00150CD2">
              <w:rPr>
                <w:rFonts w:cs="Arial"/>
                <w:sz w:val="24"/>
              </w:rPr>
              <w:br/>
              <w:t>Around half of the children and young people allocated DSS in MidCentral have autism spectrum disorder as a principal disability.</w:t>
            </w:r>
          </w:p>
          <w:p w14:paraId="2046F57B" w14:textId="3B017F6A" w:rsidR="003A3119" w:rsidRPr="00150CD2" w:rsidRDefault="00ED7348" w:rsidP="00DD6099">
            <w:pPr>
              <w:pStyle w:val="EYTablebullet1"/>
              <w:spacing w:before="0" w:after="120"/>
              <w:ind w:left="288" w:hanging="288"/>
              <w:rPr>
                <w:rFonts w:cs="Arial"/>
                <w:sz w:val="24"/>
              </w:rPr>
            </w:pPr>
            <w:r w:rsidRPr="00150CD2">
              <w:rPr>
                <w:rFonts w:cs="Arial"/>
                <w:sz w:val="24"/>
              </w:rPr>
              <w:t xml:space="preserve">The MidCentral region has a lower socioeconomic profile relative to the rest of New Zealand, with 14% of the total MidCentral population living in the 20% </w:t>
            </w:r>
            <w:r w:rsidR="003A3119" w:rsidRPr="00150CD2">
              <w:rPr>
                <w:rFonts w:cs="Arial"/>
                <w:sz w:val="24"/>
              </w:rPr>
              <w:t>least</w:t>
            </w:r>
            <w:r w:rsidRPr="00150CD2">
              <w:rPr>
                <w:rFonts w:cs="Arial"/>
                <w:sz w:val="24"/>
              </w:rPr>
              <w:t xml:space="preserve"> deprived areas of New Zealand while 26% live in the 20% most deprived areas</w:t>
            </w:r>
            <w:r w:rsidRPr="00150CD2">
              <w:rPr>
                <w:rStyle w:val="FootnoteReference"/>
                <w:rFonts w:ascii="Arial" w:hAnsi="Arial" w:cs="Arial"/>
                <w:sz w:val="24"/>
                <w:szCs w:val="24"/>
              </w:rPr>
              <w:footnoteReference w:id="11"/>
            </w:r>
            <w:r w:rsidRPr="00150CD2">
              <w:rPr>
                <w:rFonts w:cs="Arial"/>
                <w:sz w:val="24"/>
              </w:rPr>
              <w:t xml:space="preserve">. </w:t>
            </w:r>
          </w:p>
          <w:p w14:paraId="04410C05" w14:textId="314CEA66" w:rsidR="00DD6099" w:rsidRPr="00150CD2" w:rsidRDefault="003A3119" w:rsidP="004F7FD8">
            <w:pPr>
              <w:pStyle w:val="EYTablebullet1"/>
              <w:numPr>
                <w:ilvl w:val="0"/>
                <w:numId w:val="0"/>
              </w:numPr>
              <w:spacing w:before="0" w:after="120"/>
              <w:ind w:left="288"/>
              <w:rPr>
                <w:rFonts w:cs="Arial"/>
                <w:sz w:val="20"/>
                <w:szCs w:val="20"/>
              </w:rPr>
            </w:pPr>
            <w:r w:rsidRPr="00150CD2">
              <w:rPr>
                <w:rFonts w:cs="Arial"/>
                <w:sz w:val="24"/>
              </w:rPr>
              <w:t xml:space="preserve">Within the MidCentral region, people allocated DSS funding are more likely to live in areas with deprivation compared to other MidCentral people: </w:t>
            </w:r>
            <w:r w:rsidR="00DD6099" w:rsidRPr="00150CD2">
              <w:rPr>
                <w:rFonts w:cs="Arial"/>
                <w:sz w:val="24"/>
              </w:rPr>
              <w:t xml:space="preserve">8% </w:t>
            </w:r>
            <w:r w:rsidRPr="00150CD2">
              <w:rPr>
                <w:rFonts w:cs="Arial"/>
                <w:sz w:val="24"/>
              </w:rPr>
              <w:t xml:space="preserve">of the MidCentral DSS population </w:t>
            </w:r>
            <w:r w:rsidR="00DD6099" w:rsidRPr="00150CD2">
              <w:rPr>
                <w:rFonts w:cs="Arial"/>
                <w:sz w:val="24"/>
              </w:rPr>
              <w:t xml:space="preserve">live in the 20% least deprived areas while </w:t>
            </w:r>
            <w:r w:rsidR="00F81E08" w:rsidRPr="00150CD2">
              <w:rPr>
                <w:rFonts w:cs="Arial"/>
                <w:sz w:val="24"/>
              </w:rPr>
              <w:t>33</w:t>
            </w:r>
            <w:r w:rsidR="00DD6099" w:rsidRPr="00150CD2">
              <w:rPr>
                <w:rFonts w:cs="Arial"/>
                <w:sz w:val="24"/>
              </w:rPr>
              <w:t>% live in the 20% most deprived areas.</w:t>
            </w:r>
            <w:r w:rsidR="00F81E08" w:rsidRPr="00150CD2">
              <w:rPr>
                <w:rFonts w:cs="Arial"/>
                <w:sz w:val="20"/>
                <w:szCs w:val="20"/>
              </w:rPr>
              <w:t xml:space="preserve"> </w:t>
            </w:r>
          </w:p>
        </w:tc>
      </w:tr>
    </w:tbl>
    <w:bookmarkEnd w:id="72"/>
    <w:p w14:paraId="41918143" w14:textId="693B8E73" w:rsidR="00E07D9C" w:rsidRPr="00150CD2" w:rsidRDefault="00454B95" w:rsidP="00337C92">
      <w:pPr>
        <w:pStyle w:val="EYBodytextwithparaspace"/>
        <w:rPr>
          <w:rFonts w:cs="Arial"/>
        </w:rPr>
      </w:pPr>
      <w:r w:rsidRPr="00150CD2">
        <w:rPr>
          <w:rFonts w:cs="Arial"/>
        </w:rPr>
        <w:br/>
      </w:r>
      <w:r w:rsidR="00E07D9C" w:rsidRPr="00150CD2">
        <w:rPr>
          <w:rFonts w:cs="Arial"/>
        </w:rPr>
        <w:t xml:space="preserve">Some demographic and socioeconomic characteristics are presented </w:t>
      </w:r>
      <w:r w:rsidR="00337C92" w:rsidRPr="00150CD2">
        <w:rPr>
          <w:rFonts w:cs="Arial"/>
        </w:rPr>
        <w:t xml:space="preserve">for </w:t>
      </w:r>
      <w:r w:rsidR="00E07D9C" w:rsidRPr="00150CD2">
        <w:rPr>
          <w:rFonts w:cs="Arial"/>
        </w:rPr>
        <w:t xml:space="preserve">each age group; </w:t>
      </w:r>
      <w:r w:rsidR="00337C92" w:rsidRPr="00150CD2">
        <w:rPr>
          <w:rFonts w:cs="Arial"/>
        </w:rPr>
        <w:t xml:space="preserve">refer </w:t>
      </w:r>
      <w:r w:rsidR="00E07D9C" w:rsidRPr="00150CD2">
        <w:rPr>
          <w:rFonts w:cs="Arial"/>
        </w:rPr>
        <w:t xml:space="preserve">to the Ministry’s </w:t>
      </w:r>
      <w:r w:rsidR="00337C92" w:rsidRPr="00150CD2">
        <w:rPr>
          <w:rFonts w:cs="Arial"/>
        </w:rPr>
        <w:t>‘</w:t>
      </w:r>
      <w:r w:rsidR="00E07D9C" w:rsidRPr="00150CD2">
        <w:rPr>
          <w:rFonts w:cs="Arial"/>
        </w:rPr>
        <w:t>Demographic Report for Clients Allocated the Ministry of Health’s Disability Support Services: 2018 update</w:t>
      </w:r>
      <w:r w:rsidR="00337C92" w:rsidRPr="00150CD2">
        <w:rPr>
          <w:rFonts w:cs="Arial"/>
        </w:rPr>
        <w:t>’ for a more detailed demographic description by region and relating to specific service types and by specific disability types.</w:t>
      </w:r>
      <w:r w:rsidR="00337C92" w:rsidRPr="00150CD2">
        <w:rPr>
          <w:rStyle w:val="FootnoteReference"/>
          <w:rFonts w:ascii="Arial" w:hAnsi="Arial" w:cs="Arial"/>
        </w:rPr>
        <w:footnoteReference w:id="12"/>
      </w:r>
    </w:p>
    <w:p w14:paraId="1BE368BD" w14:textId="2CD4BCA0" w:rsidR="00E65F51" w:rsidRPr="00150CD2" w:rsidRDefault="00205B66" w:rsidP="00337C92">
      <w:pPr>
        <w:pStyle w:val="EYBodytextwithparaspace"/>
        <w:rPr>
          <w:rFonts w:cs="Arial"/>
        </w:rPr>
      </w:pPr>
      <w:r w:rsidRPr="00150CD2">
        <w:rPr>
          <w:rFonts w:cs="Arial"/>
        </w:rPr>
        <w:t>In general, differences in outcome and service contact rates that are highlighted in this section as being ‘higher’, ‘lower’ or ‘significant’ are statistically significant at the 95</w:t>
      </w:r>
      <w:r w:rsidRPr="00150CD2">
        <w:rPr>
          <w:rFonts w:cs="Arial"/>
          <w:vertAlign w:val="superscript"/>
        </w:rPr>
        <w:t>th</w:t>
      </w:r>
      <w:r w:rsidRPr="00150CD2">
        <w:rPr>
          <w:rFonts w:cs="Arial"/>
        </w:rPr>
        <w:t xml:space="preserve"> percentile level. (That is, there is a 95% probability that the difference between the two groups is greater than zero).</w:t>
      </w:r>
    </w:p>
    <w:p w14:paraId="7C9597A1" w14:textId="0EC15CBB" w:rsidR="00E65F51" w:rsidRPr="00150CD2" w:rsidRDefault="00E65F51" w:rsidP="00337C92">
      <w:pPr>
        <w:pStyle w:val="EYBodytextwithparaspace"/>
        <w:rPr>
          <w:rFonts w:cs="Arial"/>
        </w:rPr>
      </w:pPr>
      <w:r w:rsidRPr="00150CD2">
        <w:rPr>
          <w:rFonts w:cs="Arial"/>
        </w:rPr>
        <w:t xml:space="preserve">Confidence intervals </w:t>
      </w:r>
      <w:r w:rsidR="006B483D" w:rsidRPr="00150CD2">
        <w:rPr>
          <w:rFonts w:cs="Arial"/>
        </w:rPr>
        <w:t xml:space="preserve">shown in the graphs in this section </w:t>
      </w:r>
      <w:r w:rsidRPr="00150CD2">
        <w:rPr>
          <w:rFonts w:cs="Arial"/>
        </w:rPr>
        <w:t xml:space="preserve">give an indication of </w:t>
      </w:r>
      <w:r w:rsidR="006B483D" w:rsidRPr="00150CD2">
        <w:rPr>
          <w:rFonts w:cs="Arial"/>
        </w:rPr>
        <w:t>uncertainty</w:t>
      </w:r>
      <w:r w:rsidRPr="00150CD2">
        <w:rPr>
          <w:rFonts w:cs="Arial"/>
        </w:rPr>
        <w:t xml:space="preserve"> around the proportions calculated for </w:t>
      </w:r>
      <w:r w:rsidR="006B483D" w:rsidRPr="00150CD2">
        <w:rPr>
          <w:rFonts w:cs="Arial"/>
        </w:rPr>
        <w:t xml:space="preserve">MidCentral DSS clients and other groups. </w:t>
      </w:r>
      <w:r w:rsidRPr="00150CD2">
        <w:rPr>
          <w:rFonts w:cs="Arial"/>
        </w:rPr>
        <w:t xml:space="preserve">Generally speaking, </w:t>
      </w:r>
      <w:r w:rsidR="006B483D" w:rsidRPr="00150CD2">
        <w:rPr>
          <w:rFonts w:cs="Arial"/>
        </w:rPr>
        <w:t>if the confidence interval for MidCentral DSS clients does not overlap with that of another population group then there is a 95% probability that there is a difference between the two groups.</w:t>
      </w:r>
    </w:p>
    <w:p w14:paraId="7EA6029D" w14:textId="6C95E0AC" w:rsidR="00762B23" w:rsidRPr="00150CD2" w:rsidRDefault="00762B23" w:rsidP="00337C92">
      <w:pPr>
        <w:pStyle w:val="EYBodytextwithparaspace"/>
        <w:rPr>
          <w:rFonts w:cs="Arial"/>
        </w:rPr>
      </w:pPr>
      <w:r w:rsidRPr="00150CD2">
        <w:rPr>
          <w:rFonts w:cs="Arial"/>
        </w:rPr>
        <w:t xml:space="preserve">Further information on the approach to calculating these results is set out in </w:t>
      </w:r>
      <w:r w:rsidRPr="00150CD2">
        <w:rPr>
          <w:rFonts w:cs="Arial"/>
        </w:rPr>
        <w:fldChar w:fldCharType="begin"/>
      </w:r>
      <w:r w:rsidRPr="00150CD2">
        <w:rPr>
          <w:rFonts w:cs="Arial"/>
        </w:rPr>
        <w:instrText xml:space="preserve"> REF _Ref34090912 \r \h </w:instrText>
      </w:r>
      <w:r w:rsidR="00150CD2">
        <w:rPr>
          <w:rFonts w:cs="Arial"/>
        </w:rPr>
        <w:instrText xml:space="preserve"> \* MERGEFORMAT </w:instrText>
      </w:r>
      <w:r w:rsidRPr="00150CD2">
        <w:rPr>
          <w:rFonts w:cs="Arial"/>
        </w:rPr>
      </w:r>
      <w:r w:rsidRPr="00150CD2">
        <w:rPr>
          <w:rFonts w:cs="Arial"/>
        </w:rPr>
        <w:fldChar w:fldCharType="separate"/>
      </w:r>
      <w:r w:rsidR="00053D9A" w:rsidRPr="00150CD2">
        <w:rPr>
          <w:rFonts w:cs="Arial"/>
        </w:rPr>
        <w:t>Appendix F</w:t>
      </w:r>
      <w:r w:rsidRPr="00150CD2">
        <w:rPr>
          <w:rFonts w:cs="Arial"/>
        </w:rPr>
        <w:fldChar w:fldCharType="end"/>
      </w:r>
      <w:r w:rsidRPr="00150CD2">
        <w:rPr>
          <w:rFonts w:cs="Arial"/>
        </w:rPr>
        <w:t>.</w:t>
      </w:r>
    </w:p>
    <w:p w14:paraId="3E2B7CCC" w14:textId="255F8656" w:rsidR="00454B95" w:rsidRPr="00150CD2" w:rsidRDefault="00454B95">
      <w:pPr>
        <w:autoSpaceDE/>
        <w:autoSpaceDN/>
        <w:adjustRightInd/>
        <w:rPr>
          <w:rFonts w:cs="Arial"/>
        </w:rPr>
      </w:pPr>
      <w:r w:rsidRPr="00150CD2">
        <w:rPr>
          <w:rFonts w:cs="Arial"/>
        </w:rPr>
        <w:br w:type="page"/>
      </w:r>
    </w:p>
    <w:p w14:paraId="23F5BA1D" w14:textId="77777777" w:rsidR="00DB6D13" w:rsidRPr="00150CD2" w:rsidRDefault="00DB6D13" w:rsidP="00184038">
      <w:pPr>
        <w:pStyle w:val="EYHeading2"/>
      </w:pPr>
      <w:bookmarkStart w:id="73" w:name="_Toc44490366"/>
      <w:bookmarkStart w:id="74" w:name="_Toc44554947"/>
      <w:bookmarkStart w:id="75" w:name="_Toc45101025"/>
      <w:bookmarkStart w:id="76" w:name="_Toc45141341"/>
      <w:bookmarkStart w:id="77" w:name="_Toc45413313"/>
      <w:bookmarkStart w:id="78" w:name="_Toc45526272"/>
      <w:bookmarkStart w:id="79" w:name="_Toc45786853"/>
      <w:bookmarkStart w:id="80" w:name="_Toc45794249"/>
      <w:bookmarkStart w:id="81" w:name="_Toc45820107"/>
      <w:bookmarkStart w:id="82" w:name="_Toc46356300"/>
      <w:bookmarkStart w:id="83" w:name="_Toc46365140"/>
      <w:bookmarkStart w:id="84" w:name="_Toc48752358"/>
      <w:bookmarkEnd w:id="73"/>
      <w:bookmarkEnd w:id="74"/>
      <w:bookmarkEnd w:id="75"/>
      <w:bookmarkEnd w:id="76"/>
      <w:bookmarkEnd w:id="77"/>
      <w:bookmarkEnd w:id="78"/>
      <w:bookmarkEnd w:id="79"/>
      <w:bookmarkEnd w:id="80"/>
      <w:bookmarkEnd w:id="81"/>
      <w:bookmarkEnd w:id="82"/>
      <w:r w:rsidRPr="00150CD2">
        <w:t>Children aged 0-4 years</w:t>
      </w:r>
      <w:bookmarkEnd w:id="83"/>
      <w:bookmarkEnd w:id="84"/>
    </w:p>
    <w:p w14:paraId="24F1A581" w14:textId="1ECBC138" w:rsidR="00DB6D13" w:rsidRPr="00150CD2" w:rsidRDefault="00DB6D13" w:rsidP="00DB6D13">
      <w:pPr>
        <w:pStyle w:val="EYSubheading"/>
        <w:rPr>
          <w:rFonts w:cs="Arial"/>
        </w:rPr>
      </w:pPr>
      <w:r w:rsidRPr="00150CD2">
        <w:rPr>
          <w:rFonts w:cs="Arial"/>
        </w:rPr>
        <w:t xml:space="preserve">Key transitions: The disabled child has a condition that is newly acquired or diagnosed. Parents and family/whānau </w:t>
      </w:r>
      <w:r w:rsidR="00A725BE" w:rsidRPr="00150CD2">
        <w:rPr>
          <w:rFonts w:cs="Arial"/>
        </w:rPr>
        <w:t xml:space="preserve">are </w:t>
      </w:r>
      <w:r w:rsidRPr="00150CD2">
        <w:rPr>
          <w:rFonts w:cs="Arial"/>
        </w:rPr>
        <w:t>support</w:t>
      </w:r>
      <w:r w:rsidR="00030F76" w:rsidRPr="00150CD2">
        <w:rPr>
          <w:rFonts w:cs="Arial"/>
        </w:rPr>
        <w:t>ing</w:t>
      </w:r>
      <w:r w:rsidRPr="00150CD2">
        <w:rPr>
          <w:rFonts w:cs="Arial"/>
        </w:rPr>
        <w:t xml:space="preserve"> </w:t>
      </w:r>
      <w:r w:rsidR="00A725BE" w:rsidRPr="00150CD2">
        <w:rPr>
          <w:rFonts w:cs="Arial"/>
        </w:rPr>
        <w:t xml:space="preserve">the </w:t>
      </w:r>
      <w:r w:rsidRPr="00150CD2">
        <w:rPr>
          <w:rFonts w:cs="Arial"/>
        </w:rPr>
        <w:t xml:space="preserve">child. </w:t>
      </w:r>
      <w:r w:rsidR="00A725BE" w:rsidRPr="00150CD2">
        <w:rPr>
          <w:rFonts w:cs="Arial"/>
        </w:rPr>
        <w:t>This life stage encompasses e</w:t>
      </w:r>
      <w:r w:rsidRPr="00150CD2">
        <w:rPr>
          <w:rFonts w:cs="Arial"/>
        </w:rPr>
        <w:t>arly childhood development leading up to the start of school.</w:t>
      </w:r>
    </w:p>
    <w:p w14:paraId="1344408E" w14:textId="34099F1D" w:rsidR="001E6446" w:rsidRPr="00150CD2" w:rsidRDefault="001E6446" w:rsidP="001E6446">
      <w:pPr>
        <w:pStyle w:val="EYBodytextwithparaspace"/>
        <w:rPr>
          <w:rFonts w:cs="Arial"/>
          <w:lang w:eastAsia="en-AU"/>
        </w:rPr>
      </w:pPr>
      <w:r w:rsidRPr="00150CD2">
        <w:rPr>
          <w:rFonts w:cs="Arial"/>
          <w:lang w:eastAsia="en-AU"/>
        </w:rPr>
        <w:t xml:space="preserve">At 30 June 2018 there were </w:t>
      </w:r>
      <w:r w:rsidR="00BC5E15" w:rsidRPr="00150CD2">
        <w:rPr>
          <w:rFonts w:cs="Arial"/>
          <w:lang w:eastAsia="en-AU"/>
        </w:rPr>
        <w:t>around 30</w:t>
      </w:r>
      <w:r w:rsidRPr="00150CD2">
        <w:rPr>
          <w:rFonts w:cs="Arial"/>
          <w:lang w:eastAsia="en-AU"/>
        </w:rPr>
        <w:t xml:space="preserve"> children aged 0-4 </w:t>
      </w:r>
      <w:r w:rsidR="0037250F" w:rsidRPr="00150CD2">
        <w:rPr>
          <w:rFonts w:cs="Arial"/>
          <w:lang w:eastAsia="en-AU"/>
        </w:rPr>
        <w:t xml:space="preserve">in MidCentral allocated </w:t>
      </w:r>
      <w:r w:rsidRPr="00150CD2">
        <w:rPr>
          <w:rFonts w:cs="Arial"/>
          <w:lang w:eastAsia="en-AU"/>
        </w:rPr>
        <w:t xml:space="preserve">DSS funding </w:t>
      </w:r>
      <w:r w:rsidR="0037250F" w:rsidRPr="00150CD2">
        <w:rPr>
          <w:rFonts w:cs="Arial"/>
          <w:lang w:eastAsia="en-AU"/>
        </w:rPr>
        <w:t xml:space="preserve">over the year to June 2018. </w:t>
      </w:r>
      <w:r w:rsidRPr="00150CD2">
        <w:rPr>
          <w:rFonts w:cs="Arial"/>
          <w:lang w:eastAsia="en-AU"/>
        </w:rPr>
        <w:t>Key demographic and socioeconomic characteristics are summarised below.</w:t>
      </w:r>
    </w:p>
    <w:p w14:paraId="3C6D445A" w14:textId="2D8B03F9" w:rsidR="001E6446" w:rsidRPr="00150CD2" w:rsidRDefault="001E6446" w:rsidP="00BA2F93">
      <w:pPr>
        <w:pStyle w:val="EYBulletnoparaspace"/>
        <w:rPr>
          <w:rFonts w:cs="Arial"/>
          <w:lang w:eastAsia="en-AU"/>
        </w:rPr>
      </w:pPr>
      <w:r w:rsidRPr="00150CD2">
        <w:rPr>
          <w:rFonts w:cs="Arial"/>
          <w:lang w:eastAsia="en-AU"/>
        </w:rPr>
        <w:t>The majority have Intellectual (4</w:t>
      </w:r>
      <w:r w:rsidR="00972B50" w:rsidRPr="00150CD2">
        <w:rPr>
          <w:rFonts w:cs="Arial"/>
          <w:lang w:eastAsia="en-AU"/>
        </w:rPr>
        <w:t>0</w:t>
      </w:r>
      <w:r w:rsidRPr="00150CD2">
        <w:rPr>
          <w:rFonts w:cs="Arial"/>
          <w:lang w:eastAsia="en-AU"/>
        </w:rPr>
        <w:t>%) or Autism Spectrum Disorder (</w:t>
      </w:r>
      <w:r w:rsidR="00972B50" w:rsidRPr="00150CD2">
        <w:rPr>
          <w:rFonts w:cs="Arial"/>
          <w:lang w:eastAsia="en-AU"/>
        </w:rPr>
        <w:t>40</w:t>
      </w:r>
      <w:r w:rsidRPr="00150CD2">
        <w:rPr>
          <w:rFonts w:cs="Arial"/>
          <w:lang w:eastAsia="en-AU"/>
        </w:rPr>
        <w:t xml:space="preserve">%) as their </w:t>
      </w:r>
      <w:r w:rsidR="009E4F58" w:rsidRPr="00150CD2">
        <w:rPr>
          <w:rFonts w:cs="Arial"/>
          <w:lang w:eastAsia="en-AU"/>
        </w:rPr>
        <w:t xml:space="preserve">prioritised </w:t>
      </w:r>
      <w:r w:rsidRPr="00150CD2">
        <w:rPr>
          <w:rFonts w:cs="Arial"/>
          <w:lang w:eastAsia="en-AU"/>
        </w:rPr>
        <w:t>disability. Respite (</w:t>
      </w:r>
      <w:r w:rsidR="00B26AEB" w:rsidRPr="00150CD2">
        <w:rPr>
          <w:rFonts w:cs="Arial"/>
          <w:lang w:eastAsia="en-AU"/>
        </w:rPr>
        <w:t>9</w:t>
      </w:r>
      <w:r w:rsidR="003F3AA7" w:rsidRPr="00150CD2">
        <w:rPr>
          <w:rFonts w:cs="Arial"/>
          <w:lang w:eastAsia="en-AU"/>
        </w:rPr>
        <w:t>1</w:t>
      </w:r>
      <w:r w:rsidRPr="00150CD2">
        <w:rPr>
          <w:rFonts w:cs="Arial"/>
          <w:lang w:eastAsia="en-AU"/>
        </w:rPr>
        <w:t>%) and behavioural (</w:t>
      </w:r>
      <w:r w:rsidR="003F3AA7" w:rsidRPr="00150CD2">
        <w:rPr>
          <w:rFonts w:cs="Arial"/>
          <w:lang w:eastAsia="en-AU"/>
        </w:rPr>
        <w:t>52</w:t>
      </w:r>
      <w:r w:rsidRPr="00150CD2">
        <w:rPr>
          <w:rFonts w:cs="Arial"/>
          <w:lang w:eastAsia="en-AU"/>
        </w:rPr>
        <w:t xml:space="preserve">%) support services are the main </w:t>
      </w:r>
      <w:r w:rsidR="00B26AEB" w:rsidRPr="00150CD2">
        <w:rPr>
          <w:rFonts w:cs="Arial"/>
          <w:lang w:eastAsia="en-AU"/>
        </w:rPr>
        <w:t xml:space="preserve">NASC disability support </w:t>
      </w:r>
      <w:r w:rsidRPr="00150CD2">
        <w:rPr>
          <w:rFonts w:cs="Arial"/>
          <w:lang w:eastAsia="en-AU"/>
        </w:rPr>
        <w:t>service types allocated.</w:t>
      </w:r>
    </w:p>
    <w:p w14:paraId="46E41673" w14:textId="77777777" w:rsidR="001E6446" w:rsidRPr="00150CD2" w:rsidRDefault="001E6446" w:rsidP="00BA2F93">
      <w:pPr>
        <w:pStyle w:val="EYBulletnoparaspace"/>
        <w:rPr>
          <w:rFonts w:cs="Arial"/>
          <w:lang w:eastAsia="en-AU"/>
        </w:rPr>
      </w:pPr>
      <w:r w:rsidRPr="00150CD2">
        <w:rPr>
          <w:rFonts w:cs="Arial"/>
        </w:rPr>
        <w:t>Around half live with sole parents with the remaining half linked to two parents/caregivers.</w:t>
      </w:r>
    </w:p>
    <w:p w14:paraId="1E5AFFBB" w14:textId="2486785A" w:rsidR="000E58AB" w:rsidRPr="00150CD2" w:rsidRDefault="006F20D7" w:rsidP="001E6446">
      <w:pPr>
        <w:pStyle w:val="EYBodytextwithparaspace"/>
        <w:rPr>
          <w:rFonts w:cs="Arial"/>
          <w:lang w:eastAsia="en-AU"/>
        </w:rPr>
      </w:pPr>
      <w:r w:rsidRPr="00150CD2">
        <w:rPr>
          <w:rFonts w:cs="Arial"/>
          <w:lang w:eastAsia="en-AU"/>
        </w:rPr>
        <w:br/>
      </w:r>
      <w:r w:rsidR="001E6446" w:rsidRPr="00150CD2">
        <w:rPr>
          <w:rFonts w:cs="Arial"/>
          <w:lang w:eastAsia="en-AU"/>
        </w:rPr>
        <w:t xml:space="preserve">This section summarises some of the lifecourse outcomes and service contact indicators observed over </w:t>
      </w:r>
      <w:r w:rsidR="00B26AEB" w:rsidRPr="00150CD2">
        <w:rPr>
          <w:rFonts w:cs="Arial"/>
          <w:lang w:eastAsia="en-AU"/>
        </w:rPr>
        <w:t>the 3 year period to 30 June 2018</w:t>
      </w:r>
      <w:r w:rsidR="0037250F" w:rsidRPr="00150CD2">
        <w:rPr>
          <w:rStyle w:val="FootnoteReference"/>
          <w:rFonts w:ascii="Arial" w:hAnsi="Arial" w:cs="Arial"/>
          <w:lang w:eastAsia="en-AU"/>
        </w:rPr>
        <w:footnoteReference w:id="13"/>
      </w:r>
      <w:r w:rsidR="00B26AEB" w:rsidRPr="00150CD2">
        <w:rPr>
          <w:rFonts w:cs="Arial"/>
          <w:lang w:eastAsia="en-AU"/>
        </w:rPr>
        <w:t xml:space="preserve"> </w:t>
      </w:r>
      <w:r w:rsidR="001E6446" w:rsidRPr="00150CD2">
        <w:rPr>
          <w:rFonts w:cs="Arial"/>
          <w:lang w:eastAsia="en-AU"/>
        </w:rPr>
        <w:t>for children who</w:t>
      </w:r>
      <w:r w:rsidR="000A3F40" w:rsidRPr="00150CD2">
        <w:rPr>
          <w:rFonts w:cs="Arial"/>
          <w:lang w:eastAsia="en-AU"/>
        </w:rPr>
        <w:t xml:space="preserve"> were allocated DSS </w:t>
      </w:r>
      <w:r w:rsidR="00B26AEB" w:rsidRPr="00150CD2">
        <w:rPr>
          <w:rFonts w:cs="Arial"/>
          <w:lang w:eastAsia="en-AU"/>
        </w:rPr>
        <w:t xml:space="preserve">over the </w:t>
      </w:r>
      <w:r w:rsidR="0037250F" w:rsidRPr="00150CD2">
        <w:rPr>
          <w:rFonts w:cs="Arial"/>
          <w:lang w:eastAsia="en-AU"/>
        </w:rPr>
        <w:t xml:space="preserve">2018 </w:t>
      </w:r>
      <w:r w:rsidR="00B26AEB" w:rsidRPr="00150CD2">
        <w:rPr>
          <w:rFonts w:cs="Arial"/>
          <w:lang w:eastAsia="en-AU"/>
        </w:rPr>
        <w:t xml:space="preserve">year </w:t>
      </w:r>
      <w:r w:rsidR="000A3F40" w:rsidRPr="00150CD2">
        <w:rPr>
          <w:rFonts w:cs="Arial"/>
          <w:lang w:eastAsia="en-AU"/>
        </w:rPr>
        <w:t>and</w:t>
      </w:r>
      <w:r w:rsidR="001E6446" w:rsidRPr="00150CD2">
        <w:rPr>
          <w:rFonts w:cs="Arial"/>
          <w:lang w:eastAsia="en-AU"/>
        </w:rPr>
        <w:t xml:space="preserve"> were aged 0-4 at the start of the </w:t>
      </w:r>
      <w:r w:rsidR="00451F79" w:rsidRPr="00150CD2">
        <w:rPr>
          <w:rFonts w:cs="Arial"/>
          <w:lang w:eastAsia="en-AU"/>
        </w:rPr>
        <w:t xml:space="preserve">3 year </w:t>
      </w:r>
      <w:r w:rsidR="001E6446" w:rsidRPr="00150CD2">
        <w:rPr>
          <w:rFonts w:cs="Arial"/>
          <w:lang w:eastAsia="en-AU"/>
        </w:rPr>
        <w:t>period</w:t>
      </w:r>
      <w:r w:rsidR="00451F79" w:rsidRPr="00150CD2">
        <w:rPr>
          <w:rFonts w:cs="Arial"/>
          <w:lang w:eastAsia="en-AU"/>
        </w:rPr>
        <w:t xml:space="preserve"> (i.e. at 1 July 2015)</w:t>
      </w:r>
      <w:r w:rsidR="001E6446" w:rsidRPr="00150CD2">
        <w:rPr>
          <w:rFonts w:cs="Arial"/>
          <w:lang w:eastAsia="en-AU"/>
        </w:rPr>
        <w:t xml:space="preserve">. Note that for some children this will include </w:t>
      </w:r>
      <w:r w:rsidR="000A3F40" w:rsidRPr="00150CD2">
        <w:rPr>
          <w:rFonts w:cs="Arial"/>
          <w:lang w:eastAsia="en-AU"/>
        </w:rPr>
        <w:t xml:space="preserve">time </w:t>
      </w:r>
      <w:r w:rsidR="001E6446" w:rsidRPr="00150CD2">
        <w:rPr>
          <w:rFonts w:cs="Arial"/>
          <w:lang w:eastAsia="en-AU"/>
        </w:rPr>
        <w:t>prior to them receiving DSS funding.</w:t>
      </w:r>
    </w:p>
    <w:p w14:paraId="55C3E697" w14:textId="062D76F7" w:rsidR="00451F79" w:rsidRPr="00150CD2" w:rsidRDefault="00451F79" w:rsidP="001E6446">
      <w:pPr>
        <w:pStyle w:val="EYBodytextwithparaspace"/>
        <w:rPr>
          <w:rFonts w:cs="Arial"/>
          <w:lang w:eastAsia="en-AU"/>
        </w:rPr>
      </w:pPr>
      <w:r w:rsidRPr="00150CD2">
        <w:rPr>
          <w:rFonts w:cs="Arial"/>
          <w:lang w:eastAsia="en-AU"/>
        </w:rPr>
        <w:t>Note that the relatively small size of this group means that care should be taken when interpreting these observations, particularly for comparisons of subgroups within this population, and for events experienced by a small proportion of the population.</w:t>
      </w:r>
    </w:p>
    <w:p w14:paraId="4391B13B" w14:textId="1A8BF532" w:rsidR="005F6775" w:rsidRPr="00150CD2" w:rsidRDefault="005F6775" w:rsidP="00DA68B7">
      <w:pPr>
        <w:pStyle w:val="EYBodytextwithparaspace"/>
        <w:rPr>
          <w:rFonts w:cs="Arial"/>
        </w:rPr>
      </w:pPr>
    </w:p>
    <w:p w14:paraId="56D18720" w14:textId="47748921" w:rsidR="004E7F0B" w:rsidRPr="00150CD2" w:rsidRDefault="004E7F0B" w:rsidP="00DA68B7">
      <w:pPr>
        <w:pStyle w:val="EYBodytextwithparaspace"/>
        <w:rPr>
          <w:rFonts w:cs="Arial"/>
        </w:rPr>
        <w:sectPr w:rsidR="004E7F0B" w:rsidRPr="00150CD2" w:rsidSect="004579B3">
          <w:footerReference w:type="default" r:id="rId19"/>
          <w:pgSz w:w="11909" w:h="16834" w:code="9"/>
          <w:pgMar w:top="1440" w:right="1440" w:bottom="1440" w:left="1440" w:header="720" w:footer="720" w:gutter="0"/>
          <w:cols w:space="720"/>
          <w:docGrid w:linePitch="360"/>
        </w:sectPr>
      </w:pPr>
    </w:p>
    <w:p w14:paraId="2F947407" w14:textId="534D7869" w:rsidR="00237122" w:rsidRPr="00150CD2" w:rsidRDefault="009D5315" w:rsidP="009D5315">
      <w:pPr>
        <w:pStyle w:val="Caption"/>
        <w:rPr>
          <w:rFonts w:cs="Arial"/>
          <w:noProof/>
        </w:rPr>
      </w:pPr>
      <w:r w:rsidRPr="00150CD2">
        <w:rPr>
          <w:rFonts w:cs="Arial"/>
        </w:rPr>
        <w:t xml:space="preserve">Figure </w:t>
      </w:r>
      <w:r w:rsidRPr="00150CD2">
        <w:rPr>
          <w:rFonts w:cs="Arial"/>
        </w:rPr>
        <w:fldChar w:fldCharType="begin"/>
      </w:r>
      <w:r w:rsidRPr="00150CD2">
        <w:rPr>
          <w:rFonts w:cs="Arial"/>
        </w:rPr>
        <w:instrText xml:space="preserve"> SEQ Figure \* ARABIC </w:instrText>
      </w:r>
      <w:r w:rsidRPr="00150CD2">
        <w:rPr>
          <w:rFonts w:cs="Arial"/>
        </w:rPr>
        <w:fldChar w:fldCharType="separate"/>
      </w:r>
      <w:r w:rsidR="00053D9A" w:rsidRPr="00150CD2">
        <w:rPr>
          <w:rFonts w:cs="Arial"/>
          <w:noProof/>
        </w:rPr>
        <w:t>3</w:t>
      </w:r>
      <w:r w:rsidRPr="00150CD2">
        <w:rPr>
          <w:rFonts w:cs="Arial"/>
        </w:rPr>
        <w:fldChar w:fldCharType="end"/>
      </w:r>
      <w:r w:rsidRPr="00150CD2">
        <w:rPr>
          <w:rFonts w:cs="Arial"/>
        </w:rPr>
        <w:t>:</w:t>
      </w:r>
      <w:r w:rsidR="00145F79" w:rsidRPr="00150CD2">
        <w:rPr>
          <w:rFonts w:cs="Arial"/>
        </w:rPr>
        <w:t xml:space="preserve"> </w:t>
      </w:r>
      <w:r w:rsidR="00082E58" w:rsidRPr="00150CD2">
        <w:rPr>
          <w:rFonts w:cs="Arial"/>
        </w:rPr>
        <w:t xml:space="preserve">Comparison of key indicators over </w:t>
      </w:r>
      <w:r w:rsidR="00C6181D" w:rsidRPr="00150CD2">
        <w:rPr>
          <w:rFonts w:cs="Arial"/>
        </w:rPr>
        <w:t>the</w:t>
      </w:r>
      <w:r w:rsidR="00082E58" w:rsidRPr="00150CD2">
        <w:rPr>
          <w:rFonts w:cs="Arial"/>
        </w:rPr>
        <w:t xml:space="preserve"> 3 year period</w:t>
      </w:r>
      <w:r w:rsidR="006679B6" w:rsidRPr="00150CD2">
        <w:rPr>
          <w:rFonts w:cs="Arial"/>
        </w:rPr>
        <w:t xml:space="preserve"> </w:t>
      </w:r>
      <w:r w:rsidR="00C6181D" w:rsidRPr="00150CD2">
        <w:rPr>
          <w:rFonts w:cs="Arial"/>
        </w:rPr>
        <w:t>to 30 June 2018</w:t>
      </w:r>
      <w:r w:rsidR="00082E58" w:rsidRPr="00150CD2">
        <w:rPr>
          <w:rFonts w:cs="Arial"/>
        </w:rPr>
        <w:t>, for children</w:t>
      </w:r>
      <w:r w:rsidR="00281B0C" w:rsidRPr="00150CD2">
        <w:rPr>
          <w:rFonts w:cs="Arial"/>
        </w:rPr>
        <w:t xml:space="preserve"> aged 0-4</w:t>
      </w:r>
      <w:r w:rsidR="006679B6" w:rsidRPr="00150CD2">
        <w:rPr>
          <w:rStyle w:val="FootnoteReference"/>
          <w:rFonts w:ascii="Arial" w:hAnsi="Arial" w:cs="Arial"/>
        </w:rPr>
        <w:footnoteReference w:id="14"/>
      </w:r>
      <w:r w:rsidR="00C6181D" w:rsidRPr="00150CD2">
        <w:rPr>
          <w:rFonts w:cs="Arial"/>
        </w:rPr>
        <w:t xml:space="preserve"> </w:t>
      </w:r>
      <w:r w:rsidR="00082E58" w:rsidRPr="00150CD2">
        <w:rPr>
          <w:rFonts w:cs="Arial"/>
        </w:rPr>
        <w:t>allocated DSS and in the MidCentral population</w:t>
      </w:r>
      <w:r w:rsidR="00281B0C" w:rsidRPr="00150CD2">
        <w:rPr>
          <w:rFonts w:cs="Arial"/>
        </w:rPr>
        <w:t xml:space="preserve"> – incl. confidence intervals at the 95th percentile level</w:t>
      </w:r>
    </w:p>
    <w:tbl>
      <w:tblPr>
        <w:tblW w:w="9072" w:type="dxa"/>
        <w:tblInd w:w="576" w:type="dxa"/>
        <w:tblCellMar>
          <w:left w:w="43" w:type="dxa"/>
          <w:right w:w="43" w:type="dxa"/>
        </w:tblCellMar>
        <w:tblLook w:val="04A0" w:firstRow="1" w:lastRow="0" w:firstColumn="1" w:lastColumn="0" w:noHBand="0" w:noVBand="1"/>
      </w:tblPr>
      <w:tblGrid>
        <w:gridCol w:w="288"/>
        <w:gridCol w:w="2880"/>
        <w:gridCol w:w="288"/>
        <w:gridCol w:w="2448"/>
        <w:gridCol w:w="288"/>
        <w:gridCol w:w="2880"/>
      </w:tblGrid>
      <w:tr w:rsidR="00E76E0C" w:rsidRPr="00150CD2" w14:paraId="3013D0C4" w14:textId="77777777" w:rsidTr="00B262C7">
        <w:tc>
          <w:tcPr>
            <w:tcW w:w="288" w:type="dxa"/>
            <w:shd w:val="clear" w:color="auto" w:fill="188CE5" w:themeFill="accent3"/>
            <w:noWrap/>
            <w:vAlign w:val="bottom"/>
            <w:hideMark/>
          </w:tcPr>
          <w:p w14:paraId="15E4FB57" w14:textId="77777777" w:rsidR="00E76E0C" w:rsidRPr="00150CD2" w:rsidRDefault="00E76E0C" w:rsidP="00E76E0C">
            <w:pPr>
              <w:pStyle w:val="EYTableText"/>
              <w:rPr>
                <w:rFonts w:cs="Arial"/>
                <w:sz w:val="20"/>
                <w:szCs w:val="20"/>
              </w:rPr>
            </w:pPr>
            <w:r w:rsidRPr="00150CD2">
              <w:rPr>
                <w:rFonts w:cs="Arial"/>
                <w:sz w:val="20"/>
                <w:szCs w:val="20"/>
              </w:rPr>
              <w:t> </w:t>
            </w:r>
          </w:p>
        </w:tc>
        <w:tc>
          <w:tcPr>
            <w:tcW w:w="2880" w:type="dxa"/>
            <w:tcBorders>
              <w:top w:val="nil"/>
              <w:left w:val="nil"/>
              <w:bottom w:val="nil"/>
              <w:right w:val="single" w:sz="4" w:space="0" w:color="FF9A4F"/>
            </w:tcBorders>
            <w:shd w:val="clear" w:color="auto" w:fill="auto"/>
            <w:noWrap/>
            <w:hideMark/>
          </w:tcPr>
          <w:p w14:paraId="761CF728" w14:textId="7DD1CC2F" w:rsidR="00E76E0C" w:rsidRPr="00150CD2" w:rsidRDefault="00E76E0C" w:rsidP="00E76E0C">
            <w:pPr>
              <w:pStyle w:val="EYTableText"/>
              <w:rPr>
                <w:rFonts w:cs="Arial"/>
                <w:sz w:val="20"/>
                <w:szCs w:val="20"/>
              </w:rPr>
            </w:pPr>
            <w:r w:rsidRPr="00150CD2">
              <w:rPr>
                <w:rFonts w:cs="Arial"/>
                <w:sz w:val="20"/>
                <w:szCs w:val="20"/>
              </w:rPr>
              <w:t>MidCentral DSS children</w:t>
            </w:r>
          </w:p>
        </w:tc>
        <w:tc>
          <w:tcPr>
            <w:tcW w:w="288" w:type="dxa"/>
            <w:tcBorders>
              <w:top w:val="single" w:sz="4" w:space="0" w:color="FF9A4F"/>
              <w:left w:val="single" w:sz="4" w:space="0" w:color="FF9A4F"/>
              <w:bottom w:val="single" w:sz="4" w:space="0" w:color="FF9A4F"/>
              <w:right w:val="single" w:sz="4" w:space="0" w:color="FF9A4F"/>
            </w:tcBorders>
            <w:shd w:val="diagStripe" w:color="FFFFFF" w:themeColor="background1" w:fill="FF9A4F"/>
          </w:tcPr>
          <w:p w14:paraId="16ED83FF" w14:textId="77777777" w:rsidR="00E76E0C" w:rsidRPr="00150CD2" w:rsidRDefault="00E76E0C" w:rsidP="00E76E0C">
            <w:pPr>
              <w:pStyle w:val="EYTableText"/>
              <w:rPr>
                <w:rFonts w:cs="Arial"/>
                <w:sz w:val="20"/>
                <w:szCs w:val="20"/>
              </w:rPr>
            </w:pPr>
          </w:p>
        </w:tc>
        <w:tc>
          <w:tcPr>
            <w:tcW w:w="2448" w:type="dxa"/>
            <w:tcBorders>
              <w:top w:val="nil"/>
              <w:left w:val="single" w:sz="4" w:space="0" w:color="FF9A4F"/>
              <w:bottom w:val="nil"/>
              <w:right w:val="nil"/>
            </w:tcBorders>
            <w:shd w:val="clear" w:color="auto" w:fill="auto"/>
          </w:tcPr>
          <w:p w14:paraId="0C8AE830" w14:textId="2643E72A" w:rsidR="00E76E0C" w:rsidRPr="00150CD2" w:rsidRDefault="00E76E0C" w:rsidP="00E76E0C">
            <w:pPr>
              <w:pStyle w:val="EYTableText"/>
              <w:rPr>
                <w:rFonts w:cs="Arial"/>
                <w:sz w:val="20"/>
                <w:szCs w:val="20"/>
              </w:rPr>
            </w:pPr>
            <w:r w:rsidRPr="00150CD2">
              <w:rPr>
                <w:rFonts w:cs="Arial"/>
                <w:sz w:val="20"/>
                <w:szCs w:val="20"/>
              </w:rPr>
              <w:t>Other DSS children</w:t>
            </w:r>
          </w:p>
        </w:tc>
        <w:tc>
          <w:tcPr>
            <w:tcW w:w="288" w:type="dxa"/>
            <w:tcBorders>
              <w:top w:val="nil"/>
              <w:left w:val="nil"/>
              <w:bottom w:val="nil"/>
              <w:right w:val="nil"/>
            </w:tcBorders>
            <w:shd w:val="clear" w:color="auto" w:fill="808080" w:themeFill="background1" w:themeFillShade="80"/>
          </w:tcPr>
          <w:p w14:paraId="5999A1EC" w14:textId="77777777" w:rsidR="00E76E0C" w:rsidRPr="00150CD2" w:rsidRDefault="00E76E0C" w:rsidP="00E76E0C">
            <w:pPr>
              <w:pStyle w:val="EYTableText"/>
              <w:rPr>
                <w:rFonts w:cs="Arial"/>
                <w:sz w:val="20"/>
                <w:szCs w:val="20"/>
              </w:rPr>
            </w:pPr>
          </w:p>
        </w:tc>
        <w:tc>
          <w:tcPr>
            <w:tcW w:w="2880" w:type="dxa"/>
            <w:tcBorders>
              <w:top w:val="nil"/>
              <w:left w:val="nil"/>
              <w:bottom w:val="nil"/>
              <w:right w:val="nil"/>
            </w:tcBorders>
          </w:tcPr>
          <w:p w14:paraId="75E5C521" w14:textId="67D7EA15" w:rsidR="00E76E0C" w:rsidRPr="00150CD2" w:rsidRDefault="00E76E0C" w:rsidP="00E76E0C">
            <w:pPr>
              <w:pStyle w:val="EYTableText"/>
              <w:rPr>
                <w:rFonts w:cs="Arial"/>
                <w:sz w:val="20"/>
                <w:szCs w:val="20"/>
              </w:rPr>
            </w:pPr>
            <w:r w:rsidRPr="00150CD2">
              <w:rPr>
                <w:rFonts w:cs="Arial"/>
                <w:sz w:val="20"/>
                <w:szCs w:val="20"/>
              </w:rPr>
              <w:t>Other MidCentral children</w:t>
            </w:r>
          </w:p>
        </w:tc>
      </w:tr>
    </w:tbl>
    <w:p w14:paraId="43CEF1C0" w14:textId="37208B14" w:rsidR="00082E58" w:rsidRPr="00150CD2" w:rsidRDefault="001F0822" w:rsidP="001E6446">
      <w:pPr>
        <w:pStyle w:val="EYBodytextwithoutparaspace"/>
        <w:rPr>
          <w:rFonts w:cs="Arial"/>
        </w:rPr>
      </w:pPr>
      <w:r w:rsidRPr="00150CD2">
        <w:rPr>
          <w:rFonts w:cs="Arial"/>
          <w:noProof/>
        </w:rPr>
        <w:drawing>
          <wp:inline distT="0" distB="0" distL="0" distR="0" wp14:anchorId="74094514" wp14:editId="5E504909">
            <wp:extent cx="8860790" cy="3767328"/>
            <wp:effectExtent l="0" t="0" r="0" b="5080"/>
            <wp:docPr id="5" name="Chart 5" descr="Figure 3 chart highlights differences in selected wellbeing and outcome indicators over the 3 year period to 30 June 2018, for MidCentral DSS children, other DSS children outside MidCentral and other MidCentral children aged 0-4 at the start of the period. Indicators graphed include: &#10;• % children with an outcome of &quot;referred&quot; from B4 School Check vision or hearing checks at ages 4-5&#10;• % children with Ambulatory Sensitive Hospitalisations &#10;• % children with injury-related emergency department contact &#10;• % children enrolled in Early Childhood Education prior to starting school&#10;• % children involved in Oranga Tamariki reports of concern &#10;• % children with parent/caregiver(s) with employment income &#10;• % children whose parent/caregiver drew on third-tier MSD support payments &#10;&#10;The rest of this section describes the key differences observed for each indicator.">
              <a:extLst xmlns:a="http://schemas.openxmlformats.org/drawingml/2006/main">
                <a:ext uri="{FF2B5EF4-FFF2-40B4-BE49-F238E27FC236}">
                  <a16:creationId xmlns:a16="http://schemas.microsoft.com/office/drawing/2014/main" id="{C3ECA159-54D9-4B1A-88DE-E02596B3D6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237122" w:rsidRPr="00150CD2" w:rsidDel="00237122">
        <w:rPr>
          <w:rFonts w:cs="Arial"/>
        </w:rPr>
        <w:t xml:space="preserve"> </w:t>
      </w:r>
    </w:p>
    <w:tbl>
      <w:tblPr>
        <w:tblW w:w="13405" w:type="dxa"/>
        <w:tblInd w:w="540" w:type="dxa"/>
        <w:tblLayout w:type="fixed"/>
        <w:tblLook w:val="04A0" w:firstRow="1" w:lastRow="0" w:firstColumn="1" w:lastColumn="0" w:noHBand="0" w:noVBand="1"/>
      </w:tblPr>
      <w:tblGrid>
        <w:gridCol w:w="1915"/>
        <w:gridCol w:w="1915"/>
        <w:gridCol w:w="1915"/>
        <w:gridCol w:w="1915"/>
        <w:gridCol w:w="1915"/>
        <w:gridCol w:w="1915"/>
        <w:gridCol w:w="1915"/>
      </w:tblGrid>
      <w:tr w:rsidR="001F0822" w:rsidRPr="00150CD2" w14:paraId="3D3448D4" w14:textId="77777777" w:rsidTr="00DC0A63">
        <w:trPr>
          <w:trHeight w:val="300"/>
        </w:trPr>
        <w:tc>
          <w:tcPr>
            <w:tcW w:w="1915" w:type="dxa"/>
            <w:tcBorders>
              <w:top w:val="nil"/>
              <w:left w:val="nil"/>
              <w:bottom w:val="nil"/>
              <w:right w:val="nil"/>
            </w:tcBorders>
            <w:shd w:val="clear" w:color="auto" w:fill="auto"/>
            <w:noWrap/>
            <w:hideMark/>
          </w:tcPr>
          <w:p w14:paraId="1CE239DE" w14:textId="77777777" w:rsidR="001F0822" w:rsidRPr="00150CD2" w:rsidRDefault="001F0822" w:rsidP="00020915">
            <w:pPr>
              <w:pStyle w:val="EYTableText"/>
              <w:jc w:val="center"/>
              <w:rPr>
                <w:rFonts w:cs="Arial"/>
                <w:color w:val="404040" w:themeColor="background2" w:themeTint="BF"/>
                <w:sz w:val="20"/>
                <w:szCs w:val="20"/>
              </w:rPr>
            </w:pPr>
            <w:r w:rsidRPr="00150CD2">
              <w:rPr>
                <w:rFonts w:cs="Arial"/>
                <w:color w:val="404040" w:themeColor="background2" w:themeTint="BF"/>
                <w:sz w:val="20"/>
                <w:szCs w:val="20"/>
              </w:rPr>
              <w:t>% children with an outcome of "referred" from B4 School Check vision or hearing checks at ages 4-5</w:t>
            </w:r>
          </w:p>
        </w:tc>
        <w:tc>
          <w:tcPr>
            <w:tcW w:w="1915" w:type="dxa"/>
            <w:tcBorders>
              <w:top w:val="nil"/>
              <w:left w:val="nil"/>
              <w:bottom w:val="nil"/>
              <w:right w:val="nil"/>
            </w:tcBorders>
            <w:shd w:val="clear" w:color="auto" w:fill="auto"/>
            <w:noWrap/>
            <w:hideMark/>
          </w:tcPr>
          <w:p w14:paraId="2DD2AFE6" w14:textId="607D7E21" w:rsidR="001F0822" w:rsidRPr="00150CD2" w:rsidRDefault="001F0822" w:rsidP="00020915">
            <w:pPr>
              <w:pStyle w:val="EYTableText"/>
              <w:jc w:val="center"/>
              <w:rPr>
                <w:rFonts w:cs="Arial"/>
                <w:color w:val="404040" w:themeColor="background2" w:themeTint="BF"/>
                <w:sz w:val="20"/>
                <w:szCs w:val="20"/>
              </w:rPr>
            </w:pPr>
            <w:r w:rsidRPr="00150CD2">
              <w:rPr>
                <w:rFonts w:cs="Arial"/>
                <w:color w:val="404040" w:themeColor="background2" w:themeTint="BF"/>
                <w:sz w:val="20"/>
                <w:szCs w:val="20"/>
              </w:rPr>
              <w:t>% children with Ambulatory Sensitive Hospitalisations over a 3 year period</w:t>
            </w:r>
          </w:p>
        </w:tc>
        <w:tc>
          <w:tcPr>
            <w:tcW w:w="1915" w:type="dxa"/>
            <w:tcBorders>
              <w:top w:val="nil"/>
              <w:left w:val="nil"/>
              <w:bottom w:val="nil"/>
              <w:right w:val="nil"/>
            </w:tcBorders>
            <w:shd w:val="clear" w:color="auto" w:fill="auto"/>
            <w:noWrap/>
            <w:hideMark/>
          </w:tcPr>
          <w:p w14:paraId="06B2D184" w14:textId="26DAABEB" w:rsidR="001F0822" w:rsidRPr="00150CD2" w:rsidRDefault="001F0822" w:rsidP="00020915">
            <w:pPr>
              <w:pStyle w:val="EYTableText"/>
              <w:jc w:val="center"/>
              <w:rPr>
                <w:rFonts w:cs="Arial"/>
                <w:color w:val="404040" w:themeColor="background2" w:themeTint="BF"/>
                <w:sz w:val="20"/>
                <w:szCs w:val="20"/>
              </w:rPr>
            </w:pPr>
            <w:r w:rsidRPr="00150CD2">
              <w:rPr>
                <w:rFonts w:cs="Arial"/>
                <w:color w:val="404040" w:themeColor="background2" w:themeTint="BF"/>
                <w:sz w:val="20"/>
                <w:szCs w:val="20"/>
              </w:rPr>
              <w:t xml:space="preserve">% children with injury-related </w:t>
            </w:r>
            <w:r w:rsidR="00892F2E" w:rsidRPr="00150CD2">
              <w:rPr>
                <w:rFonts w:cs="Arial"/>
                <w:color w:val="404040" w:themeColor="background2" w:themeTint="BF"/>
                <w:sz w:val="20"/>
                <w:szCs w:val="20"/>
              </w:rPr>
              <w:t>emergency department</w:t>
            </w:r>
            <w:r w:rsidRPr="00150CD2">
              <w:rPr>
                <w:rFonts w:cs="Arial"/>
                <w:color w:val="404040" w:themeColor="background2" w:themeTint="BF"/>
                <w:sz w:val="20"/>
                <w:szCs w:val="20"/>
              </w:rPr>
              <w:t xml:space="preserve"> contact over a 3 year period</w:t>
            </w:r>
          </w:p>
        </w:tc>
        <w:tc>
          <w:tcPr>
            <w:tcW w:w="1915" w:type="dxa"/>
            <w:tcBorders>
              <w:top w:val="nil"/>
              <w:left w:val="nil"/>
              <w:bottom w:val="nil"/>
              <w:right w:val="nil"/>
            </w:tcBorders>
          </w:tcPr>
          <w:p w14:paraId="276F6352" w14:textId="72CA4AE1" w:rsidR="001F0822" w:rsidRPr="00150CD2" w:rsidRDefault="001F0822" w:rsidP="00020915">
            <w:pPr>
              <w:pStyle w:val="EYTableText"/>
              <w:jc w:val="center"/>
              <w:rPr>
                <w:rFonts w:cs="Arial"/>
                <w:color w:val="404040" w:themeColor="background2" w:themeTint="BF"/>
                <w:sz w:val="20"/>
                <w:szCs w:val="20"/>
              </w:rPr>
            </w:pPr>
            <w:r w:rsidRPr="00150CD2">
              <w:rPr>
                <w:rFonts w:cs="Arial"/>
                <w:color w:val="404040" w:themeColor="background2" w:themeTint="BF"/>
                <w:sz w:val="20"/>
                <w:szCs w:val="20"/>
              </w:rPr>
              <w:t>% children enrolled in Early Childhood Education prior to starting school</w:t>
            </w:r>
          </w:p>
        </w:tc>
        <w:tc>
          <w:tcPr>
            <w:tcW w:w="1915" w:type="dxa"/>
            <w:tcBorders>
              <w:top w:val="nil"/>
              <w:left w:val="nil"/>
              <w:bottom w:val="nil"/>
              <w:right w:val="nil"/>
            </w:tcBorders>
            <w:shd w:val="clear" w:color="auto" w:fill="auto"/>
            <w:noWrap/>
            <w:hideMark/>
          </w:tcPr>
          <w:p w14:paraId="151C68F5" w14:textId="37B149F7" w:rsidR="001F0822" w:rsidRPr="00150CD2" w:rsidRDefault="001F0822" w:rsidP="00020915">
            <w:pPr>
              <w:pStyle w:val="EYTableText"/>
              <w:jc w:val="center"/>
              <w:rPr>
                <w:rFonts w:cs="Arial"/>
                <w:color w:val="404040" w:themeColor="background2" w:themeTint="BF"/>
                <w:sz w:val="20"/>
                <w:szCs w:val="20"/>
              </w:rPr>
            </w:pPr>
            <w:r w:rsidRPr="00150CD2">
              <w:rPr>
                <w:rFonts w:cs="Arial"/>
                <w:color w:val="404040" w:themeColor="background2" w:themeTint="BF"/>
                <w:sz w:val="20"/>
                <w:szCs w:val="20"/>
              </w:rPr>
              <w:t>% children involved in Oranga Tamariki reports of concern over a 3 year period</w:t>
            </w:r>
          </w:p>
        </w:tc>
        <w:tc>
          <w:tcPr>
            <w:tcW w:w="1915" w:type="dxa"/>
            <w:tcBorders>
              <w:top w:val="nil"/>
              <w:left w:val="nil"/>
              <w:bottom w:val="nil"/>
              <w:right w:val="nil"/>
            </w:tcBorders>
            <w:shd w:val="clear" w:color="auto" w:fill="auto"/>
            <w:noWrap/>
            <w:hideMark/>
          </w:tcPr>
          <w:p w14:paraId="7DF334B9" w14:textId="77777777" w:rsidR="001F0822" w:rsidRPr="00150CD2" w:rsidRDefault="001F0822" w:rsidP="00020915">
            <w:pPr>
              <w:pStyle w:val="EYTableText"/>
              <w:jc w:val="center"/>
              <w:rPr>
                <w:rFonts w:cs="Arial"/>
                <w:color w:val="404040" w:themeColor="background2" w:themeTint="BF"/>
                <w:sz w:val="20"/>
                <w:szCs w:val="20"/>
              </w:rPr>
            </w:pPr>
            <w:r w:rsidRPr="00150CD2">
              <w:rPr>
                <w:rFonts w:cs="Arial"/>
                <w:color w:val="404040" w:themeColor="background2" w:themeTint="BF"/>
                <w:sz w:val="20"/>
                <w:szCs w:val="20"/>
              </w:rPr>
              <w:t>% children with parent/caregiver(s) with employment income for at least one year over a 3 year period</w:t>
            </w:r>
          </w:p>
        </w:tc>
        <w:tc>
          <w:tcPr>
            <w:tcW w:w="1915" w:type="dxa"/>
            <w:tcBorders>
              <w:top w:val="nil"/>
              <w:left w:val="nil"/>
              <w:bottom w:val="nil"/>
              <w:right w:val="nil"/>
            </w:tcBorders>
            <w:shd w:val="clear" w:color="auto" w:fill="auto"/>
            <w:noWrap/>
            <w:hideMark/>
          </w:tcPr>
          <w:p w14:paraId="763AA679" w14:textId="58A6D252" w:rsidR="001F0822" w:rsidRPr="00150CD2" w:rsidRDefault="001F0822" w:rsidP="00020915">
            <w:pPr>
              <w:pStyle w:val="EYTableText"/>
              <w:jc w:val="center"/>
              <w:rPr>
                <w:rFonts w:cs="Arial"/>
                <w:color w:val="404040" w:themeColor="background2" w:themeTint="BF"/>
                <w:sz w:val="20"/>
                <w:szCs w:val="20"/>
              </w:rPr>
            </w:pPr>
            <w:r w:rsidRPr="00150CD2">
              <w:rPr>
                <w:rFonts w:cs="Arial"/>
                <w:color w:val="404040" w:themeColor="background2" w:themeTint="BF"/>
                <w:sz w:val="20"/>
                <w:szCs w:val="20"/>
              </w:rPr>
              <w:t>% children whose parent/caregiver drew on third-tier MSD support payments over a 3 year period</w:t>
            </w:r>
          </w:p>
        </w:tc>
      </w:tr>
    </w:tbl>
    <w:p w14:paraId="5F0147FC" w14:textId="77777777" w:rsidR="00E76E0C" w:rsidRPr="00150CD2" w:rsidRDefault="00E76E0C" w:rsidP="00082E58">
      <w:pPr>
        <w:pStyle w:val="EYBodytextwithoutparaspace"/>
        <w:rPr>
          <w:rFonts w:cs="Arial"/>
        </w:rPr>
      </w:pPr>
    </w:p>
    <w:tbl>
      <w:tblPr>
        <w:tblStyle w:val="TableGrid"/>
        <w:tblW w:w="0" w:type="auto"/>
        <w:tblLayout w:type="fixed"/>
        <w:tblCellMar>
          <w:top w:w="72" w:type="dxa"/>
          <w:left w:w="86" w:type="dxa"/>
          <w:bottom w:w="28" w:type="dxa"/>
          <w:right w:w="86" w:type="dxa"/>
        </w:tblCellMar>
        <w:tblLook w:val="04A0" w:firstRow="1" w:lastRow="0" w:firstColumn="1" w:lastColumn="0" w:noHBand="0" w:noVBand="1"/>
      </w:tblPr>
      <w:tblGrid>
        <w:gridCol w:w="1559"/>
        <w:gridCol w:w="2306"/>
        <w:gridCol w:w="10079"/>
      </w:tblGrid>
      <w:tr w:rsidR="00A74A24" w:rsidRPr="00150CD2" w14:paraId="6A2CFBAA" w14:textId="77777777" w:rsidTr="002D4BE0">
        <w:trPr>
          <w:trHeight w:val="720"/>
          <w:tblHeader/>
        </w:trPr>
        <w:tc>
          <w:tcPr>
            <w:tcW w:w="1559" w:type="dxa"/>
            <w:tcBorders>
              <w:bottom w:val="single" w:sz="4" w:space="0" w:color="auto"/>
            </w:tcBorders>
            <w:shd w:val="clear" w:color="auto" w:fill="F2F2F2" w:themeFill="background1" w:themeFillShade="F2"/>
          </w:tcPr>
          <w:p w14:paraId="1EA3794D" w14:textId="77777777" w:rsidR="00A74A24" w:rsidRPr="00150CD2" w:rsidRDefault="00A74A24" w:rsidP="00D143A9">
            <w:pPr>
              <w:pStyle w:val="EYTableHeading"/>
              <w:spacing w:before="0"/>
              <w:rPr>
                <w:rFonts w:cs="Arial"/>
                <w:bCs/>
                <w:sz w:val="24"/>
              </w:rPr>
            </w:pPr>
            <w:r w:rsidRPr="00150CD2">
              <w:rPr>
                <w:rFonts w:cs="Arial"/>
                <w:bCs/>
                <w:sz w:val="24"/>
              </w:rPr>
              <w:t>Perspective</w:t>
            </w:r>
          </w:p>
        </w:tc>
        <w:tc>
          <w:tcPr>
            <w:tcW w:w="2306" w:type="dxa"/>
            <w:shd w:val="clear" w:color="auto" w:fill="F2F2F2" w:themeFill="background1" w:themeFillShade="F2"/>
          </w:tcPr>
          <w:p w14:paraId="007131A1" w14:textId="77777777" w:rsidR="00A74A24" w:rsidRPr="00150CD2" w:rsidRDefault="00A74A24" w:rsidP="00D143A9">
            <w:pPr>
              <w:pStyle w:val="EYTableHeading"/>
              <w:spacing w:before="0"/>
              <w:rPr>
                <w:rFonts w:cs="Arial"/>
                <w:sz w:val="24"/>
              </w:rPr>
            </w:pPr>
            <w:r w:rsidRPr="00150CD2">
              <w:rPr>
                <w:rFonts w:cs="Arial"/>
                <w:sz w:val="24"/>
              </w:rPr>
              <w:t>Indicators</w:t>
            </w:r>
          </w:p>
        </w:tc>
        <w:tc>
          <w:tcPr>
            <w:tcW w:w="10079" w:type="dxa"/>
            <w:shd w:val="clear" w:color="auto" w:fill="F2F2F2" w:themeFill="background1" w:themeFillShade="F2"/>
          </w:tcPr>
          <w:p w14:paraId="1189AFE1" w14:textId="003744DF" w:rsidR="00A74A24" w:rsidRPr="00150CD2" w:rsidRDefault="00A74A24" w:rsidP="00D143A9">
            <w:pPr>
              <w:pStyle w:val="EYTableHeading"/>
              <w:spacing w:before="0"/>
              <w:rPr>
                <w:rFonts w:cs="Arial"/>
                <w:sz w:val="24"/>
              </w:rPr>
            </w:pPr>
            <w:r w:rsidRPr="00150CD2">
              <w:rPr>
                <w:rFonts w:cs="Arial"/>
                <w:sz w:val="24"/>
              </w:rPr>
              <w:t xml:space="preserve">Insights for children aged 0-4 allocated DSS </w:t>
            </w:r>
            <w:r w:rsidR="00FD3989" w:rsidRPr="00150CD2">
              <w:rPr>
                <w:rFonts w:cs="Arial"/>
                <w:sz w:val="24"/>
              </w:rPr>
              <w:t xml:space="preserve">over the year to June 2018 </w:t>
            </w:r>
            <w:r w:rsidRPr="00150CD2">
              <w:rPr>
                <w:rFonts w:cs="Arial"/>
                <w:sz w:val="24"/>
              </w:rPr>
              <w:t>in MidCentral, compared to other children in MidCentral and other DSS children</w:t>
            </w:r>
            <w:r w:rsidR="00017648" w:rsidRPr="00150CD2">
              <w:rPr>
                <w:rFonts w:cs="Arial"/>
                <w:sz w:val="24"/>
              </w:rPr>
              <w:t xml:space="preserve"> </w:t>
            </w:r>
            <w:r w:rsidRPr="00150CD2">
              <w:rPr>
                <w:rFonts w:cs="Arial"/>
                <w:sz w:val="24"/>
              </w:rPr>
              <w:t>outside MidCentral</w:t>
            </w:r>
            <w:r w:rsidR="009059C4" w:rsidRPr="00150CD2">
              <w:rPr>
                <w:rFonts w:cs="Arial"/>
                <w:sz w:val="24"/>
              </w:rPr>
              <w:t xml:space="preserve"> – </w:t>
            </w:r>
            <w:r w:rsidR="003036A0" w:rsidRPr="00150CD2">
              <w:rPr>
                <w:rFonts w:cs="Arial"/>
                <w:sz w:val="24"/>
              </w:rPr>
              <w:t>outcome and service contact</w:t>
            </w:r>
            <w:r w:rsidR="009059C4" w:rsidRPr="00150CD2">
              <w:rPr>
                <w:rFonts w:cs="Arial"/>
                <w:sz w:val="24"/>
              </w:rPr>
              <w:t xml:space="preserve"> indicators over </w:t>
            </w:r>
            <w:r w:rsidR="00C6181D" w:rsidRPr="00150CD2">
              <w:rPr>
                <w:rFonts w:cs="Arial"/>
                <w:sz w:val="24"/>
              </w:rPr>
              <w:t>the 3 year period to 30 June 2018</w:t>
            </w:r>
          </w:p>
        </w:tc>
      </w:tr>
      <w:tr w:rsidR="008C01A0" w:rsidRPr="00150CD2" w14:paraId="12D071A0" w14:textId="77777777" w:rsidTr="002D4BE0">
        <w:tc>
          <w:tcPr>
            <w:tcW w:w="1559" w:type="dxa"/>
            <w:tcBorders>
              <w:bottom w:val="nil"/>
            </w:tcBorders>
          </w:tcPr>
          <w:p w14:paraId="62D3205C" w14:textId="2BDA3110" w:rsidR="008C01A0" w:rsidRPr="00150CD2" w:rsidRDefault="008C01A0" w:rsidP="008C01A0">
            <w:pPr>
              <w:pStyle w:val="EYTableText"/>
              <w:rPr>
                <w:rFonts w:cs="Arial"/>
                <w:sz w:val="24"/>
              </w:rPr>
            </w:pPr>
            <w:r w:rsidRPr="00150CD2">
              <w:rPr>
                <w:rFonts w:cs="Arial"/>
                <w:sz w:val="24"/>
              </w:rPr>
              <w:t>Child</w:t>
            </w:r>
          </w:p>
        </w:tc>
        <w:tc>
          <w:tcPr>
            <w:tcW w:w="2306" w:type="dxa"/>
          </w:tcPr>
          <w:p w14:paraId="588D656D" w14:textId="4C70F45E" w:rsidR="008C01A0" w:rsidRPr="00150CD2" w:rsidRDefault="008C01A0" w:rsidP="008C01A0">
            <w:pPr>
              <w:pStyle w:val="EYTableText"/>
              <w:rPr>
                <w:rFonts w:cs="Arial"/>
                <w:sz w:val="24"/>
              </w:rPr>
            </w:pPr>
            <w:r w:rsidRPr="00150CD2">
              <w:rPr>
                <w:rFonts w:cs="Arial"/>
                <w:sz w:val="24"/>
              </w:rPr>
              <w:t>Early childhood education</w:t>
            </w:r>
          </w:p>
        </w:tc>
        <w:tc>
          <w:tcPr>
            <w:tcW w:w="10079" w:type="dxa"/>
          </w:tcPr>
          <w:p w14:paraId="4378F80A" w14:textId="721D1157" w:rsidR="008C01A0" w:rsidRPr="00150CD2" w:rsidRDefault="008C01A0" w:rsidP="00D143A9">
            <w:pPr>
              <w:pStyle w:val="EYTablebullet1"/>
              <w:spacing w:before="0" w:after="120"/>
              <w:ind w:left="288" w:hanging="288"/>
              <w:rPr>
                <w:rFonts w:cs="Arial"/>
                <w:sz w:val="24"/>
              </w:rPr>
            </w:pPr>
            <w:r w:rsidRPr="00150CD2">
              <w:rPr>
                <w:rFonts w:cs="Arial"/>
                <w:sz w:val="24"/>
              </w:rPr>
              <w:t xml:space="preserve">Around </w:t>
            </w:r>
            <w:r w:rsidR="00C6181D" w:rsidRPr="00150CD2">
              <w:rPr>
                <w:rFonts w:cs="Arial"/>
                <w:sz w:val="24"/>
              </w:rPr>
              <w:t>97</w:t>
            </w:r>
            <w:r w:rsidRPr="00150CD2">
              <w:rPr>
                <w:rFonts w:cs="Arial"/>
                <w:sz w:val="24"/>
              </w:rPr>
              <w:t xml:space="preserve">% of children </w:t>
            </w:r>
            <w:r w:rsidR="00FE1B93" w:rsidRPr="00150CD2">
              <w:rPr>
                <w:rFonts w:cs="Arial"/>
                <w:sz w:val="24"/>
              </w:rPr>
              <w:t xml:space="preserve">allocated DSS </w:t>
            </w:r>
            <w:r w:rsidRPr="00150CD2">
              <w:rPr>
                <w:rFonts w:cs="Arial"/>
                <w:sz w:val="24"/>
              </w:rPr>
              <w:t>were enrolled in some form of early childhood education</w:t>
            </w:r>
            <w:r w:rsidR="007F5C8C" w:rsidRPr="00150CD2">
              <w:rPr>
                <w:rFonts w:cs="Arial"/>
                <w:sz w:val="24"/>
              </w:rPr>
              <w:t xml:space="preserve"> prior to starting school</w:t>
            </w:r>
            <w:r w:rsidR="007F5C8C" w:rsidRPr="00150CD2">
              <w:rPr>
                <w:rStyle w:val="FootnoteReference"/>
                <w:rFonts w:ascii="Arial" w:hAnsi="Arial" w:cs="Arial"/>
                <w:sz w:val="24"/>
                <w:szCs w:val="24"/>
              </w:rPr>
              <w:footnoteReference w:id="15"/>
            </w:r>
            <w:r w:rsidRPr="00150CD2">
              <w:rPr>
                <w:rFonts w:cs="Arial"/>
                <w:sz w:val="24"/>
              </w:rPr>
              <w:t xml:space="preserve">. This rate </w:t>
            </w:r>
            <w:r w:rsidR="007F5C8C" w:rsidRPr="00150CD2">
              <w:rPr>
                <w:rFonts w:cs="Arial"/>
                <w:sz w:val="24"/>
              </w:rPr>
              <w:t xml:space="preserve">is comparable to that of </w:t>
            </w:r>
            <w:r w:rsidRPr="00150CD2">
              <w:rPr>
                <w:rFonts w:cs="Arial"/>
                <w:sz w:val="24"/>
              </w:rPr>
              <w:t>other 4 year old DSS children outside MidCentral (</w:t>
            </w:r>
            <w:r w:rsidR="007F5C8C" w:rsidRPr="00150CD2">
              <w:rPr>
                <w:rFonts w:cs="Arial"/>
                <w:sz w:val="24"/>
              </w:rPr>
              <w:t>97</w:t>
            </w:r>
            <w:r w:rsidRPr="00150CD2">
              <w:rPr>
                <w:rFonts w:cs="Arial"/>
                <w:sz w:val="24"/>
              </w:rPr>
              <w:t>%) and other MidCentral children</w:t>
            </w:r>
            <w:r w:rsidR="007F5C8C" w:rsidRPr="00150CD2">
              <w:rPr>
                <w:rFonts w:cs="Arial"/>
                <w:sz w:val="24"/>
              </w:rPr>
              <w:t xml:space="preserve"> (97%)</w:t>
            </w:r>
            <w:r w:rsidRPr="00150CD2">
              <w:rPr>
                <w:rFonts w:cs="Arial"/>
                <w:sz w:val="24"/>
              </w:rPr>
              <w:t xml:space="preserve">. </w:t>
            </w:r>
          </w:p>
        </w:tc>
      </w:tr>
      <w:tr w:rsidR="00A74A24" w:rsidRPr="00150CD2" w14:paraId="39A27118" w14:textId="77777777" w:rsidTr="002D4BE0">
        <w:tc>
          <w:tcPr>
            <w:tcW w:w="1559" w:type="dxa"/>
            <w:tcBorders>
              <w:top w:val="nil"/>
              <w:bottom w:val="nil"/>
            </w:tcBorders>
          </w:tcPr>
          <w:p w14:paraId="7CF95781" w14:textId="77777777" w:rsidR="00A74A24" w:rsidRPr="00150CD2" w:rsidRDefault="00A74A24" w:rsidP="00B01A9E">
            <w:pPr>
              <w:pStyle w:val="EYTableText"/>
              <w:rPr>
                <w:rFonts w:cs="Arial"/>
                <w:sz w:val="24"/>
              </w:rPr>
            </w:pPr>
          </w:p>
        </w:tc>
        <w:tc>
          <w:tcPr>
            <w:tcW w:w="2306" w:type="dxa"/>
          </w:tcPr>
          <w:p w14:paraId="5F589A56" w14:textId="43136C0A" w:rsidR="00A74A24" w:rsidRPr="00150CD2" w:rsidRDefault="00A74A24" w:rsidP="00A74A24">
            <w:pPr>
              <w:pStyle w:val="EYTableText"/>
              <w:rPr>
                <w:rFonts w:cs="Arial"/>
                <w:sz w:val="24"/>
              </w:rPr>
            </w:pPr>
            <w:r w:rsidRPr="00150CD2">
              <w:rPr>
                <w:rFonts w:cs="Arial"/>
                <w:sz w:val="24"/>
              </w:rPr>
              <w:t>B4 School Checks</w:t>
            </w:r>
            <w:r w:rsidR="00C6181D" w:rsidRPr="00150CD2">
              <w:rPr>
                <w:rFonts w:cs="Arial"/>
                <w:sz w:val="24"/>
              </w:rPr>
              <w:t xml:space="preserve"> (B4SC)</w:t>
            </w:r>
          </w:p>
        </w:tc>
        <w:tc>
          <w:tcPr>
            <w:tcW w:w="10079" w:type="dxa"/>
          </w:tcPr>
          <w:p w14:paraId="6525C196" w14:textId="49366F9A" w:rsidR="00A74A24" w:rsidRPr="00150CD2" w:rsidRDefault="007F5C8C" w:rsidP="00D143A9">
            <w:pPr>
              <w:pStyle w:val="EYTablebullet1"/>
              <w:spacing w:before="0" w:after="120"/>
              <w:ind w:left="288" w:hanging="288"/>
              <w:rPr>
                <w:rFonts w:cs="Arial"/>
                <w:sz w:val="24"/>
              </w:rPr>
            </w:pPr>
            <w:r w:rsidRPr="00150CD2">
              <w:rPr>
                <w:rFonts w:cs="Arial"/>
                <w:sz w:val="24"/>
              </w:rPr>
              <w:t xml:space="preserve">30% of </w:t>
            </w:r>
            <w:r w:rsidR="008A554F" w:rsidRPr="00150CD2">
              <w:rPr>
                <w:rFonts w:cs="Arial"/>
                <w:sz w:val="24"/>
              </w:rPr>
              <w:t xml:space="preserve">children </w:t>
            </w:r>
            <w:r w:rsidR="00BA031B" w:rsidRPr="00150CD2">
              <w:rPr>
                <w:rFonts w:cs="Arial"/>
                <w:sz w:val="24"/>
              </w:rPr>
              <w:t xml:space="preserve">with completed B4SC </w:t>
            </w:r>
            <w:r w:rsidRPr="00150CD2">
              <w:rPr>
                <w:rFonts w:cs="Arial"/>
                <w:sz w:val="24"/>
              </w:rPr>
              <w:t>vision and/or hearing checks had referrals made</w:t>
            </w:r>
            <w:r w:rsidR="001201B2" w:rsidRPr="00150CD2">
              <w:rPr>
                <w:rStyle w:val="FootnoteReference"/>
                <w:rFonts w:ascii="Arial" w:hAnsi="Arial" w:cs="Arial"/>
                <w:sz w:val="24"/>
                <w:szCs w:val="24"/>
              </w:rPr>
              <w:footnoteReference w:id="16"/>
            </w:r>
            <w:r w:rsidR="001201B2" w:rsidRPr="00150CD2">
              <w:rPr>
                <w:rFonts w:cs="Arial"/>
                <w:sz w:val="24"/>
              </w:rPr>
              <w:t>, higher than the proportion of DSS children referred outside MidCentral (23%)</w:t>
            </w:r>
            <w:r w:rsidRPr="00150CD2">
              <w:rPr>
                <w:rFonts w:cs="Arial"/>
                <w:sz w:val="24"/>
              </w:rPr>
              <w:t xml:space="preserve">. </w:t>
            </w:r>
            <w:r w:rsidR="00FA31C4" w:rsidRPr="00150CD2">
              <w:rPr>
                <w:rFonts w:cs="Arial"/>
                <w:sz w:val="24"/>
              </w:rPr>
              <w:t xml:space="preserve">DSS children were twice as likely to </w:t>
            </w:r>
            <w:r w:rsidR="001201B2" w:rsidRPr="00150CD2">
              <w:rPr>
                <w:rFonts w:cs="Arial"/>
                <w:sz w:val="24"/>
              </w:rPr>
              <w:t>be referred as other children in MidCentral (15%)</w:t>
            </w:r>
            <w:r w:rsidR="00D01B49" w:rsidRPr="00150CD2">
              <w:rPr>
                <w:rFonts w:cs="Arial"/>
                <w:sz w:val="24"/>
              </w:rPr>
              <w:t>.</w:t>
            </w:r>
          </w:p>
          <w:p w14:paraId="23669CD9" w14:textId="794FCC7F" w:rsidR="00FA31C4" w:rsidRPr="00150CD2" w:rsidRDefault="00BA031B" w:rsidP="00D143A9">
            <w:pPr>
              <w:pStyle w:val="EYTablebullet1"/>
              <w:spacing w:before="0" w:after="120"/>
              <w:ind w:left="288" w:hanging="288"/>
              <w:rPr>
                <w:rFonts w:cs="Arial"/>
                <w:sz w:val="24"/>
              </w:rPr>
            </w:pPr>
            <w:r w:rsidRPr="00150CD2">
              <w:rPr>
                <w:rFonts w:cs="Arial"/>
                <w:sz w:val="24"/>
              </w:rPr>
              <w:t xml:space="preserve">Around </w:t>
            </w:r>
            <w:r w:rsidR="001201B2" w:rsidRPr="00150CD2">
              <w:rPr>
                <w:rFonts w:cs="Arial"/>
                <w:sz w:val="24"/>
              </w:rPr>
              <w:t>10</w:t>
            </w:r>
            <w:r w:rsidRPr="00150CD2">
              <w:rPr>
                <w:rFonts w:cs="Arial"/>
                <w:sz w:val="24"/>
              </w:rPr>
              <w:t xml:space="preserve">% of children </w:t>
            </w:r>
            <w:r w:rsidR="001201B2" w:rsidRPr="00150CD2">
              <w:rPr>
                <w:rFonts w:cs="Arial"/>
                <w:sz w:val="24"/>
              </w:rPr>
              <w:t xml:space="preserve">with completed B4SC dental checks </w:t>
            </w:r>
            <w:r w:rsidR="00E808ED" w:rsidRPr="00150CD2">
              <w:rPr>
                <w:rFonts w:cs="Arial"/>
                <w:sz w:val="24"/>
              </w:rPr>
              <w:t>received scores within referral range</w:t>
            </w:r>
            <w:r w:rsidR="006E30B4" w:rsidRPr="00150CD2">
              <w:rPr>
                <w:rFonts w:cs="Arial"/>
                <w:sz w:val="24"/>
              </w:rPr>
              <w:t xml:space="preserve">, </w:t>
            </w:r>
            <w:r w:rsidR="001201B2" w:rsidRPr="00150CD2">
              <w:rPr>
                <w:rFonts w:cs="Arial"/>
                <w:sz w:val="24"/>
              </w:rPr>
              <w:t xml:space="preserve">lower than </w:t>
            </w:r>
            <w:r w:rsidR="00D01B49" w:rsidRPr="00150CD2">
              <w:rPr>
                <w:rFonts w:cs="Arial"/>
                <w:sz w:val="24"/>
              </w:rPr>
              <w:t xml:space="preserve">the rate </w:t>
            </w:r>
            <w:r w:rsidR="006E30B4" w:rsidRPr="00150CD2">
              <w:rPr>
                <w:rFonts w:cs="Arial"/>
                <w:sz w:val="24"/>
              </w:rPr>
              <w:t xml:space="preserve">for other DSS children </w:t>
            </w:r>
            <w:r w:rsidR="00D01B49" w:rsidRPr="00150CD2">
              <w:rPr>
                <w:rFonts w:cs="Arial"/>
                <w:sz w:val="24"/>
              </w:rPr>
              <w:t xml:space="preserve">(16%) </w:t>
            </w:r>
            <w:r w:rsidR="006E30B4" w:rsidRPr="00150CD2">
              <w:rPr>
                <w:rFonts w:cs="Arial"/>
                <w:sz w:val="24"/>
              </w:rPr>
              <w:t xml:space="preserve">and non-DSS children </w:t>
            </w:r>
            <w:r w:rsidR="00D01B49" w:rsidRPr="00150CD2">
              <w:rPr>
                <w:rFonts w:cs="Arial"/>
                <w:sz w:val="24"/>
              </w:rPr>
              <w:t>(14%)</w:t>
            </w:r>
            <w:r w:rsidR="006E30B4" w:rsidRPr="00150CD2">
              <w:rPr>
                <w:rFonts w:cs="Arial"/>
                <w:sz w:val="24"/>
              </w:rPr>
              <w:t>.</w:t>
            </w:r>
          </w:p>
          <w:p w14:paraId="0248B05C" w14:textId="4AB9A0EA" w:rsidR="001201B2" w:rsidRPr="00150CD2" w:rsidRDefault="006E30B4" w:rsidP="00D143A9">
            <w:pPr>
              <w:pStyle w:val="EYTablebullet1"/>
              <w:spacing w:before="0" w:after="120"/>
              <w:ind w:left="288" w:hanging="288"/>
              <w:rPr>
                <w:rFonts w:cs="Arial"/>
                <w:sz w:val="24"/>
              </w:rPr>
            </w:pPr>
            <w:r w:rsidRPr="00150CD2">
              <w:rPr>
                <w:rFonts w:cs="Arial"/>
                <w:sz w:val="24"/>
              </w:rPr>
              <w:t>For</w:t>
            </w:r>
            <w:r w:rsidR="00A74A24" w:rsidRPr="00150CD2">
              <w:rPr>
                <w:rFonts w:cs="Arial"/>
                <w:sz w:val="24"/>
              </w:rPr>
              <w:t xml:space="preserve"> </w:t>
            </w:r>
            <w:r w:rsidR="00B01A9E" w:rsidRPr="00150CD2">
              <w:rPr>
                <w:rFonts w:cs="Arial"/>
                <w:sz w:val="24"/>
              </w:rPr>
              <w:t>MidCentral DSS children,</w:t>
            </w:r>
            <w:r w:rsidR="00A74A24" w:rsidRPr="00150CD2">
              <w:rPr>
                <w:rFonts w:cs="Arial"/>
                <w:sz w:val="24"/>
              </w:rPr>
              <w:t xml:space="preserve"> </w:t>
            </w:r>
            <w:r w:rsidRPr="00150CD2">
              <w:rPr>
                <w:rFonts w:cs="Arial"/>
                <w:sz w:val="24"/>
              </w:rPr>
              <w:t>rates of referral</w:t>
            </w:r>
            <w:r w:rsidR="00D01B49" w:rsidRPr="00150CD2">
              <w:rPr>
                <w:rFonts w:cs="Arial"/>
                <w:sz w:val="24"/>
              </w:rPr>
              <w:t xml:space="preserve"> outcomes</w:t>
            </w:r>
            <w:r w:rsidRPr="00150CD2">
              <w:rPr>
                <w:rFonts w:cs="Arial"/>
                <w:sz w:val="24"/>
              </w:rPr>
              <w:t xml:space="preserve"> for vision</w:t>
            </w:r>
            <w:r w:rsidR="00B210D1" w:rsidRPr="00150CD2">
              <w:rPr>
                <w:rFonts w:cs="Arial"/>
                <w:sz w:val="24"/>
              </w:rPr>
              <w:t xml:space="preserve"> and</w:t>
            </w:r>
            <w:r w:rsidRPr="00150CD2">
              <w:rPr>
                <w:rFonts w:cs="Arial"/>
                <w:sz w:val="24"/>
              </w:rPr>
              <w:t xml:space="preserve"> hearing checks were higher for </w:t>
            </w:r>
            <w:r w:rsidR="00146560" w:rsidRPr="00150CD2">
              <w:rPr>
                <w:rFonts w:cs="Arial"/>
                <w:sz w:val="24"/>
              </w:rPr>
              <w:t>those with intellectual disabilities and high</w:t>
            </w:r>
            <w:r w:rsidR="00DF5F17" w:rsidRPr="00150CD2">
              <w:rPr>
                <w:rFonts w:cs="Arial"/>
                <w:sz w:val="24"/>
              </w:rPr>
              <w:t>/very high</w:t>
            </w:r>
            <w:r w:rsidR="00146560" w:rsidRPr="00150CD2">
              <w:rPr>
                <w:rFonts w:cs="Arial"/>
                <w:sz w:val="24"/>
              </w:rPr>
              <w:t xml:space="preserve"> SPA levels and were </w:t>
            </w:r>
            <w:r w:rsidRPr="00150CD2">
              <w:rPr>
                <w:rFonts w:cs="Arial"/>
                <w:sz w:val="24"/>
              </w:rPr>
              <w:t xml:space="preserve">similar </w:t>
            </w:r>
            <w:r w:rsidR="00A90AA3" w:rsidRPr="00150CD2">
              <w:rPr>
                <w:rFonts w:cs="Arial"/>
                <w:sz w:val="24"/>
              </w:rPr>
              <w:t>for</w:t>
            </w:r>
            <w:r w:rsidRPr="00150CD2">
              <w:rPr>
                <w:rFonts w:cs="Arial"/>
                <w:sz w:val="24"/>
              </w:rPr>
              <w:t xml:space="preserve"> Māori and non-Māori children</w:t>
            </w:r>
            <w:r w:rsidR="00146560" w:rsidRPr="00150CD2">
              <w:rPr>
                <w:rFonts w:cs="Arial"/>
                <w:sz w:val="24"/>
              </w:rPr>
              <w:t xml:space="preserve">. </w:t>
            </w:r>
            <w:r w:rsidR="00D01B49" w:rsidRPr="00150CD2">
              <w:rPr>
                <w:rFonts w:cs="Arial"/>
                <w:sz w:val="24"/>
              </w:rPr>
              <w:br/>
            </w:r>
            <w:r w:rsidR="00146560" w:rsidRPr="00150CD2">
              <w:rPr>
                <w:rFonts w:cs="Arial"/>
                <w:sz w:val="24"/>
              </w:rPr>
              <w:t>Māori children were twice as likely to receive dental scores within referral range as non-Māori children, reflecting</w:t>
            </w:r>
            <w:r w:rsidR="00A90AA3" w:rsidRPr="00150CD2">
              <w:rPr>
                <w:rFonts w:cs="Arial"/>
                <w:sz w:val="24"/>
              </w:rPr>
              <w:t xml:space="preserve"> similar</w:t>
            </w:r>
            <w:r w:rsidR="00146560" w:rsidRPr="00150CD2">
              <w:rPr>
                <w:rFonts w:cs="Arial"/>
                <w:sz w:val="24"/>
              </w:rPr>
              <w:t xml:space="preserve"> differences in the broader </w:t>
            </w:r>
            <w:r w:rsidR="008C01A0" w:rsidRPr="00150CD2">
              <w:rPr>
                <w:rFonts w:cs="Arial"/>
                <w:sz w:val="24"/>
              </w:rPr>
              <w:t xml:space="preserve">Māori and non-Māori </w:t>
            </w:r>
            <w:r w:rsidR="00146560" w:rsidRPr="00150CD2">
              <w:rPr>
                <w:rFonts w:cs="Arial"/>
                <w:sz w:val="24"/>
              </w:rPr>
              <w:t>child population</w:t>
            </w:r>
            <w:r w:rsidR="00D01B49" w:rsidRPr="00150CD2">
              <w:rPr>
                <w:rFonts w:cs="Arial"/>
                <w:sz w:val="24"/>
              </w:rPr>
              <w:t>.</w:t>
            </w:r>
          </w:p>
        </w:tc>
      </w:tr>
      <w:tr w:rsidR="00A74A24" w:rsidRPr="00150CD2" w14:paraId="4E448A69" w14:textId="77777777" w:rsidTr="002D4BE0">
        <w:tc>
          <w:tcPr>
            <w:tcW w:w="1559" w:type="dxa"/>
            <w:tcBorders>
              <w:top w:val="nil"/>
              <w:bottom w:val="nil"/>
            </w:tcBorders>
          </w:tcPr>
          <w:p w14:paraId="3AEE263F" w14:textId="77777777" w:rsidR="00A74A24" w:rsidRPr="00150CD2" w:rsidRDefault="00A74A24" w:rsidP="00B01A9E">
            <w:pPr>
              <w:pStyle w:val="EYTableText"/>
              <w:rPr>
                <w:rFonts w:cs="Arial"/>
                <w:sz w:val="24"/>
              </w:rPr>
            </w:pPr>
          </w:p>
        </w:tc>
        <w:tc>
          <w:tcPr>
            <w:tcW w:w="2306" w:type="dxa"/>
          </w:tcPr>
          <w:p w14:paraId="5D3E052B" w14:textId="62A26953" w:rsidR="00A74A24" w:rsidRPr="00150CD2" w:rsidRDefault="00A74A24" w:rsidP="00B01A9E">
            <w:pPr>
              <w:pStyle w:val="EYTableText"/>
              <w:rPr>
                <w:rFonts w:cs="Arial"/>
                <w:sz w:val="24"/>
              </w:rPr>
            </w:pPr>
            <w:r w:rsidRPr="00150CD2">
              <w:rPr>
                <w:rFonts w:cs="Arial"/>
                <w:sz w:val="24"/>
              </w:rPr>
              <w:t xml:space="preserve">Ambulatory sensitive </w:t>
            </w:r>
            <w:r w:rsidR="00A72643" w:rsidRPr="00150CD2">
              <w:rPr>
                <w:rFonts w:cs="Arial"/>
                <w:sz w:val="24"/>
              </w:rPr>
              <w:t xml:space="preserve">(avoidable) </w:t>
            </w:r>
            <w:r w:rsidRPr="00150CD2">
              <w:rPr>
                <w:rFonts w:cs="Arial"/>
                <w:sz w:val="24"/>
              </w:rPr>
              <w:t>hospitalisations</w:t>
            </w:r>
          </w:p>
        </w:tc>
        <w:tc>
          <w:tcPr>
            <w:tcW w:w="10079" w:type="dxa"/>
          </w:tcPr>
          <w:p w14:paraId="2F5938A2" w14:textId="5B613D89" w:rsidR="00A74A24" w:rsidRPr="00150CD2" w:rsidRDefault="00A74A24" w:rsidP="00D143A9">
            <w:pPr>
              <w:pStyle w:val="EYTablebullet1"/>
              <w:spacing w:before="0" w:after="120"/>
              <w:ind w:left="288" w:hanging="288"/>
              <w:rPr>
                <w:rFonts w:cs="Arial"/>
                <w:sz w:val="24"/>
              </w:rPr>
            </w:pPr>
            <w:r w:rsidRPr="00150CD2">
              <w:rPr>
                <w:rFonts w:cs="Arial"/>
                <w:sz w:val="24"/>
              </w:rPr>
              <w:t xml:space="preserve">Around 1 in </w:t>
            </w:r>
            <w:r w:rsidR="009E4EB8" w:rsidRPr="00150CD2">
              <w:rPr>
                <w:rFonts w:cs="Arial"/>
                <w:sz w:val="24"/>
              </w:rPr>
              <w:t>4</w:t>
            </w:r>
            <w:r w:rsidRPr="00150CD2">
              <w:rPr>
                <w:rFonts w:cs="Arial"/>
                <w:sz w:val="24"/>
              </w:rPr>
              <w:t xml:space="preserve"> children had ambulatory sensitive hospitalisations over </w:t>
            </w:r>
            <w:r w:rsidR="0024091A" w:rsidRPr="00150CD2">
              <w:rPr>
                <w:rFonts w:cs="Arial"/>
                <w:sz w:val="24"/>
              </w:rPr>
              <w:t>the 3 year period</w:t>
            </w:r>
            <w:r w:rsidRPr="00150CD2">
              <w:rPr>
                <w:rFonts w:cs="Arial"/>
                <w:sz w:val="24"/>
              </w:rPr>
              <w:t xml:space="preserve">. This was </w:t>
            </w:r>
            <w:r w:rsidR="00C609F6" w:rsidRPr="00150CD2">
              <w:rPr>
                <w:rFonts w:cs="Arial"/>
                <w:sz w:val="24"/>
              </w:rPr>
              <w:t>around</w:t>
            </w:r>
            <w:r w:rsidR="0024091A" w:rsidRPr="00150CD2">
              <w:rPr>
                <w:rFonts w:cs="Arial"/>
                <w:sz w:val="24"/>
              </w:rPr>
              <w:t xml:space="preserve"> 2.5</w:t>
            </w:r>
            <w:r w:rsidR="00CA4326" w:rsidRPr="00150CD2">
              <w:rPr>
                <w:rFonts w:cs="Arial"/>
                <w:sz w:val="24"/>
              </w:rPr>
              <w:t xml:space="preserve"> times</w:t>
            </w:r>
            <w:r w:rsidRPr="00150CD2">
              <w:rPr>
                <w:rFonts w:cs="Arial"/>
                <w:sz w:val="24"/>
              </w:rPr>
              <w:t xml:space="preserve"> the rate of the broader 0-4 year-old MidCentral child population. </w:t>
            </w:r>
          </w:p>
          <w:p w14:paraId="0CDE7BEA" w14:textId="5868E852" w:rsidR="00A74A24" w:rsidRPr="00150CD2" w:rsidRDefault="00B01A9E" w:rsidP="00D143A9">
            <w:pPr>
              <w:pStyle w:val="EYTablebullet1"/>
              <w:spacing w:before="0" w:after="120"/>
              <w:ind w:left="288" w:hanging="288"/>
              <w:rPr>
                <w:rFonts w:cs="Arial"/>
                <w:sz w:val="24"/>
              </w:rPr>
            </w:pPr>
            <w:r w:rsidRPr="00150CD2">
              <w:rPr>
                <w:rFonts w:cs="Arial"/>
                <w:sz w:val="24"/>
              </w:rPr>
              <w:t xml:space="preserve">For </w:t>
            </w:r>
            <w:r w:rsidR="00A74A24" w:rsidRPr="00150CD2">
              <w:rPr>
                <w:rFonts w:cs="Arial"/>
                <w:sz w:val="24"/>
              </w:rPr>
              <w:t>MidCentral</w:t>
            </w:r>
            <w:r w:rsidRPr="00150CD2">
              <w:rPr>
                <w:rFonts w:cs="Arial"/>
                <w:sz w:val="24"/>
              </w:rPr>
              <w:t xml:space="preserve"> DSS </w:t>
            </w:r>
            <w:r w:rsidR="00A74A24" w:rsidRPr="00150CD2">
              <w:rPr>
                <w:rFonts w:cs="Arial"/>
                <w:sz w:val="24"/>
              </w:rPr>
              <w:t>children</w:t>
            </w:r>
            <w:r w:rsidRPr="00150CD2">
              <w:rPr>
                <w:rFonts w:cs="Arial"/>
                <w:sz w:val="24"/>
              </w:rPr>
              <w:t xml:space="preserve">, </w:t>
            </w:r>
            <w:r w:rsidR="0024091A" w:rsidRPr="00150CD2">
              <w:rPr>
                <w:rFonts w:cs="Arial"/>
                <w:sz w:val="24"/>
              </w:rPr>
              <w:t xml:space="preserve">Māori children, </w:t>
            </w:r>
            <w:r w:rsidRPr="00150CD2">
              <w:rPr>
                <w:rFonts w:cs="Arial"/>
                <w:sz w:val="24"/>
              </w:rPr>
              <w:t>those</w:t>
            </w:r>
            <w:r w:rsidR="00A74A24" w:rsidRPr="00150CD2">
              <w:rPr>
                <w:rFonts w:cs="Arial"/>
                <w:sz w:val="24"/>
              </w:rPr>
              <w:t xml:space="preserve"> with an intellectual disability or with </w:t>
            </w:r>
            <w:r w:rsidR="00DF5F17" w:rsidRPr="00150CD2">
              <w:rPr>
                <w:rFonts w:cs="Arial"/>
                <w:sz w:val="24"/>
              </w:rPr>
              <w:t>high/very high SPA</w:t>
            </w:r>
            <w:r w:rsidR="00A74A24" w:rsidRPr="00150CD2">
              <w:rPr>
                <w:rFonts w:cs="Arial"/>
                <w:sz w:val="24"/>
              </w:rPr>
              <w:t xml:space="preserve"> levels were more likely to have had 2 or more ambulatory sensitive hospitalisations over the period.</w:t>
            </w:r>
          </w:p>
        </w:tc>
      </w:tr>
      <w:tr w:rsidR="000B12E6" w:rsidRPr="00150CD2" w14:paraId="6C234BC9" w14:textId="77777777" w:rsidTr="002D4BE0">
        <w:tc>
          <w:tcPr>
            <w:tcW w:w="1559" w:type="dxa"/>
            <w:tcBorders>
              <w:top w:val="nil"/>
              <w:bottom w:val="nil"/>
            </w:tcBorders>
          </w:tcPr>
          <w:p w14:paraId="1C033CDD" w14:textId="77777777" w:rsidR="000B12E6" w:rsidRPr="00150CD2" w:rsidRDefault="000B12E6" w:rsidP="000B12E6">
            <w:pPr>
              <w:pStyle w:val="EYTableText"/>
              <w:rPr>
                <w:rFonts w:cs="Arial"/>
                <w:sz w:val="24"/>
              </w:rPr>
            </w:pPr>
          </w:p>
        </w:tc>
        <w:tc>
          <w:tcPr>
            <w:tcW w:w="2306" w:type="dxa"/>
          </w:tcPr>
          <w:p w14:paraId="4342B690" w14:textId="182E33C1" w:rsidR="000B12E6" w:rsidRPr="00150CD2" w:rsidRDefault="000B12E6" w:rsidP="000B12E6">
            <w:pPr>
              <w:pStyle w:val="EYTableText"/>
              <w:rPr>
                <w:rFonts w:cs="Arial"/>
                <w:sz w:val="24"/>
              </w:rPr>
            </w:pPr>
            <w:r w:rsidRPr="00150CD2">
              <w:rPr>
                <w:rFonts w:cs="Arial"/>
                <w:sz w:val="24"/>
              </w:rPr>
              <w:t xml:space="preserve">Emergency Department </w:t>
            </w:r>
            <w:r w:rsidR="00AC14EB" w:rsidRPr="00150CD2">
              <w:rPr>
                <w:rFonts w:cs="Arial"/>
                <w:sz w:val="24"/>
              </w:rPr>
              <w:t xml:space="preserve">(ED) </w:t>
            </w:r>
            <w:r w:rsidRPr="00150CD2">
              <w:rPr>
                <w:rFonts w:cs="Arial"/>
                <w:sz w:val="24"/>
              </w:rPr>
              <w:t>contacts and injury related hospitalisations</w:t>
            </w:r>
          </w:p>
        </w:tc>
        <w:tc>
          <w:tcPr>
            <w:tcW w:w="10079" w:type="dxa"/>
          </w:tcPr>
          <w:p w14:paraId="3A0086B7" w14:textId="4F1DE695" w:rsidR="000B12E6" w:rsidRPr="00150CD2" w:rsidRDefault="009F7732" w:rsidP="00D143A9">
            <w:pPr>
              <w:pStyle w:val="EYTablebullet1"/>
              <w:spacing w:before="0" w:after="120"/>
              <w:ind w:left="288" w:hanging="288"/>
              <w:rPr>
                <w:rFonts w:cs="Arial"/>
                <w:sz w:val="24"/>
              </w:rPr>
            </w:pPr>
            <w:r w:rsidRPr="00150CD2">
              <w:rPr>
                <w:rFonts w:cs="Arial"/>
                <w:sz w:val="24"/>
              </w:rPr>
              <w:t>27</w:t>
            </w:r>
            <w:r w:rsidR="000B12E6" w:rsidRPr="00150CD2">
              <w:rPr>
                <w:rFonts w:cs="Arial"/>
                <w:sz w:val="24"/>
              </w:rPr>
              <w:t xml:space="preserve">% of children aged 0-4 years had </w:t>
            </w:r>
            <w:r w:rsidRPr="00150CD2">
              <w:rPr>
                <w:rFonts w:cs="Arial"/>
                <w:sz w:val="24"/>
              </w:rPr>
              <w:t>2</w:t>
            </w:r>
            <w:r w:rsidR="000B12E6" w:rsidRPr="00150CD2">
              <w:rPr>
                <w:rFonts w:cs="Arial"/>
                <w:sz w:val="24"/>
              </w:rPr>
              <w:t xml:space="preserve"> or more ED </w:t>
            </w:r>
            <w:r w:rsidR="00AC14EB" w:rsidRPr="00150CD2">
              <w:rPr>
                <w:rFonts w:cs="Arial"/>
                <w:sz w:val="24"/>
              </w:rPr>
              <w:t xml:space="preserve">contacts </w:t>
            </w:r>
            <w:r w:rsidR="001677EA" w:rsidRPr="00150CD2">
              <w:rPr>
                <w:rFonts w:cs="Arial"/>
                <w:sz w:val="24"/>
              </w:rPr>
              <w:t xml:space="preserve">over the </w:t>
            </w:r>
            <w:r w:rsidR="006C1B0A" w:rsidRPr="00150CD2">
              <w:rPr>
                <w:rFonts w:cs="Arial"/>
                <w:sz w:val="24"/>
              </w:rPr>
              <w:t xml:space="preserve">3 year </w:t>
            </w:r>
            <w:r w:rsidR="001677EA" w:rsidRPr="00150CD2">
              <w:rPr>
                <w:rFonts w:cs="Arial"/>
                <w:sz w:val="24"/>
              </w:rPr>
              <w:t>period</w:t>
            </w:r>
            <w:r w:rsidR="000B12E6" w:rsidRPr="00150CD2">
              <w:rPr>
                <w:rFonts w:cs="Arial"/>
                <w:sz w:val="24"/>
              </w:rPr>
              <w:t xml:space="preserve">, </w:t>
            </w:r>
            <w:r w:rsidRPr="00150CD2">
              <w:rPr>
                <w:rFonts w:cs="Arial"/>
                <w:sz w:val="24"/>
              </w:rPr>
              <w:t xml:space="preserve">nearly twice the proportion of </w:t>
            </w:r>
            <w:r w:rsidR="000B12E6" w:rsidRPr="00150CD2">
              <w:rPr>
                <w:rFonts w:cs="Arial"/>
                <w:sz w:val="24"/>
              </w:rPr>
              <w:t>other MidCentral 0-4 year-old children (</w:t>
            </w:r>
            <w:r w:rsidRPr="00150CD2">
              <w:rPr>
                <w:rFonts w:cs="Arial"/>
                <w:sz w:val="24"/>
              </w:rPr>
              <w:t>16</w:t>
            </w:r>
            <w:r w:rsidR="000B12E6" w:rsidRPr="00150CD2">
              <w:rPr>
                <w:rFonts w:cs="Arial"/>
                <w:sz w:val="24"/>
              </w:rPr>
              <w:t xml:space="preserve">% had </w:t>
            </w:r>
            <w:r w:rsidRPr="00150CD2">
              <w:rPr>
                <w:rFonts w:cs="Arial"/>
                <w:sz w:val="24"/>
              </w:rPr>
              <w:t>2</w:t>
            </w:r>
            <w:r w:rsidR="000B12E6" w:rsidRPr="00150CD2">
              <w:rPr>
                <w:rFonts w:cs="Arial"/>
                <w:sz w:val="24"/>
              </w:rPr>
              <w:t xml:space="preserve"> or more ED </w:t>
            </w:r>
            <w:r w:rsidR="00E03375" w:rsidRPr="00150CD2">
              <w:rPr>
                <w:rFonts w:cs="Arial"/>
                <w:sz w:val="24"/>
              </w:rPr>
              <w:t xml:space="preserve">contacts </w:t>
            </w:r>
            <w:r w:rsidR="000B12E6" w:rsidRPr="00150CD2">
              <w:rPr>
                <w:rFonts w:cs="Arial"/>
                <w:sz w:val="24"/>
              </w:rPr>
              <w:t xml:space="preserve">over the same period). </w:t>
            </w:r>
          </w:p>
          <w:p w14:paraId="413CE2A3" w14:textId="05D7E828" w:rsidR="000B12E6" w:rsidRPr="00150CD2" w:rsidRDefault="000B12E6" w:rsidP="00E03375">
            <w:pPr>
              <w:pStyle w:val="EYTablebullet1"/>
              <w:numPr>
                <w:ilvl w:val="0"/>
                <w:numId w:val="0"/>
              </w:numPr>
              <w:spacing w:before="0" w:after="120"/>
              <w:ind w:left="288"/>
              <w:rPr>
                <w:rFonts w:cs="Arial"/>
                <w:sz w:val="24"/>
              </w:rPr>
            </w:pPr>
            <w:r w:rsidRPr="00150CD2">
              <w:rPr>
                <w:rFonts w:cs="Arial"/>
                <w:sz w:val="24"/>
              </w:rPr>
              <w:t xml:space="preserve">Children aged 0-4 with an intellectual disability or with </w:t>
            </w:r>
            <w:r w:rsidR="00DF5F17" w:rsidRPr="00150CD2">
              <w:rPr>
                <w:rFonts w:cs="Arial"/>
                <w:sz w:val="24"/>
              </w:rPr>
              <w:t>high/very high SPA</w:t>
            </w:r>
            <w:r w:rsidRPr="00150CD2">
              <w:rPr>
                <w:rFonts w:cs="Arial"/>
                <w:sz w:val="24"/>
              </w:rPr>
              <w:t xml:space="preserve"> levels were </w:t>
            </w:r>
            <w:r w:rsidR="006C1B0A" w:rsidRPr="00150CD2">
              <w:rPr>
                <w:rFonts w:cs="Arial"/>
                <w:sz w:val="24"/>
              </w:rPr>
              <w:t xml:space="preserve">around twice as </w:t>
            </w:r>
            <w:r w:rsidRPr="00150CD2">
              <w:rPr>
                <w:rFonts w:cs="Arial"/>
                <w:sz w:val="24"/>
              </w:rPr>
              <w:t xml:space="preserve">likely to have had </w:t>
            </w:r>
            <w:r w:rsidR="009F7732" w:rsidRPr="00150CD2">
              <w:rPr>
                <w:rFonts w:cs="Arial"/>
                <w:sz w:val="24"/>
              </w:rPr>
              <w:t>2</w:t>
            </w:r>
            <w:r w:rsidRPr="00150CD2">
              <w:rPr>
                <w:rFonts w:cs="Arial"/>
                <w:sz w:val="24"/>
              </w:rPr>
              <w:t xml:space="preserve"> or more ED </w:t>
            </w:r>
            <w:r w:rsidR="00E03375" w:rsidRPr="00150CD2">
              <w:rPr>
                <w:rFonts w:cs="Arial"/>
                <w:sz w:val="24"/>
              </w:rPr>
              <w:t xml:space="preserve">contacts </w:t>
            </w:r>
            <w:r w:rsidRPr="00150CD2">
              <w:rPr>
                <w:rFonts w:cs="Arial"/>
                <w:sz w:val="24"/>
              </w:rPr>
              <w:t>than children allocated DSS aged 0-4 without an intellectual disability or low</w:t>
            </w:r>
            <w:r w:rsidR="006C1B0A" w:rsidRPr="00150CD2">
              <w:rPr>
                <w:rFonts w:cs="Arial"/>
                <w:sz w:val="24"/>
              </w:rPr>
              <w:t xml:space="preserve"> to medium</w:t>
            </w:r>
            <w:r w:rsidRPr="00150CD2">
              <w:rPr>
                <w:rFonts w:cs="Arial"/>
                <w:sz w:val="24"/>
              </w:rPr>
              <w:t xml:space="preserve"> SPA levels.</w:t>
            </w:r>
          </w:p>
          <w:p w14:paraId="57CF5DFB" w14:textId="02BA4B35" w:rsidR="000B12E6" w:rsidRPr="00150CD2" w:rsidRDefault="000B12E6" w:rsidP="00D143A9">
            <w:pPr>
              <w:pStyle w:val="EYTablebullet1"/>
              <w:spacing w:before="0" w:after="120"/>
              <w:ind w:left="288" w:hanging="288"/>
              <w:rPr>
                <w:rFonts w:cs="Arial"/>
                <w:sz w:val="24"/>
              </w:rPr>
            </w:pPr>
            <w:r w:rsidRPr="00150CD2">
              <w:rPr>
                <w:rFonts w:cs="Arial"/>
                <w:sz w:val="24"/>
              </w:rPr>
              <w:t xml:space="preserve">1 in 5 had an </w:t>
            </w:r>
            <w:r w:rsidR="002476E9" w:rsidRPr="00150CD2">
              <w:rPr>
                <w:rFonts w:cs="Arial"/>
                <w:sz w:val="24"/>
              </w:rPr>
              <w:t>injury</w:t>
            </w:r>
            <w:r w:rsidRPr="00150CD2">
              <w:rPr>
                <w:rFonts w:cs="Arial"/>
                <w:sz w:val="24"/>
              </w:rPr>
              <w:t>-related ED contact over a 3 year period. This was similar to rates of contact by other MidCentral and DSS children aged 0-4.</w:t>
            </w:r>
          </w:p>
          <w:p w14:paraId="716288B4" w14:textId="09C77997" w:rsidR="000B12E6" w:rsidRPr="00150CD2" w:rsidRDefault="000B12E6" w:rsidP="00D143A9">
            <w:pPr>
              <w:pStyle w:val="EYTablebullet1"/>
              <w:spacing w:before="0" w:after="120"/>
              <w:ind w:left="288" w:hanging="288"/>
              <w:rPr>
                <w:rFonts w:cs="Arial"/>
                <w:sz w:val="24"/>
              </w:rPr>
            </w:pPr>
            <w:r w:rsidRPr="00150CD2">
              <w:rPr>
                <w:rFonts w:cs="Arial"/>
                <w:sz w:val="24"/>
              </w:rPr>
              <w:t>A small proportion (</w:t>
            </w:r>
            <w:r w:rsidR="0002408D" w:rsidRPr="00150CD2">
              <w:rPr>
                <w:rFonts w:cs="Arial"/>
                <w:sz w:val="24"/>
              </w:rPr>
              <w:t>11</w:t>
            </w:r>
            <w:r w:rsidRPr="00150CD2">
              <w:rPr>
                <w:rFonts w:cs="Arial"/>
                <w:sz w:val="24"/>
              </w:rPr>
              <w:t xml:space="preserve">%) had an injury-related hospital treatment over a 3 year period, </w:t>
            </w:r>
            <w:r w:rsidR="0002408D" w:rsidRPr="00150CD2">
              <w:rPr>
                <w:rFonts w:cs="Arial"/>
                <w:sz w:val="24"/>
              </w:rPr>
              <w:t xml:space="preserve">slightly higher than rates </w:t>
            </w:r>
            <w:r w:rsidRPr="00150CD2">
              <w:rPr>
                <w:rFonts w:cs="Arial"/>
                <w:sz w:val="24"/>
              </w:rPr>
              <w:t xml:space="preserve">experienced by other DSS children </w:t>
            </w:r>
            <w:r w:rsidR="00A90AA3" w:rsidRPr="00150CD2">
              <w:rPr>
                <w:rFonts w:cs="Arial"/>
                <w:sz w:val="24"/>
              </w:rPr>
              <w:t xml:space="preserve">nationally </w:t>
            </w:r>
            <w:r w:rsidRPr="00150CD2">
              <w:rPr>
                <w:rFonts w:cs="Arial"/>
                <w:sz w:val="24"/>
              </w:rPr>
              <w:t>and higher (</w:t>
            </w:r>
            <w:r w:rsidR="0002408D" w:rsidRPr="00150CD2">
              <w:rPr>
                <w:rFonts w:cs="Arial"/>
                <w:sz w:val="24"/>
              </w:rPr>
              <w:t>2</w:t>
            </w:r>
            <w:r w:rsidR="00B60DAB" w:rsidRPr="00150CD2">
              <w:rPr>
                <w:rFonts w:cs="Arial"/>
                <w:sz w:val="24"/>
              </w:rPr>
              <w:t xml:space="preserve"> times</w:t>
            </w:r>
            <w:r w:rsidRPr="00150CD2">
              <w:rPr>
                <w:rFonts w:cs="Arial"/>
                <w:sz w:val="24"/>
              </w:rPr>
              <w:t xml:space="preserve">) than </w:t>
            </w:r>
            <w:r w:rsidR="0002408D" w:rsidRPr="00150CD2">
              <w:rPr>
                <w:rFonts w:cs="Arial"/>
                <w:sz w:val="24"/>
              </w:rPr>
              <w:t xml:space="preserve">injury-related </w:t>
            </w:r>
            <w:r w:rsidRPr="00150CD2">
              <w:rPr>
                <w:rFonts w:cs="Arial"/>
                <w:sz w:val="24"/>
              </w:rPr>
              <w:t>hospitalisation rates for non-DSS children in MidCentral.</w:t>
            </w:r>
          </w:p>
        </w:tc>
      </w:tr>
      <w:tr w:rsidR="000B12E6" w:rsidRPr="00150CD2" w14:paraId="0605392C" w14:textId="77777777" w:rsidTr="002D4BE0">
        <w:tc>
          <w:tcPr>
            <w:tcW w:w="1559" w:type="dxa"/>
            <w:tcBorders>
              <w:top w:val="nil"/>
              <w:bottom w:val="single" w:sz="4" w:space="0" w:color="auto"/>
            </w:tcBorders>
          </w:tcPr>
          <w:p w14:paraId="6D16113B" w14:textId="77777777" w:rsidR="000B12E6" w:rsidRPr="00150CD2" w:rsidRDefault="000B12E6" w:rsidP="000B12E6">
            <w:pPr>
              <w:pStyle w:val="EYTableText"/>
              <w:rPr>
                <w:rFonts w:cs="Arial"/>
                <w:sz w:val="24"/>
              </w:rPr>
            </w:pPr>
          </w:p>
        </w:tc>
        <w:tc>
          <w:tcPr>
            <w:tcW w:w="2306" w:type="dxa"/>
          </w:tcPr>
          <w:p w14:paraId="02A00923" w14:textId="770931C5" w:rsidR="000B12E6" w:rsidRPr="00150CD2" w:rsidRDefault="000B12E6" w:rsidP="000B12E6">
            <w:pPr>
              <w:pStyle w:val="EYTableText"/>
              <w:rPr>
                <w:rFonts w:cs="Arial"/>
                <w:sz w:val="24"/>
              </w:rPr>
            </w:pPr>
            <w:r w:rsidRPr="00150CD2">
              <w:rPr>
                <w:rFonts w:cs="Arial"/>
                <w:sz w:val="24"/>
              </w:rPr>
              <w:t>Oranga Tamariki contact</w:t>
            </w:r>
          </w:p>
        </w:tc>
        <w:tc>
          <w:tcPr>
            <w:tcW w:w="10079" w:type="dxa"/>
          </w:tcPr>
          <w:p w14:paraId="230174F4" w14:textId="0D8972BB" w:rsidR="00451F79" w:rsidRPr="00150CD2" w:rsidRDefault="00451F79" w:rsidP="00451F79">
            <w:pPr>
              <w:pStyle w:val="EYTableText"/>
              <w:spacing w:before="0" w:after="120"/>
              <w:rPr>
                <w:rFonts w:cs="Arial"/>
                <w:i/>
                <w:iCs/>
                <w:sz w:val="24"/>
              </w:rPr>
            </w:pPr>
            <w:r w:rsidRPr="00150CD2">
              <w:rPr>
                <w:rFonts w:cs="Arial"/>
                <w:i/>
                <w:iCs/>
                <w:sz w:val="24"/>
              </w:rPr>
              <w:t>The following observations should be treated as estimates and care taken in interpretation</w:t>
            </w:r>
            <w:r w:rsidR="00DE70E0" w:rsidRPr="00150CD2">
              <w:rPr>
                <w:rFonts w:cs="Arial"/>
                <w:i/>
                <w:iCs/>
                <w:sz w:val="24"/>
              </w:rPr>
              <w:t>,</w:t>
            </w:r>
            <w:r w:rsidRPr="00150CD2">
              <w:rPr>
                <w:rFonts w:cs="Arial"/>
                <w:i/>
                <w:iCs/>
                <w:sz w:val="24"/>
              </w:rPr>
              <w:t xml:space="preserve"> due to the small number of children who experienced Oranga Tamariki contact. </w:t>
            </w:r>
          </w:p>
          <w:p w14:paraId="7716C1B9" w14:textId="5D6254B4" w:rsidR="000B12E6" w:rsidRPr="00150CD2" w:rsidRDefault="000B12E6" w:rsidP="00D143A9">
            <w:pPr>
              <w:pStyle w:val="EYTablebullet1"/>
              <w:spacing w:before="0" w:after="120"/>
              <w:ind w:left="288" w:hanging="288"/>
              <w:rPr>
                <w:rFonts w:cs="Arial"/>
                <w:sz w:val="24"/>
              </w:rPr>
            </w:pPr>
            <w:r w:rsidRPr="00150CD2">
              <w:rPr>
                <w:rFonts w:cs="Arial"/>
                <w:sz w:val="24"/>
              </w:rPr>
              <w:t xml:space="preserve">Around </w:t>
            </w:r>
            <w:r w:rsidR="0002408D" w:rsidRPr="00150CD2">
              <w:rPr>
                <w:rFonts w:cs="Arial"/>
                <w:sz w:val="24"/>
              </w:rPr>
              <w:t>16</w:t>
            </w:r>
            <w:r w:rsidRPr="00150CD2">
              <w:rPr>
                <w:rFonts w:cs="Arial"/>
                <w:sz w:val="24"/>
              </w:rPr>
              <w:t>% of children were involved in reports of concern to O</w:t>
            </w:r>
            <w:r w:rsidR="00475C1E" w:rsidRPr="00150CD2">
              <w:rPr>
                <w:rFonts w:cs="Arial"/>
                <w:sz w:val="24"/>
              </w:rPr>
              <w:t xml:space="preserve">ranga </w:t>
            </w:r>
            <w:r w:rsidRPr="00150CD2">
              <w:rPr>
                <w:rFonts w:cs="Arial"/>
                <w:sz w:val="24"/>
              </w:rPr>
              <w:t>T</w:t>
            </w:r>
            <w:r w:rsidR="00475C1E" w:rsidRPr="00150CD2">
              <w:rPr>
                <w:rFonts w:cs="Arial"/>
                <w:sz w:val="24"/>
              </w:rPr>
              <w:t>amariki</w:t>
            </w:r>
            <w:r w:rsidRPr="00150CD2">
              <w:rPr>
                <w:rFonts w:cs="Arial"/>
                <w:sz w:val="24"/>
              </w:rPr>
              <w:t xml:space="preserve"> over the period. This reporting rate was similar to that of other DSS children aged 0-4 </w:t>
            </w:r>
            <w:r w:rsidR="00DE70E0" w:rsidRPr="00150CD2">
              <w:rPr>
                <w:rFonts w:cs="Arial"/>
                <w:sz w:val="24"/>
              </w:rPr>
              <w:t xml:space="preserve">(18%) </w:t>
            </w:r>
            <w:r w:rsidR="0002408D" w:rsidRPr="00150CD2">
              <w:rPr>
                <w:rFonts w:cs="Arial"/>
                <w:sz w:val="24"/>
              </w:rPr>
              <w:t xml:space="preserve">and for </w:t>
            </w:r>
            <w:r w:rsidRPr="00150CD2">
              <w:rPr>
                <w:rFonts w:cs="Arial"/>
                <w:sz w:val="24"/>
              </w:rPr>
              <w:t>the broader 0-4 year old child population in MidCentral (14%).</w:t>
            </w:r>
          </w:p>
          <w:p w14:paraId="3F12C45A" w14:textId="1C65828F" w:rsidR="000B12E6" w:rsidRPr="00150CD2" w:rsidRDefault="000B12E6" w:rsidP="00D143A9">
            <w:pPr>
              <w:pStyle w:val="EYTablebullet1"/>
              <w:spacing w:before="0" w:after="120"/>
              <w:ind w:left="288" w:hanging="288"/>
              <w:rPr>
                <w:rFonts w:cs="Arial"/>
                <w:sz w:val="24"/>
              </w:rPr>
            </w:pPr>
            <w:r w:rsidRPr="00150CD2">
              <w:rPr>
                <w:rFonts w:cs="Arial"/>
                <w:sz w:val="24"/>
              </w:rPr>
              <w:t>A very small proportion (</w:t>
            </w:r>
            <w:r w:rsidR="00DE70E0" w:rsidRPr="00150CD2">
              <w:rPr>
                <w:rFonts w:cs="Arial"/>
                <w:sz w:val="24"/>
              </w:rPr>
              <w:t xml:space="preserve">less than </w:t>
            </w:r>
            <w:r w:rsidRPr="00150CD2">
              <w:rPr>
                <w:rFonts w:cs="Arial"/>
                <w:sz w:val="24"/>
              </w:rPr>
              <w:t xml:space="preserve">2%) were involved in statutory </w:t>
            </w:r>
            <w:r w:rsidR="00D03898" w:rsidRPr="00150CD2">
              <w:rPr>
                <w:rFonts w:cs="Arial"/>
                <w:sz w:val="24"/>
              </w:rPr>
              <w:t xml:space="preserve">Care </w:t>
            </w:r>
            <w:r w:rsidR="00961B68" w:rsidRPr="00150CD2">
              <w:rPr>
                <w:rFonts w:cs="Arial"/>
                <w:sz w:val="24"/>
              </w:rPr>
              <w:t>and</w:t>
            </w:r>
            <w:r w:rsidR="006D2F4A" w:rsidRPr="00150CD2">
              <w:rPr>
                <w:rFonts w:cs="Arial"/>
                <w:sz w:val="24"/>
              </w:rPr>
              <w:t xml:space="preserve"> </w:t>
            </w:r>
            <w:r w:rsidRPr="00150CD2">
              <w:rPr>
                <w:rFonts w:cs="Arial"/>
                <w:sz w:val="24"/>
              </w:rPr>
              <w:t xml:space="preserve">Protection, </w:t>
            </w:r>
            <w:r w:rsidR="008459FD" w:rsidRPr="00150CD2">
              <w:rPr>
                <w:rFonts w:cs="Arial"/>
                <w:sz w:val="24"/>
              </w:rPr>
              <w:t xml:space="preserve">similar to both </w:t>
            </w:r>
            <w:r w:rsidRPr="00150CD2">
              <w:rPr>
                <w:rFonts w:cs="Arial"/>
                <w:sz w:val="24"/>
              </w:rPr>
              <w:t xml:space="preserve">the non-DSS MidCentral child population and </w:t>
            </w:r>
            <w:r w:rsidR="008459FD" w:rsidRPr="00150CD2">
              <w:rPr>
                <w:rFonts w:cs="Arial"/>
                <w:sz w:val="24"/>
              </w:rPr>
              <w:t xml:space="preserve">other </w:t>
            </w:r>
            <w:r w:rsidRPr="00150CD2">
              <w:rPr>
                <w:rFonts w:cs="Arial"/>
                <w:sz w:val="24"/>
              </w:rPr>
              <w:t>DSS children outside MidCentral.</w:t>
            </w:r>
          </w:p>
          <w:p w14:paraId="4E038B22" w14:textId="5386531C" w:rsidR="000B12E6" w:rsidRPr="00150CD2" w:rsidRDefault="000B12E6" w:rsidP="00D143A9">
            <w:pPr>
              <w:pStyle w:val="EYTablebullet1"/>
              <w:spacing w:before="0" w:after="120"/>
              <w:ind w:left="288" w:hanging="288"/>
              <w:rPr>
                <w:rFonts w:cs="Arial"/>
                <w:sz w:val="24"/>
              </w:rPr>
            </w:pPr>
            <w:r w:rsidRPr="00150CD2">
              <w:rPr>
                <w:rFonts w:cs="Arial"/>
                <w:sz w:val="24"/>
              </w:rPr>
              <w:t>Around 1</w:t>
            </w:r>
            <w:r w:rsidR="008459FD" w:rsidRPr="00150CD2">
              <w:rPr>
                <w:rFonts w:cs="Arial"/>
                <w:sz w:val="24"/>
              </w:rPr>
              <w:t>4</w:t>
            </w:r>
            <w:r w:rsidRPr="00150CD2">
              <w:rPr>
                <w:rFonts w:cs="Arial"/>
                <w:sz w:val="24"/>
              </w:rPr>
              <w:t xml:space="preserve">% of children were involved in Police Family Violence </w:t>
            </w:r>
            <w:r w:rsidR="00E73FA7" w:rsidRPr="00150CD2">
              <w:rPr>
                <w:rFonts w:cs="Arial"/>
                <w:sz w:val="24"/>
              </w:rPr>
              <w:t xml:space="preserve">Centre </w:t>
            </w:r>
            <w:r w:rsidRPr="00150CD2">
              <w:rPr>
                <w:rFonts w:cs="Arial"/>
                <w:sz w:val="24"/>
              </w:rPr>
              <w:t>notifications to O</w:t>
            </w:r>
            <w:r w:rsidR="00360AEB" w:rsidRPr="00150CD2">
              <w:rPr>
                <w:rFonts w:cs="Arial"/>
                <w:sz w:val="24"/>
              </w:rPr>
              <w:t xml:space="preserve">ranga </w:t>
            </w:r>
            <w:r w:rsidRPr="00150CD2">
              <w:rPr>
                <w:rFonts w:cs="Arial"/>
                <w:sz w:val="24"/>
              </w:rPr>
              <w:t>T</w:t>
            </w:r>
            <w:r w:rsidR="00360AEB" w:rsidRPr="00150CD2">
              <w:rPr>
                <w:rFonts w:cs="Arial"/>
                <w:sz w:val="24"/>
              </w:rPr>
              <w:t>amariki</w:t>
            </w:r>
            <w:r w:rsidRPr="00150CD2">
              <w:rPr>
                <w:rFonts w:cs="Arial"/>
                <w:sz w:val="24"/>
              </w:rPr>
              <w:t xml:space="preserve"> over the period. This rate was </w:t>
            </w:r>
            <w:r w:rsidR="00451F79" w:rsidRPr="00150CD2">
              <w:rPr>
                <w:rFonts w:cs="Arial"/>
                <w:sz w:val="24"/>
              </w:rPr>
              <w:t>higher than for</w:t>
            </w:r>
            <w:r w:rsidRPr="00150CD2">
              <w:rPr>
                <w:rFonts w:cs="Arial"/>
                <w:sz w:val="24"/>
              </w:rPr>
              <w:t xml:space="preserve"> other DSS children outside MidCentral </w:t>
            </w:r>
            <w:r w:rsidR="00451F79" w:rsidRPr="00150CD2">
              <w:rPr>
                <w:rFonts w:cs="Arial"/>
                <w:sz w:val="24"/>
              </w:rPr>
              <w:t xml:space="preserve">(10%) </w:t>
            </w:r>
            <w:r w:rsidRPr="00150CD2">
              <w:rPr>
                <w:rFonts w:cs="Arial"/>
                <w:sz w:val="24"/>
              </w:rPr>
              <w:t>and to non-DSS children in MidCentral</w:t>
            </w:r>
            <w:r w:rsidR="008459FD" w:rsidRPr="00150CD2">
              <w:rPr>
                <w:rFonts w:cs="Arial"/>
                <w:sz w:val="24"/>
              </w:rPr>
              <w:t xml:space="preserve"> (10%)</w:t>
            </w:r>
            <w:r w:rsidR="00DE70E0" w:rsidRPr="00150CD2">
              <w:rPr>
                <w:rFonts w:cs="Arial"/>
                <w:sz w:val="24"/>
              </w:rPr>
              <w:t xml:space="preserve">, although </w:t>
            </w:r>
            <w:r w:rsidR="00205B66" w:rsidRPr="00150CD2">
              <w:rPr>
                <w:rFonts w:cs="Arial"/>
                <w:sz w:val="24"/>
              </w:rPr>
              <w:t xml:space="preserve">it is noted that this difference is not statistically significant as </w:t>
            </w:r>
            <w:r w:rsidR="00DE70E0" w:rsidRPr="00150CD2">
              <w:rPr>
                <w:rFonts w:cs="Arial"/>
                <w:sz w:val="24"/>
              </w:rPr>
              <w:t>the number of children involved is small and notification rates for this group vary from year to year.</w:t>
            </w:r>
          </w:p>
          <w:p w14:paraId="508B2B34" w14:textId="17504E87" w:rsidR="000B12E6" w:rsidRPr="00150CD2" w:rsidRDefault="000B12E6" w:rsidP="00D143A9">
            <w:pPr>
              <w:pStyle w:val="EYTablebullet1"/>
              <w:spacing w:before="0" w:after="120"/>
              <w:ind w:left="288" w:hanging="288"/>
              <w:rPr>
                <w:rFonts w:cs="Arial"/>
                <w:sz w:val="24"/>
              </w:rPr>
            </w:pPr>
            <w:r w:rsidRPr="00150CD2">
              <w:rPr>
                <w:rFonts w:cs="Arial"/>
                <w:sz w:val="24"/>
              </w:rPr>
              <w:t xml:space="preserve">Within the group of MidCentral DSS children aged 0-4 years, </w:t>
            </w:r>
            <w:r w:rsidR="008F1F8C" w:rsidRPr="00150CD2">
              <w:rPr>
                <w:rFonts w:cs="Arial"/>
                <w:sz w:val="24"/>
              </w:rPr>
              <w:t>O</w:t>
            </w:r>
            <w:r w:rsidR="00BF0005" w:rsidRPr="00150CD2">
              <w:rPr>
                <w:rFonts w:cs="Arial"/>
                <w:sz w:val="24"/>
              </w:rPr>
              <w:t xml:space="preserve">ranga </w:t>
            </w:r>
            <w:r w:rsidR="008F1F8C" w:rsidRPr="00150CD2">
              <w:rPr>
                <w:rFonts w:cs="Arial"/>
                <w:sz w:val="24"/>
              </w:rPr>
              <w:t>T</w:t>
            </w:r>
            <w:r w:rsidR="00BF0005" w:rsidRPr="00150CD2">
              <w:rPr>
                <w:rFonts w:cs="Arial"/>
                <w:sz w:val="24"/>
              </w:rPr>
              <w:t>amariki</w:t>
            </w:r>
            <w:r w:rsidR="008F1F8C" w:rsidRPr="00150CD2">
              <w:rPr>
                <w:rFonts w:cs="Arial"/>
                <w:sz w:val="24"/>
              </w:rPr>
              <w:t xml:space="preserve"> </w:t>
            </w:r>
            <w:r w:rsidRPr="00150CD2">
              <w:rPr>
                <w:rFonts w:cs="Arial"/>
                <w:sz w:val="24"/>
              </w:rPr>
              <w:t xml:space="preserve">reporting rates were </w:t>
            </w:r>
            <w:r w:rsidR="008459FD" w:rsidRPr="00150CD2">
              <w:rPr>
                <w:rFonts w:cs="Arial"/>
                <w:sz w:val="24"/>
              </w:rPr>
              <w:t xml:space="preserve">higher for those with intellectual disabilities and </w:t>
            </w:r>
            <w:r w:rsidR="00DF5F17" w:rsidRPr="00150CD2">
              <w:rPr>
                <w:rFonts w:cs="Arial"/>
                <w:sz w:val="24"/>
              </w:rPr>
              <w:t>high/very high SPA</w:t>
            </w:r>
            <w:r w:rsidR="008459FD" w:rsidRPr="00150CD2">
              <w:rPr>
                <w:rFonts w:cs="Arial"/>
                <w:sz w:val="24"/>
              </w:rPr>
              <w:t xml:space="preserve"> levels and</w:t>
            </w:r>
            <w:r w:rsidR="0097529F" w:rsidRPr="00150CD2">
              <w:rPr>
                <w:rFonts w:cs="Arial"/>
                <w:sz w:val="24"/>
              </w:rPr>
              <w:t xml:space="preserve"> </w:t>
            </w:r>
            <w:r w:rsidR="00974AD3" w:rsidRPr="00150CD2">
              <w:rPr>
                <w:rFonts w:cs="Arial"/>
                <w:sz w:val="24"/>
              </w:rPr>
              <w:t xml:space="preserve">generally </w:t>
            </w:r>
            <w:r w:rsidR="008459FD" w:rsidRPr="00150CD2">
              <w:rPr>
                <w:rFonts w:cs="Arial"/>
                <w:sz w:val="24"/>
              </w:rPr>
              <w:t>similar for Māori and non-Māori children.</w:t>
            </w:r>
          </w:p>
        </w:tc>
      </w:tr>
      <w:tr w:rsidR="00EC1524" w:rsidRPr="00150CD2" w14:paraId="51C9AB5B" w14:textId="77777777" w:rsidTr="002D4BE0">
        <w:tc>
          <w:tcPr>
            <w:tcW w:w="1559" w:type="dxa"/>
            <w:tcBorders>
              <w:bottom w:val="nil"/>
            </w:tcBorders>
          </w:tcPr>
          <w:p w14:paraId="5C90BE9E" w14:textId="77777777" w:rsidR="00EC1524" w:rsidRPr="00150CD2" w:rsidRDefault="00EC1524" w:rsidP="00EC1524">
            <w:pPr>
              <w:pStyle w:val="EYTableText"/>
              <w:rPr>
                <w:rFonts w:cs="Arial"/>
                <w:sz w:val="24"/>
              </w:rPr>
            </w:pPr>
            <w:r w:rsidRPr="00150CD2">
              <w:rPr>
                <w:rFonts w:cs="Arial"/>
                <w:sz w:val="24"/>
              </w:rPr>
              <w:t>Parents / family / whānau</w:t>
            </w:r>
          </w:p>
        </w:tc>
        <w:tc>
          <w:tcPr>
            <w:tcW w:w="2306" w:type="dxa"/>
          </w:tcPr>
          <w:p w14:paraId="37ED9D0C" w14:textId="496B497D" w:rsidR="00EC1524" w:rsidRPr="00150CD2" w:rsidRDefault="00EC1524" w:rsidP="00EC1524">
            <w:pPr>
              <w:pStyle w:val="EYTableText"/>
              <w:rPr>
                <w:rFonts w:cs="Arial"/>
                <w:sz w:val="24"/>
              </w:rPr>
            </w:pPr>
            <w:r w:rsidRPr="00150CD2">
              <w:rPr>
                <w:rFonts w:cs="Arial"/>
                <w:sz w:val="24"/>
              </w:rPr>
              <w:t>Family units and parental employment</w:t>
            </w:r>
          </w:p>
        </w:tc>
        <w:tc>
          <w:tcPr>
            <w:tcW w:w="10079" w:type="dxa"/>
          </w:tcPr>
          <w:p w14:paraId="47A81F90" w14:textId="537CF576" w:rsidR="00DB314F" w:rsidRPr="00150CD2" w:rsidRDefault="00DB314F" w:rsidP="00D143A9">
            <w:pPr>
              <w:pStyle w:val="EYTableText"/>
              <w:spacing w:before="0" w:after="120"/>
              <w:rPr>
                <w:rFonts w:cs="Arial"/>
                <w:i/>
                <w:iCs/>
                <w:sz w:val="24"/>
              </w:rPr>
            </w:pPr>
            <w:r w:rsidRPr="00150CD2">
              <w:rPr>
                <w:rFonts w:cs="Arial"/>
                <w:i/>
                <w:iCs/>
                <w:sz w:val="24"/>
              </w:rPr>
              <w:t xml:space="preserve">The following observations around family units should be treated as estimates and care taken in interpretation, due to limitations around the coverage of relationship records in administrative data. Refer to </w:t>
            </w:r>
            <w:r w:rsidRPr="00150CD2">
              <w:rPr>
                <w:rFonts w:cs="Arial"/>
                <w:i/>
                <w:iCs/>
                <w:sz w:val="24"/>
              </w:rPr>
              <w:fldChar w:fldCharType="begin"/>
            </w:r>
            <w:r w:rsidRPr="00150CD2">
              <w:rPr>
                <w:rFonts w:cs="Arial"/>
                <w:i/>
                <w:iCs/>
                <w:sz w:val="24"/>
              </w:rPr>
              <w:instrText xml:space="preserve"> REF _Ref44353599 \r \h  \* MERGEFORMAT </w:instrText>
            </w:r>
            <w:r w:rsidRPr="00150CD2">
              <w:rPr>
                <w:rFonts w:cs="Arial"/>
                <w:i/>
                <w:iCs/>
                <w:sz w:val="24"/>
              </w:rPr>
            </w:r>
            <w:r w:rsidRPr="00150CD2">
              <w:rPr>
                <w:rFonts w:cs="Arial"/>
                <w:i/>
                <w:iCs/>
                <w:sz w:val="24"/>
              </w:rPr>
              <w:fldChar w:fldCharType="separate"/>
            </w:r>
            <w:r w:rsidR="00053D9A" w:rsidRPr="00150CD2">
              <w:rPr>
                <w:rFonts w:cs="Arial"/>
                <w:i/>
                <w:iCs/>
                <w:sz w:val="24"/>
              </w:rPr>
              <w:t>Appendix D</w:t>
            </w:r>
            <w:r w:rsidRPr="00150CD2">
              <w:rPr>
                <w:rFonts w:cs="Arial"/>
                <w:i/>
                <w:iCs/>
                <w:sz w:val="24"/>
              </w:rPr>
              <w:fldChar w:fldCharType="end"/>
            </w:r>
            <w:r w:rsidRPr="00150CD2">
              <w:rPr>
                <w:rFonts w:cs="Arial"/>
                <w:i/>
                <w:iCs/>
                <w:sz w:val="24"/>
              </w:rPr>
              <w:t xml:space="preserve"> for further information.</w:t>
            </w:r>
          </w:p>
          <w:p w14:paraId="33EF1FDF" w14:textId="7CF11463" w:rsidR="00EC1524" w:rsidRPr="00150CD2" w:rsidRDefault="00EC1524" w:rsidP="00D143A9">
            <w:pPr>
              <w:pStyle w:val="EYTableText"/>
              <w:spacing w:before="0" w:after="120"/>
              <w:rPr>
                <w:rFonts w:cs="Arial"/>
                <w:sz w:val="24"/>
              </w:rPr>
            </w:pPr>
            <w:r w:rsidRPr="00150CD2">
              <w:rPr>
                <w:rFonts w:cs="Arial"/>
                <w:sz w:val="24"/>
              </w:rPr>
              <w:t xml:space="preserve">For 0-4 year old DSS children in MidCentral </w:t>
            </w:r>
            <w:r w:rsidR="00DE3929" w:rsidRPr="00150CD2">
              <w:rPr>
                <w:rFonts w:cs="Arial"/>
                <w:sz w:val="24"/>
              </w:rPr>
              <w:t xml:space="preserve">as </w:t>
            </w:r>
            <w:r w:rsidRPr="00150CD2">
              <w:rPr>
                <w:rFonts w:cs="Arial"/>
                <w:sz w:val="24"/>
              </w:rPr>
              <w:t>at June 2018:</w:t>
            </w:r>
          </w:p>
          <w:p w14:paraId="77A67138" w14:textId="02F2F01A" w:rsidR="00EC1524" w:rsidRPr="00150CD2" w:rsidRDefault="00EC1524" w:rsidP="00D143A9">
            <w:pPr>
              <w:pStyle w:val="EYTablebullet1"/>
              <w:spacing w:before="0" w:after="120"/>
              <w:ind w:left="288" w:hanging="288"/>
              <w:rPr>
                <w:rFonts w:cs="Arial"/>
                <w:sz w:val="24"/>
              </w:rPr>
            </w:pPr>
            <w:r w:rsidRPr="00150CD2">
              <w:rPr>
                <w:rFonts w:cs="Arial"/>
                <w:sz w:val="24"/>
              </w:rPr>
              <w:t>Around half live with sole parents with the remaining half linked to two parents/caregivers. The proportion of this group supported by a sole parent/caregiver is higher than for other children in MidCentral (2</w:t>
            </w:r>
            <w:r w:rsidR="008459FD" w:rsidRPr="00150CD2">
              <w:rPr>
                <w:rFonts w:cs="Arial"/>
                <w:sz w:val="24"/>
              </w:rPr>
              <w:t>4</w:t>
            </w:r>
            <w:r w:rsidRPr="00150CD2">
              <w:rPr>
                <w:rFonts w:cs="Arial"/>
                <w:sz w:val="24"/>
              </w:rPr>
              <w:t>%) or other DSS children outside MidCentral (</w:t>
            </w:r>
            <w:r w:rsidR="008459FD" w:rsidRPr="00150CD2">
              <w:rPr>
                <w:rFonts w:cs="Arial"/>
                <w:sz w:val="24"/>
              </w:rPr>
              <w:t>31</w:t>
            </w:r>
            <w:r w:rsidRPr="00150CD2">
              <w:rPr>
                <w:rFonts w:cs="Arial"/>
                <w:sz w:val="24"/>
              </w:rPr>
              <w:t>%), although it is also important to note this is a relatively small group of children - the majority of MidCentral children allocated DSS are school aged.</w:t>
            </w:r>
          </w:p>
          <w:p w14:paraId="47526EEC" w14:textId="47411E97" w:rsidR="00EC1524" w:rsidRPr="00150CD2" w:rsidRDefault="00EC1524" w:rsidP="00D143A9">
            <w:pPr>
              <w:pStyle w:val="EYTablebullet1"/>
              <w:spacing w:before="0" w:after="120"/>
              <w:ind w:left="288" w:hanging="288"/>
              <w:rPr>
                <w:rFonts w:cs="Arial"/>
                <w:sz w:val="24"/>
              </w:rPr>
            </w:pPr>
            <w:r w:rsidRPr="00150CD2">
              <w:rPr>
                <w:rFonts w:cs="Arial"/>
                <w:sz w:val="24"/>
              </w:rPr>
              <w:t>Children in this age group supported by sole parents were much more likely to require income support for some</w:t>
            </w:r>
            <w:r w:rsidR="008A5CE9" w:rsidRPr="00150CD2">
              <w:rPr>
                <w:rFonts w:cs="Arial"/>
                <w:sz w:val="24"/>
              </w:rPr>
              <w:t xml:space="preserve"> or a</w:t>
            </w:r>
            <w:r w:rsidRPr="00150CD2">
              <w:rPr>
                <w:rFonts w:cs="Arial"/>
                <w:sz w:val="24"/>
              </w:rPr>
              <w:t>ll of the 3 year period.</w:t>
            </w:r>
          </w:p>
          <w:p w14:paraId="0155C094" w14:textId="1672762C" w:rsidR="00EC1524" w:rsidRPr="00150CD2" w:rsidRDefault="00EC1524" w:rsidP="00826AC2">
            <w:pPr>
              <w:pStyle w:val="EYTablebullet1"/>
              <w:spacing w:before="0" w:after="120"/>
              <w:ind w:left="288" w:hanging="288"/>
              <w:rPr>
                <w:rFonts w:cs="Arial"/>
                <w:i/>
                <w:iCs/>
                <w:sz w:val="24"/>
              </w:rPr>
            </w:pPr>
            <w:r w:rsidRPr="00150CD2">
              <w:rPr>
                <w:rFonts w:cs="Arial"/>
                <w:i/>
                <w:iCs/>
                <w:sz w:val="24"/>
              </w:rPr>
              <w:t xml:space="preserve">Refer to </w:t>
            </w:r>
            <w:r w:rsidR="00310848" w:rsidRPr="00150CD2">
              <w:rPr>
                <w:rFonts w:cs="Arial"/>
                <w:i/>
                <w:iCs/>
                <w:sz w:val="24"/>
              </w:rPr>
              <w:fldChar w:fldCharType="begin"/>
            </w:r>
            <w:r w:rsidR="00310848" w:rsidRPr="00150CD2">
              <w:rPr>
                <w:rFonts w:cs="Arial"/>
                <w:i/>
                <w:iCs/>
                <w:sz w:val="24"/>
              </w:rPr>
              <w:instrText xml:space="preserve"> REF _Ref34055366 \r \h </w:instrText>
            </w:r>
            <w:r w:rsidR="00DB314F" w:rsidRPr="00150CD2">
              <w:rPr>
                <w:rFonts w:cs="Arial"/>
                <w:i/>
                <w:iCs/>
                <w:sz w:val="24"/>
              </w:rPr>
              <w:instrText xml:space="preserve"> \* MERGEFORMAT </w:instrText>
            </w:r>
            <w:r w:rsidR="00310848" w:rsidRPr="00150CD2">
              <w:rPr>
                <w:rFonts w:cs="Arial"/>
                <w:i/>
                <w:iCs/>
                <w:sz w:val="24"/>
              </w:rPr>
            </w:r>
            <w:r w:rsidR="00310848" w:rsidRPr="00150CD2">
              <w:rPr>
                <w:rFonts w:cs="Arial"/>
                <w:i/>
                <w:iCs/>
                <w:sz w:val="24"/>
              </w:rPr>
              <w:fldChar w:fldCharType="separate"/>
            </w:r>
            <w:r w:rsidR="00053D9A" w:rsidRPr="00150CD2">
              <w:rPr>
                <w:rFonts w:cs="Arial"/>
                <w:i/>
                <w:iCs/>
                <w:sz w:val="24"/>
              </w:rPr>
              <w:t>Appendix H</w:t>
            </w:r>
            <w:r w:rsidR="00310848" w:rsidRPr="00150CD2">
              <w:rPr>
                <w:rFonts w:cs="Arial"/>
                <w:i/>
                <w:iCs/>
                <w:sz w:val="24"/>
              </w:rPr>
              <w:fldChar w:fldCharType="end"/>
            </w:r>
            <w:r w:rsidRPr="00150CD2">
              <w:rPr>
                <w:rFonts w:cs="Arial"/>
                <w:i/>
                <w:iCs/>
                <w:sz w:val="24"/>
              </w:rPr>
              <w:t xml:space="preserve"> for a description of household changes experienced by DSS children </w:t>
            </w:r>
            <w:r w:rsidR="00310848" w:rsidRPr="00150CD2">
              <w:rPr>
                <w:rFonts w:cs="Arial"/>
                <w:i/>
                <w:iCs/>
                <w:sz w:val="24"/>
              </w:rPr>
              <w:t xml:space="preserve">across New Zealand </w:t>
            </w:r>
            <w:r w:rsidRPr="00150CD2">
              <w:rPr>
                <w:rFonts w:cs="Arial"/>
                <w:i/>
                <w:iCs/>
                <w:sz w:val="24"/>
              </w:rPr>
              <w:t xml:space="preserve">over the </w:t>
            </w:r>
            <w:r w:rsidR="00D143A9" w:rsidRPr="00150CD2">
              <w:rPr>
                <w:rFonts w:cs="Arial"/>
                <w:i/>
                <w:iCs/>
                <w:sz w:val="24"/>
              </w:rPr>
              <w:t>3</w:t>
            </w:r>
            <w:r w:rsidRPr="00150CD2">
              <w:rPr>
                <w:rFonts w:cs="Arial"/>
                <w:i/>
                <w:iCs/>
                <w:sz w:val="24"/>
              </w:rPr>
              <w:t xml:space="preserve"> year period </w:t>
            </w:r>
            <w:r w:rsidR="00D143A9" w:rsidRPr="00150CD2">
              <w:rPr>
                <w:rFonts w:cs="Arial"/>
                <w:i/>
                <w:iCs/>
                <w:sz w:val="24"/>
              </w:rPr>
              <w:t>to June 2018</w:t>
            </w:r>
            <w:r w:rsidRPr="00150CD2">
              <w:rPr>
                <w:rFonts w:cs="Arial"/>
                <w:i/>
                <w:iCs/>
                <w:sz w:val="24"/>
              </w:rPr>
              <w:t xml:space="preserve">. As the MidCentral child population is relatively small we were unable to extract MidCentral specific </w:t>
            </w:r>
            <w:r w:rsidR="008A5CE9" w:rsidRPr="00150CD2">
              <w:rPr>
                <w:rFonts w:cs="Arial"/>
                <w:i/>
                <w:iCs/>
                <w:sz w:val="24"/>
              </w:rPr>
              <w:t>figures but</w:t>
            </w:r>
            <w:r w:rsidRPr="00150CD2">
              <w:rPr>
                <w:rFonts w:cs="Arial"/>
                <w:i/>
                <w:iCs/>
                <w:sz w:val="24"/>
              </w:rPr>
              <w:t xml:space="preserve"> note that patterns of household changes are broadly similar to those for other DSS children.</w:t>
            </w:r>
          </w:p>
        </w:tc>
      </w:tr>
      <w:tr w:rsidR="00602ED2" w:rsidRPr="00150CD2" w14:paraId="6B18BF4A" w14:textId="77777777" w:rsidTr="002D4BE0">
        <w:trPr>
          <w:trHeight w:val="4191"/>
        </w:trPr>
        <w:tc>
          <w:tcPr>
            <w:tcW w:w="1559" w:type="dxa"/>
            <w:tcBorders>
              <w:top w:val="nil"/>
            </w:tcBorders>
          </w:tcPr>
          <w:p w14:paraId="44087599" w14:textId="77777777" w:rsidR="00602ED2" w:rsidRPr="00150CD2" w:rsidRDefault="00602ED2" w:rsidP="00EC1524">
            <w:pPr>
              <w:pStyle w:val="EYTableText"/>
              <w:rPr>
                <w:rFonts w:cs="Arial"/>
                <w:sz w:val="24"/>
              </w:rPr>
            </w:pPr>
          </w:p>
        </w:tc>
        <w:tc>
          <w:tcPr>
            <w:tcW w:w="2306" w:type="dxa"/>
          </w:tcPr>
          <w:p w14:paraId="139441D5" w14:textId="0749E80F" w:rsidR="00602ED2" w:rsidRPr="00150CD2" w:rsidRDefault="00602ED2" w:rsidP="00EC1524">
            <w:pPr>
              <w:pStyle w:val="EYTableText"/>
              <w:rPr>
                <w:rFonts w:cs="Arial"/>
                <w:sz w:val="24"/>
              </w:rPr>
            </w:pPr>
            <w:r w:rsidRPr="00150CD2">
              <w:rPr>
                <w:rFonts w:cs="Arial"/>
                <w:sz w:val="24"/>
              </w:rPr>
              <w:t>Benefit income support, social housing and address changes</w:t>
            </w:r>
          </w:p>
        </w:tc>
        <w:tc>
          <w:tcPr>
            <w:tcW w:w="10079" w:type="dxa"/>
          </w:tcPr>
          <w:p w14:paraId="07728A3D" w14:textId="57390965" w:rsidR="00602ED2" w:rsidRPr="00150CD2" w:rsidRDefault="00602ED2" w:rsidP="00D143A9">
            <w:pPr>
              <w:pStyle w:val="EYTablebullet1"/>
              <w:spacing w:before="0" w:after="120"/>
              <w:ind w:left="288" w:hanging="288"/>
              <w:rPr>
                <w:rFonts w:cs="Arial"/>
                <w:sz w:val="24"/>
              </w:rPr>
            </w:pPr>
            <w:r w:rsidRPr="00150CD2">
              <w:rPr>
                <w:rFonts w:cs="Arial"/>
                <w:sz w:val="24"/>
              </w:rPr>
              <w:t xml:space="preserve">Just under half (49%) were supported on a main benefit at some point over the 3 year period, and 35% had a parent who received sole parent support for some/all of the period. These rates are slightly higher but broadly comparable to the proportion of other 0-4 year old DSS children outside MidCentral with some level of main benefit support/sole parenting over the same period (37% received some level of main benefit support and 24% received some level of sole parent support). </w:t>
            </w:r>
          </w:p>
          <w:p w14:paraId="472E4F1D" w14:textId="422A4FD8" w:rsidR="00602ED2" w:rsidRPr="00150CD2" w:rsidRDefault="00602ED2" w:rsidP="00D143A9">
            <w:pPr>
              <w:pStyle w:val="EYTablebullet1"/>
              <w:spacing w:before="0" w:after="120"/>
              <w:ind w:left="288" w:hanging="288"/>
              <w:rPr>
                <w:rFonts w:cs="Arial"/>
                <w:sz w:val="24"/>
              </w:rPr>
            </w:pPr>
            <w:r w:rsidRPr="00150CD2">
              <w:rPr>
                <w:rFonts w:cs="Arial"/>
                <w:sz w:val="24"/>
              </w:rPr>
              <w:t xml:space="preserve">Around 5% of children lived in social housing for some/all of the period, similar to other MidCentral children. </w:t>
            </w:r>
          </w:p>
          <w:p w14:paraId="0A8CE528" w14:textId="77777777" w:rsidR="00602ED2" w:rsidRPr="00150CD2" w:rsidRDefault="00602ED2" w:rsidP="00D143A9">
            <w:pPr>
              <w:pStyle w:val="EYTablebullet1"/>
              <w:spacing w:before="0" w:after="120"/>
              <w:ind w:left="288" w:hanging="288"/>
              <w:rPr>
                <w:rFonts w:cs="Arial"/>
                <w:sz w:val="24"/>
              </w:rPr>
            </w:pPr>
            <w:r w:rsidRPr="00150CD2">
              <w:rPr>
                <w:rFonts w:cs="Arial"/>
                <w:sz w:val="24"/>
              </w:rPr>
              <w:t>62% changed address over the 3 year period, similar to other MidCentral children.</w:t>
            </w:r>
          </w:p>
          <w:p w14:paraId="5A3FF5E3" w14:textId="41DDF871" w:rsidR="00602ED2" w:rsidRPr="00150CD2" w:rsidRDefault="00602ED2" w:rsidP="00D143A9">
            <w:pPr>
              <w:pStyle w:val="EYTablebullet1"/>
              <w:spacing w:before="0" w:after="120"/>
              <w:ind w:left="288" w:hanging="288"/>
              <w:rPr>
                <w:rFonts w:cs="Arial"/>
                <w:sz w:val="24"/>
              </w:rPr>
            </w:pPr>
            <w:r w:rsidRPr="00150CD2">
              <w:rPr>
                <w:rFonts w:cs="Arial"/>
                <w:sz w:val="24"/>
              </w:rPr>
              <w:t xml:space="preserve">Nearly half (46%) of MidCentral DSS children aged 0-4 had parents/caregivers who drew on </w:t>
            </w:r>
            <w:r w:rsidR="00595EE3" w:rsidRPr="00150CD2">
              <w:rPr>
                <w:rFonts w:cs="Arial"/>
                <w:sz w:val="24"/>
              </w:rPr>
              <w:t xml:space="preserve">third-tier </w:t>
            </w:r>
            <w:r w:rsidRPr="00150CD2">
              <w:rPr>
                <w:rFonts w:cs="Arial"/>
                <w:sz w:val="24"/>
              </w:rPr>
              <w:t>MSD support payments</w:t>
            </w:r>
            <w:bookmarkStart w:id="85" w:name="_Ref34120021"/>
            <w:r w:rsidRPr="00150CD2">
              <w:rPr>
                <w:rStyle w:val="FootnoteReference"/>
                <w:rFonts w:ascii="Arial" w:hAnsi="Arial" w:cs="Arial"/>
                <w:sz w:val="24"/>
                <w:szCs w:val="24"/>
              </w:rPr>
              <w:footnoteReference w:id="17"/>
            </w:r>
            <w:bookmarkEnd w:id="85"/>
            <w:r w:rsidRPr="00150CD2">
              <w:rPr>
                <w:rFonts w:cs="Arial"/>
                <w:sz w:val="24"/>
              </w:rPr>
              <w:t>, including special needs grants and benefit advances, at some point over a 3 year period.</w:t>
            </w:r>
          </w:p>
          <w:p w14:paraId="62C8F4CE" w14:textId="283ECEB6" w:rsidR="00602ED2" w:rsidRPr="00150CD2" w:rsidRDefault="00AB28FA" w:rsidP="00D143A9">
            <w:pPr>
              <w:pStyle w:val="EYTablebullet1"/>
              <w:spacing w:before="0" w:after="120"/>
              <w:ind w:left="288" w:hanging="288"/>
              <w:rPr>
                <w:rFonts w:cs="Arial"/>
                <w:sz w:val="24"/>
              </w:rPr>
            </w:pPr>
            <w:r w:rsidRPr="00150CD2">
              <w:rPr>
                <w:rFonts w:cs="Arial"/>
                <w:sz w:val="24"/>
              </w:rPr>
              <w:t>89</w:t>
            </w:r>
            <w:r w:rsidR="00602ED2" w:rsidRPr="00150CD2">
              <w:rPr>
                <w:rFonts w:cs="Arial"/>
                <w:sz w:val="24"/>
              </w:rPr>
              <w:t>% of children were linked to Child Disability Allowance payments.</w:t>
            </w:r>
            <w:r w:rsidR="00786DAF" w:rsidRPr="00150CD2">
              <w:rPr>
                <w:rFonts w:cs="Arial"/>
                <w:sz w:val="24"/>
              </w:rPr>
              <w:t xml:space="preserve"> The Child Disability Allowance is a fortnightly payment made to the main carer of a child or young person with a serious disability. It is paid in recognition of the extra care and attention needed for that child.</w:t>
            </w:r>
            <w:r w:rsidR="00786DAF" w:rsidRPr="00150CD2">
              <w:rPr>
                <w:rStyle w:val="FootnoteReference"/>
                <w:rFonts w:ascii="Arial" w:hAnsi="Arial" w:cs="Arial"/>
                <w:sz w:val="24"/>
                <w:szCs w:val="24"/>
              </w:rPr>
              <w:footnoteReference w:id="18"/>
            </w:r>
          </w:p>
          <w:p w14:paraId="39AE344A" w14:textId="632F4B83" w:rsidR="00602ED2" w:rsidRPr="00150CD2" w:rsidRDefault="00602ED2" w:rsidP="00D143A9">
            <w:pPr>
              <w:pStyle w:val="EYTablebullet1"/>
              <w:spacing w:before="0" w:after="120"/>
              <w:ind w:left="288" w:hanging="288"/>
              <w:rPr>
                <w:rFonts w:cs="Arial"/>
                <w:sz w:val="24"/>
              </w:rPr>
            </w:pPr>
            <w:r w:rsidRPr="00150CD2">
              <w:rPr>
                <w:rFonts w:cs="Arial"/>
                <w:sz w:val="24"/>
              </w:rPr>
              <w:t xml:space="preserve">Just over half had parents/caregivers in receipt of Accommodation Supplement and an additional 19% received Temporary </w:t>
            </w:r>
            <w:r w:rsidR="008F48DA" w:rsidRPr="00150CD2">
              <w:rPr>
                <w:rFonts w:cs="Arial"/>
                <w:sz w:val="24"/>
              </w:rPr>
              <w:t>Additional Support</w:t>
            </w:r>
            <w:r w:rsidRPr="00150CD2">
              <w:rPr>
                <w:rFonts w:cs="Arial"/>
                <w:sz w:val="24"/>
              </w:rPr>
              <w:t>.</w:t>
            </w:r>
          </w:p>
        </w:tc>
      </w:tr>
    </w:tbl>
    <w:p w14:paraId="0A7BB6E8" w14:textId="29F04379" w:rsidR="00281B0C" w:rsidRPr="00150CD2" w:rsidRDefault="00281B0C">
      <w:pPr>
        <w:autoSpaceDE/>
        <w:autoSpaceDN/>
        <w:adjustRightInd/>
        <w:rPr>
          <w:rFonts w:cs="Arial"/>
          <w:b/>
        </w:rPr>
      </w:pPr>
      <w:r w:rsidRPr="00150CD2">
        <w:rPr>
          <w:rFonts w:cs="Arial"/>
          <w:b/>
        </w:rPr>
        <w:br w:type="page"/>
      </w:r>
    </w:p>
    <w:p w14:paraId="098FBA62" w14:textId="0D08319B" w:rsidR="005F6775" w:rsidRPr="00150CD2" w:rsidRDefault="005F6775" w:rsidP="00184038">
      <w:pPr>
        <w:pStyle w:val="EYHeading2"/>
        <w:rPr>
          <w:lang w:val="en-NZ"/>
        </w:rPr>
      </w:pPr>
      <w:bookmarkStart w:id="86" w:name="_Toc23359773"/>
      <w:bookmarkStart w:id="87" w:name="_Toc46365141"/>
      <w:bookmarkStart w:id="88" w:name="_Toc48752359"/>
      <w:r w:rsidRPr="00150CD2">
        <w:rPr>
          <w:lang w:val="en-NZ"/>
        </w:rPr>
        <w:t>Children aged 5-1</w:t>
      </w:r>
      <w:r w:rsidR="00020915" w:rsidRPr="00150CD2">
        <w:rPr>
          <w:lang w:val="en-NZ"/>
        </w:rPr>
        <w:t>4</w:t>
      </w:r>
      <w:r w:rsidRPr="00150CD2">
        <w:rPr>
          <w:lang w:val="en-NZ"/>
        </w:rPr>
        <w:t xml:space="preserve"> years</w:t>
      </w:r>
      <w:bookmarkEnd w:id="86"/>
      <w:bookmarkEnd w:id="87"/>
      <w:bookmarkEnd w:id="88"/>
    </w:p>
    <w:p w14:paraId="348B331F" w14:textId="4FD089A3" w:rsidR="005F6775" w:rsidRPr="00150CD2" w:rsidRDefault="005F6775" w:rsidP="00A74A24">
      <w:pPr>
        <w:pStyle w:val="EYSubheading"/>
        <w:rPr>
          <w:rFonts w:cs="Arial"/>
        </w:rPr>
      </w:pPr>
      <w:r w:rsidRPr="00150CD2">
        <w:rPr>
          <w:rFonts w:cs="Arial"/>
        </w:rPr>
        <w:t xml:space="preserve">Key transitions: The disabled child is progressing through </w:t>
      </w:r>
      <w:r w:rsidR="00A74A24" w:rsidRPr="00150CD2">
        <w:rPr>
          <w:rFonts w:cs="Arial"/>
        </w:rPr>
        <w:t>primary</w:t>
      </w:r>
      <w:r w:rsidR="00D22AA1" w:rsidRPr="00150CD2">
        <w:rPr>
          <w:rFonts w:cs="Arial"/>
        </w:rPr>
        <w:t>,</w:t>
      </w:r>
      <w:r w:rsidR="00A74A24" w:rsidRPr="00150CD2">
        <w:rPr>
          <w:rFonts w:cs="Arial"/>
        </w:rPr>
        <w:t xml:space="preserve"> intermediate </w:t>
      </w:r>
      <w:r w:rsidR="00D22AA1" w:rsidRPr="00150CD2">
        <w:rPr>
          <w:rFonts w:cs="Arial"/>
        </w:rPr>
        <w:t xml:space="preserve">and secondary </w:t>
      </w:r>
      <w:r w:rsidRPr="00150CD2">
        <w:rPr>
          <w:rFonts w:cs="Arial"/>
        </w:rPr>
        <w:t>school and developing through mid-childhood</w:t>
      </w:r>
      <w:r w:rsidR="00A75A6F" w:rsidRPr="00150CD2">
        <w:rPr>
          <w:rFonts w:cs="Arial"/>
        </w:rPr>
        <w:t xml:space="preserve"> and </w:t>
      </w:r>
      <w:r w:rsidRPr="00150CD2">
        <w:rPr>
          <w:rFonts w:cs="Arial"/>
        </w:rPr>
        <w:t>teenage years.</w:t>
      </w:r>
    </w:p>
    <w:p w14:paraId="6A50CCD4" w14:textId="3B0ABA86" w:rsidR="00A64F72" w:rsidRPr="00150CD2" w:rsidRDefault="00A64F72" w:rsidP="00A64F72">
      <w:pPr>
        <w:pStyle w:val="EYBodytextwithparaspace"/>
        <w:rPr>
          <w:rFonts w:cs="Arial"/>
          <w:lang w:eastAsia="en-AU"/>
        </w:rPr>
      </w:pPr>
      <w:r w:rsidRPr="00150CD2">
        <w:rPr>
          <w:rFonts w:cs="Arial"/>
          <w:lang w:eastAsia="en-AU"/>
        </w:rPr>
        <w:t xml:space="preserve">At 30 June 2018 there were </w:t>
      </w:r>
      <w:r w:rsidR="00972B50" w:rsidRPr="00150CD2">
        <w:rPr>
          <w:rFonts w:cs="Arial"/>
          <w:lang w:eastAsia="en-AU"/>
        </w:rPr>
        <w:t>around 340</w:t>
      </w:r>
      <w:r w:rsidR="00020915" w:rsidRPr="00150CD2">
        <w:rPr>
          <w:rFonts w:cs="Arial"/>
          <w:lang w:eastAsia="en-AU"/>
        </w:rPr>
        <w:t xml:space="preserve"> </w:t>
      </w:r>
      <w:r w:rsidRPr="00150CD2">
        <w:rPr>
          <w:rFonts w:cs="Arial"/>
          <w:lang w:eastAsia="en-AU"/>
        </w:rPr>
        <w:t xml:space="preserve">children aged </w:t>
      </w:r>
      <w:r w:rsidR="00176AB0" w:rsidRPr="00150CD2">
        <w:rPr>
          <w:rFonts w:cs="Arial"/>
          <w:lang w:eastAsia="en-AU"/>
        </w:rPr>
        <w:t>5-</w:t>
      </w:r>
      <w:r w:rsidR="00020915" w:rsidRPr="00150CD2">
        <w:rPr>
          <w:rFonts w:cs="Arial"/>
          <w:lang w:eastAsia="en-AU"/>
        </w:rPr>
        <w:t>14 in MidCentral allocated DSS funding over the year to June 2018</w:t>
      </w:r>
      <w:r w:rsidRPr="00150CD2">
        <w:rPr>
          <w:rFonts w:cs="Arial"/>
          <w:lang w:eastAsia="en-AU"/>
        </w:rPr>
        <w:t>. Key demographic and socioeconomic characteristics are summarised below.</w:t>
      </w:r>
    </w:p>
    <w:p w14:paraId="38CEBE14" w14:textId="1ED74C5E" w:rsidR="00A64F72" w:rsidRPr="00150CD2" w:rsidRDefault="00A64F72" w:rsidP="00FF6F39">
      <w:pPr>
        <w:pStyle w:val="EYBulletedText1"/>
        <w:rPr>
          <w:rFonts w:cs="Arial"/>
          <w:lang w:eastAsia="en-AU"/>
        </w:rPr>
      </w:pPr>
      <w:r w:rsidRPr="00150CD2">
        <w:rPr>
          <w:rFonts w:cs="Arial"/>
          <w:lang w:eastAsia="en-AU"/>
        </w:rPr>
        <w:t>The majority have Intellectual (</w:t>
      </w:r>
      <w:r w:rsidR="00972B50" w:rsidRPr="00150CD2">
        <w:rPr>
          <w:rFonts w:cs="Arial"/>
          <w:lang w:eastAsia="en-AU"/>
        </w:rPr>
        <w:t>42</w:t>
      </w:r>
      <w:r w:rsidRPr="00150CD2">
        <w:rPr>
          <w:rFonts w:cs="Arial"/>
          <w:lang w:eastAsia="en-AU"/>
        </w:rPr>
        <w:t>%) or Autism Spectrum Disorder (</w:t>
      </w:r>
      <w:r w:rsidR="002D27C4" w:rsidRPr="00150CD2">
        <w:rPr>
          <w:rFonts w:cs="Arial"/>
          <w:lang w:eastAsia="en-AU"/>
        </w:rPr>
        <w:t>53</w:t>
      </w:r>
      <w:r w:rsidRPr="00150CD2">
        <w:rPr>
          <w:rFonts w:cs="Arial"/>
          <w:lang w:eastAsia="en-AU"/>
        </w:rPr>
        <w:t xml:space="preserve">%) as their </w:t>
      </w:r>
      <w:r w:rsidR="009E4F58" w:rsidRPr="00150CD2">
        <w:rPr>
          <w:rFonts w:cs="Arial"/>
          <w:lang w:eastAsia="en-AU"/>
        </w:rPr>
        <w:t>prioritised</w:t>
      </w:r>
      <w:r w:rsidRPr="00150CD2">
        <w:rPr>
          <w:rFonts w:cs="Arial"/>
          <w:lang w:eastAsia="en-AU"/>
        </w:rPr>
        <w:t xml:space="preserve"> disability</w:t>
      </w:r>
      <w:r w:rsidR="00176AB0" w:rsidRPr="00150CD2">
        <w:rPr>
          <w:rFonts w:cs="Arial"/>
          <w:lang w:eastAsia="en-AU"/>
        </w:rPr>
        <w:t xml:space="preserve">, followed by </w:t>
      </w:r>
      <w:r w:rsidR="00972B50" w:rsidRPr="00150CD2">
        <w:rPr>
          <w:rFonts w:cs="Arial"/>
          <w:lang w:eastAsia="en-AU"/>
        </w:rPr>
        <w:t>5</w:t>
      </w:r>
      <w:r w:rsidR="00176AB0" w:rsidRPr="00150CD2">
        <w:rPr>
          <w:rFonts w:cs="Arial"/>
          <w:lang w:eastAsia="en-AU"/>
        </w:rPr>
        <w:t xml:space="preserve">% with a physical disability. </w:t>
      </w:r>
      <w:r w:rsidRPr="00150CD2">
        <w:rPr>
          <w:rFonts w:cs="Arial"/>
          <w:lang w:eastAsia="en-AU"/>
        </w:rPr>
        <w:t>Respite</w:t>
      </w:r>
      <w:r w:rsidR="00176AB0" w:rsidRPr="00150CD2">
        <w:rPr>
          <w:rFonts w:cs="Arial"/>
          <w:lang w:eastAsia="en-AU"/>
        </w:rPr>
        <w:t xml:space="preserve"> (</w:t>
      </w:r>
      <w:r w:rsidR="002D27C4" w:rsidRPr="00150CD2">
        <w:rPr>
          <w:rFonts w:cs="Arial"/>
          <w:lang w:eastAsia="en-AU"/>
        </w:rPr>
        <w:t>93</w:t>
      </w:r>
      <w:r w:rsidR="00176AB0" w:rsidRPr="00150CD2">
        <w:rPr>
          <w:rFonts w:cs="Arial"/>
          <w:lang w:eastAsia="en-AU"/>
        </w:rPr>
        <w:t>%) and</w:t>
      </w:r>
      <w:r w:rsidRPr="00150CD2">
        <w:rPr>
          <w:rFonts w:cs="Arial"/>
          <w:lang w:eastAsia="en-AU"/>
        </w:rPr>
        <w:t xml:space="preserve"> </w:t>
      </w:r>
      <w:r w:rsidR="00176AB0" w:rsidRPr="00150CD2">
        <w:rPr>
          <w:rFonts w:cs="Arial"/>
          <w:lang w:eastAsia="en-AU"/>
        </w:rPr>
        <w:t>behavioural (</w:t>
      </w:r>
      <w:r w:rsidR="00AE4EC3" w:rsidRPr="00150CD2">
        <w:rPr>
          <w:rFonts w:cs="Arial"/>
          <w:lang w:eastAsia="en-AU"/>
        </w:rPr>
        <w:t>27</w:t>
      </w:r>
      <w:r w:rsidR="00176AB0" w:rsidRPr="00150CD2">
        <w:rPr>
          <w:rFonts w:cs="Arial"/>
          <w:lang w:eastAsia="en-AU"/>
        </w:rPr>
        <w:t xml:space="preserve">%) </w:t>
      </w:r>
      <w:r w:rsidRPr="00150CD2">
        <w:rPr>
          <w:rFonts w:cs="Arial"/>
          <w:lang w:eastAsia="en-AU"/>
        </w:rPr>
        <w:t xml:space="preserve">support services were the most common types </w:t>
      </w:r>
      <w:r w:rsidR="00176AB0" w:rsidRPr="00150CD2">
        <w:rPr>
          <w:rFonts w:cs="Arial"/>
          <w:lang w:eastAsia="en-AU"/>
        </w:rPr>
        <w:t>allocated</w:t>
      </w:r>
      <w:r w:rsidR="00D22AA1" w:rsidRPr="00150CD2">
        <w:rPr>
          <w:rFonts w:cs="Arial"/>
          <w:lang w:eastAsia="en-AU"/>
        </w:rPr>
        <w:t xml:space="preserve"> through the NASC</w:t>
      </w:r>
      <w:r w:rsidRPr="00150CD2">
        <w:rPr>
          <w:rFonts w:cs="Arial"/>
          <w:lang w:eastAsia="en-AU"/>
        </w:rPr>
        <w:t>.</w:t>
      </w:r>
    </w:p>
    <w:p w14:paraId="427C8F84" w14:textId="3B075DC6" w:rsidR="00237044" w:rsidRPr="00150CD2" w:rsidRDefault="00237044" w:rsidP="00FF6F39">
      <w:pPr>
        <w:pStyle w:val="EYBulletedText1"/>
        <w:rPr>
          <w:rFonts w:cs="Arial"/>
          <w:lang w:eastAsia="en-AU"/>
        </w:rPr>
      </w:pPr>
      <w:r w:rsidRPr="00150CD2">
        <w:rPr>
          <w:rFonts w:cs="Arial"/>
          <w:lang w:eastAsia="en-AU"/>
        </w:rPr>
        <w:t xml:space="preserve">Around half live with two parents/caregivers and the remaining half live with sole parents. </w:t>
      </w:r>
    </w:p>
    <w:p w14:paraId="4651BB1F" w14:textId="6C634AB4" w:rsidR="00A64F72" w:rsidRPr="00150CD2" w:rsidRDefault="002D27C4" w:rsidP="00FF6F39">
      <w:pPr>
        <w:pStyle w:val="EYBulletedText1"/>
        <w:rPr>
          <w:rFonts w:cs="Arial"/>
          <w:lang w:eastAsia="en-AU"/>
        </w:rPr>
      </w:pPr>
      <w:r w:rsidRPr="00150CD2">
        <w:rPr>
          <w:rFonts w:cs="Arial"/>
          <w:lang w:eastAsia="en-AU"/>
        </w:rPr>
        <w:t>8</w:t>
      </w:r>
      <w:r w:rsidR="00A64F72" w:rsidRPr="00150CD2">
        <w:rPr>
          <w:rFonts w:cs="Arial"/>
          <w:lang w:eastAsia="en-AU"/>
        </w:rPr>
        <w:t xml:space="preserve">% live in the 20% least deprived areas of NZ while </w:t>
      </w:r>
      <w:r w:rsidRPr="00150CD2">
        <w:rPr>
          <w:rFonts w:cs="Arial"/>
          <w:lang w:eastAsia="en-AU"/>
        </w:rPr>
        <w:t>34</w:t>
      </w:r>
      <w:r w:rsidR="00A64F72" w:rsidRPr="00150CD2">
        <w:rPr>
          <w:rFonts w:cs="Arial"/>
          <w:lang w:eastAsia="en-AU"/>
        </w:rPr>
        <w:t>% live in the 20% most deprived areas.</w:t>
      </w:r>
      <w:r w:rsidR="005F5623" w:rsidRPr="00150CD2">
        <w:rPr>
          <w:rFonts w:cs="Arial"/>
          <w:lang w:eastAsia="en-AU"/>
        </w:rPr>
        <w:t xml:space="preserve"> </w:t>
      </w:r>
      <w:r w:rsidR="006108FB" w:rsidRPr="00150CD2">
        <w:rPr>
          <w:rFonts w:cs="Arial"/>
          <w:lang w:eastAsia="en-AU"/>
        </w:rPr>
        <w:br/>
      </w:r>
      <w:r w:rsidR="005F5623" w:rsidRPr="00150CD2">
        <w:rPr>
          <w:rFonts w:cs="Arial"/>
          <w:lang w:eastAsia="en-AU"/>
        </w:rPr>
        <w:t>MidCentral DSS children are more likely to live in areas with deprivation</w:t>
      </w:r>
      <w:r w:rsidR="006108FB" w:rsidRPr="00150CD2">
        <w:rPr>
          <w:rFonts w:cs="Arial"/>
          <w:lang w:eastAsia="en-AU"/>
        </w:rPr>
        <w:t>,</w:t>
      </w:r>
      <w:r w:rsidR="005F5623" w:rsidRPr="00150CD2">
        <w:rPr>
          <w:rFonts w:cs="Arial"/>
          <w:lang w:eastAsia="en-AU"/>
        </w:rPr>
        <w:t xml:space="preserve"> </w:t>
      </w:r>
      <w:r w:rsidR="006108FB" w:rsidRPr="00150CD2">
        <w:rPr>
          <w:rFonts w:cs="Arial"/>
          <w:lang w:eastAsia="en-AU"/>
        </w:rPr>
        <w:t xml:space="preserve">compared </w:t>
      </w:r>
      <w:r w:rsidR="005F5623" w:rsidRPr="00150CD2">
        <w:rPr>
          <w:rFonts w:cs="Arial"/>
          <w:lang w:eastAsia="en-AU"/>
        </w:rPr>
        <w:t xml:space="preserve">to DSS children in other </w:t>
      </w:r>
      <w:r w:rsidR="006108FB" w:rsidRPr="00150CD2">
        <w:rPr>
          <w:rFonts w:cs="Arial"/>
          <w:lang w:eastAsia="en-AU"/>
        </w:rPr>
        <w:t>regions (where 25% live in the 20% most deprived areas) and non-DSS children in MidCentral (where 27% live in the 20% most deprived areas).</w:t>
      </w:r>
    </w:p>
    <w:p w14:paraId="3D60DB99" w14:textId="08BB137B" w:rsidR="002D27C4" w:rsidRPr="00150CD2" w:rsidRDefault="00A64F72" w:rsidP="002D27C4">
      <w:pPr>
        <w:pStyle w:val="EYBodytextwithparaspace"/>
        <w:rPr>
          <w:rFonts w:cs="Arial"/>
          <w:lang w:eastAsia="en-AU"/>
        </w:rPr>
      </w:pPr>
      <w:r w:rsidRPr="00150CD2">
        <w:rPr>
          <w:rFonts w:cs="Arial"/>
          <w:lang w:eastAsia="en-AU"/>
        </w:rPr>
        <w:t xml:space="preserve">This section summarises some of the lifecourse outcomes and service contact indicators observed over </w:t>
      </w:r>
      <w:r w:rsidR="002D27C4" w:rsidRPr="00150CD2">
        <w:rPr>
          <w:rFonts w:cs="Arial"/>
          <w:lang w:eastAsia="en-AU"/>
        </w:rPr>
        <w:t>the 3 year period to 30 June 2018</w:t>
      </w:r>
      <w:r w:rsidR="002D27C4" w:rsidRPr="00150CD2">
        <w:rPr>
          <w:rStyle w:val="FootnoteReference"/>
          <w:rFonts w:ascii="Arial" w:hAnsi="Arial" w:cs="Arial"/>
          <w:lang w:eastAsia="en-AU"/>
        </w:rPr>
        <w:footnoteReference w:id="19"/>
      </w:r>
      <w:r w:rsidR="002D27C4" w:rsidRPr="00150CD2">
        <w:rPr>
          <w:rFonts w:cs="Arial"/>
          <w:lang w:eastAsia="en-AU"/>
        </w:rPr>
        <w:t xml:space="preserve"> for children who were allocated DSS over the 2018 year and were aged 5-14 at the start of the period.</w:t>
      </w:r>
      <w:r w:rsidR="00237044" w:rsidRPr="00150CD2">
        <w:rPr>
          <w:rFonts w:cs="Arial"/>
          <w:lang w:eastAsia="en-AU"/>
        </w:rPr>
        <w:t xml:space="preserve"> </w:t>
      </w:r>
      <w:r w:rsidR="002D27C4" w:rsidRPr="00150CD2">
        <w:rPr>
          <w:rFonts w:cs="Arial"/>
          <w:lang w:eastAsia="en-AU"/>
        </w:rPr>
        <w:t>Note that for some children this will include time prior to them receiving DSS funding.</w:t>
      </w:r>
    </w:p>
    <w:p w14:paraId="6DE303C9" w14:textId="77777777" w:rsidR="00281B0C" w:rsidRPr="00150CD2" w:rsidRDefault="00281B0C">
      <w:pPr>
        <w:autoSpaceDE/>
        <w:autoSpaceDN/>
        <w:adjustRightInd/>
        <w:rPr>
          <w:rFonts w:cs="Arial"/>
          <w:b/>
          <w:bCs/>
          <w:color w:val="808080"/>
          <w:sz w:val="16"/>
          <w:szCs w:val="18"/>
        </w:rPr>
      </w:pPr>
      <w:r w:rsidRPr="00150CD2">
        <w:rPr>
          <w:rFonts w:cs="Arial"/>
        </w:rPr>
        <w:br w:type="page"/>
      </w:r>
    </w:p>
    <w:p w14:paraId="5B350700" w14:textId="4D1BE375" w:rsidR="005F6775" w:rsidRPr="00150CD2" w:rsidRDefault="00AE6863" w:rsidP="00AE6863">
      <w:pPr>
        <w:pStyle w:val="Caption"/>
        <w:rPr>
          <w:rFonts w:cs="Arial"/>
        </w:rPr>
      </w:pPr>
      <w:r w:rsidRPr="00150CD2">
        <w:rPr>
          <w:rFonts w:cs="Arial"/>
        </w:rPr>
        <w:t xml:space="preserve">Figure </w:t>
      </w:r>
      <w:r w:rsidRPr="00150CD2">
        <w:rPr>
          <w:rFonts w:cs="Arial"/>
        </w:rPr>
        <w:fldChar w:fldCharType="begin"/>
      </w:r>
      <w:r w:rsidRPr="00150CD2">
        <w:rPr>
          <w:rFonts w:cs="Arial"/>
        </w:rPr>
        <w:instrText xml:space="preserve"> SEQ Figure \* ARABIC </w:instrText>
      </w:r>
      <w:r w:rsidRPr="00150CD2">
        <w:rPr>
          <w:rFonts w:cs="Arial"/>
        </w:rPr>
        <w:fldChar w:fldCharType="separate"/>
      </w:r>
      <w:r w:rsidR="00053D9A" w:rsidRPr="00150CD2">
        <w:rPr>
          <w:rFonts w:cs="Arial"/>
          <w:noProof/>
        </w:rPr>
        <w:t>4</w:t>
      </w:r>
      <w:r w:rsidRPr="00150CD2">
        <w:rPr>
          <w:rFonts w:cs="Arial"/>
        </w:rPr>
        <w:fldChar w:fldCharType="end"/>
      </w:r>
      <w:r w:rsidRPr="00150CD2">
        <w:rPr>
          <w:rFonts w:cs="Arial"/>
        </w:rPr>
        <w:t>:</w:t>
      </w:r>
      <w:r w:rsidR="00C53DC9" w:rsidRPr="00150CD2">
        <w:rPr>
          <w:rFonts w:cs="Arial"/>
        </w:rPr>
        <w:t xml:space="preserve"> </w:t>
      </w:r>
      <w:r w:rsidR="005F6775" w:rsidRPr="00150CD2">
        <w:rPr>
          <w:rFonts w:cs="Arial"/>
        </w:rPr>
        <w:t xml:space="preserve">Comparison of key indicators </w:t>
      </w:r>
      <w:r w:rsidR="00422E24" w:rsidRPr="00150CD2">
        <w:rPr>
          <w:rFonts w:cs="Arial"/>
        </w:rPr>
        <w:t>over the 3 year period to 30 June 2018, for children aged 5-14</w:t>
      </w:r>
      <w:r w:rsidR="00422E24" w:rsidRPr="00150CD2">
        <w:rPr>
          <w:rStyle w:val="FootnoteReference"/>
          <w:rFonts w:ascii="Arial" w:hAnsi="Arial" w:cs="Arial"/>
        </w:rPr>
        <w:footnoteReference w:id="20"/>
      </w:r>
      <w:r w:rsidR="00422E24" w:rsidRPr="00150CD2">
        <w:rPr>
          <w:rFonts w:cs="Arial"/>
        </w:rPr>
        <w:t xml:space="preserve"> </w:t>
      </w:r>
      <w:r w:rsidR="00281B0C" w:rsidRPr="00150CD2">
        <w:rPr>
          <w:rFonts w:cs="Arial"/>
        </w:rPr>
        <w:t>allocated DSS and in the MidCentral population – incl. confidence intervals at the 95th percentile level</w:t>
      </w:r>
    </w:p>
    <w:tbl>
      <w:tblPr>
        <w:tblW w:w="9072" w:type="dxa"/>
        <w:tblInd w:w="576" w:type="dxa"/>
        <w:tblCellMar>
          <w:left w:w="43" w:type="dxa"/>
          <w:right w:w="43" w:type="dxa"/>
        </w:tblCellMar>
        <w:tblLook w:val="04A0" w:firstRow="1" w:lastRow="0" w:firstColumn="1" w:lastColumn="0" w:noHBand="0" w:noVBand="1"/>
      </w:tblPr>
      <w:tblGrid>
        <w:gridCol w:w="288"/>
        <w:gridCol w:w="2880"/>
        <w:gridCol w:w="288"/>
        <w:gridCol w:w="2448"/>
        <w:gridCol w:w="288"/>
        <w:gridCol w:w="2880"/>
      </w:tblGrid>
      <w:tr w:rsidR="009D434F" w:rsidRPr="00150CD2" w14:paraId="2EC39859" w14:textId="77777777" w:rsidTr="00B262C7">
        <w:tc>
          <w:tcPr>
            <w:tcW w:w="288" w:type="dxa"/>
            <w:shd w:val="clear" w:color="auto" w:fill="188CE5" w:themeFill="accent3"/>
            <w:noWrap/>
            <w:vAlign w:val="bottom"/>
            <w:hideMark/>
          </w:tcPr>
          <w:p w14:paraId="2C7B914C" w14:textId="77777777" w:rsidR="009D434F" w:rsidRPr="00150CD2" w:rsidRDefault="009D434F" w:rsidP="009C7EC4">
            <w:pPr>
              <w:pStyle w:val="EYTableText"/>
              <w:rPr>
                <w:rFonts w:cs="Arial"/>
                <w:sz w:val="20"/>
                <w:szCs w:val="20"/>
              </w:rPr>
            </w:pPr>
            <w:r w:rsidRPr="00150CD2">
              <w:rPr>
                <w:rFonts w:cs="Arial"/>
                <w:sz w:val="20"/>
                <w:szCs w:val="20"/>
              </w:rPr>
              <w:t> </w:t>
            </w:r>
          </w:p>
        </w:tc>
        <w:tc>
          <w:tcPr>
            <w:tcW w:w="2880" w:type="dxa"/>
            <w:tcBorders>
              <w:top w:val="nil"/>
              <w:left w:val="nil"/>
              <w:bottom w:val="nil"/>
              <w:right w:val="single" w:sz="4" w:space="0" w:color="FF9A4F"/>
            </w:tcBorders>
            <w:shd w:val="clear" w:color="auto" w:fill="auto"/>
            <w:noWrap/>
            <w:hideMark/>
          </w:tcPr>
          <w:p w14:paraId="1B81EB5A" w14:textId="77777777" w:rsidR="009D434F" w:rsidRPr="00150CD2" w:rsidRDefault="009D434F" w:rsidP="009C7EC4">
            <w:pPr>
              <w:pStyle w:val="EYTableText"/>
              <w:rPr>
                <w:rFonts w:cs="Arial"/>
                <w:sz w:val="20"/>
                <w:szCs w:val="20"/>
              </w:rPr>
            </w:pPr>
            <w:r w:rsidRPr="00150CD2">
              <w:rPr>
                <w:rFonts w:cs="Arial"/>
                <w:sz w:val="20"/>
                <w:szCs w:val="20"/>
              </w:rPr>
              <w:t>MidCentral DSS children</w:t>
            </w:r>
          </w:p>
        </w:tc>
        <w:tc>
          <w:tcPr>
            <w:tcW w:w="288" w:type="dxa"/>
            <w:tcBorders>
              <w:top w:val="single" w:sz="4" w:space="0" w:color="FF9A4F"/>
              <w:left w:val="single" w:sz="4" w:space="0" w:color="FF9A4F"/>
              <w:bottom w:val="single" w:sz="4" w:space="0" w:color="FF9A4F"/>
              <w:right w:val="single" w:sz="4" w:space="0" w:color="FF9A4F"/>
            </w:tcBorders>
            <w:shd w:val="diagStripe" w:color="FFFFFF" w:themeColor="background1" w:fill="FF9A4F"/>
          </w:tcPr>
          <w:p w14:paraId="622E8DE5" w14:textId="77777777" w:rsidR="009D434F" w:rsidRPr="00150CD2" w:rsidRDefault="009D434F" w:rsidP="009C7EC4">
            <w:pPr>
              <w:pStyle w:val="EYTableText"/>
              <w:rPr>
                <w:rFonts w:cs="Arial"/>
                <w:sz w:val="20"/>
                <w:szCs w:val="20"/>
              </w:rPr>
            </w:pPr>
          </w:p>
        </w:tc>
        <w:tc>
          <w:tcPr>
            <w:tcW w:w="2448" w:type="dxa"/>
            <w:tcBorders>
              <w:top w:val="nil"/>
              <w:left w:val="single" w:sz="4" w:space="0" w:color="FF9A4F"/>
              <w:bottom w:val="nil"/>
              <w:right w:val="nil"/>
            </w:tcBorders>
            <w:shd w:val="clear" w:color="auto" w:fill="auto"/>
          </w:tcPr>
          <w:p w14:paraId="2F067EDB" w14:textId="77777777" w:rsidR="009D434F" w:rsidRPr="00150CD2" w:rsidRDefault="009D434F" w:rsidP="009C7EC4">
            <w:pPr>
              <w:pStyle w:val="EYTableText"/>
              <w:rPr>
                <w:rFonts w:cs="Arial"/>
                <w:sz w:val="20"/>
                <w:szCs w:val="20"/>
              </w:rPr>
            </w:pPr>
            <w:r w:rsidRPr="00150CD2">
              <w:rPr>
                <w:rFonts w:cs="Arial"/>
                <w:sz w:val="20"/>
                <w:szCs w:val="20"/>
              </w:rPr>
              <w:t>Other DSS children</w:t>
            </w:r>
          </w:p>
        </w:tc>
        <w:tc>
          <w:tcPr>
            <w:tcW w:w="288" w:type="dxa"/>
            <w:tcBorders>
              <w:top w:val="nil"/>
              <w:left w:val="nil"/>
              <w:bottom w:val="nil"/>
              <w:right w:val="nil"/>
            </w:tcBorders>
            <w:shd w:val="clear" w:color="auto" w:fill="808080" w:themeFill="background1" w:themeFillShade="80"/>
          </w:tcPr>
          <w:p w14:paraId="273D6A48" w14:textId="77777777" w:rsidR="009D434F" w:rsidRPr="00150CD2" w:rsidRDefault="009D434F" w:rsidP="009C7EC4">
            <w:pPr>
              <w:pStyle w:val="EYTableText"/>
              <w:rPr>
                <w:rFonts w:cs="Arial"/>
                <w:sz w:val="20"/>
                <w:szCs w:val="20"/>
              </w:rPr>
            </w:pPr>
          </w:p>
        </w:tc>
        <w:tc>
          <w:tcPr>
            <w:tcW w:w="2880" w:type="dxa"/>
            <w:tcBorders>
              <w:top w:val="nil"/>
              <w:left w:val="nil"/>
              <w:bottom w:val="nil"/>
              <w:right w:val="nil"/>
            </w:tcBorders>
          </w:tcPr>
          <w:p w14:paraId="7A231402" w14:textId="77777777" w:rsidR="009D434F" w:rsidRPr="00150CD2" w:rsidRDefault="009D434F" w:rsidP="009C7EC4">
            <w:pPr>
              <w:pStyle w:val="EYTableText"/>
              <w:rPr>
                <w:rFonts w:cs="Arial"/>
                <w:sz w:val="20"/>
                <w:szCs w:val="20"/>
              </w:rPr>
            </w:pPr>
            <w:r w:rsidRPr="00150CD2">
              <w:rPr>
                <w:rFonts w:cs="Arial"/>
                <w:sz w:val="20"/>
                <w:szCs w:val="20"/>
              </w:rPr>
              <w:t>Other MidCentral children</w:t>
            </w:r>
          </w:p>
        </w:tc>
      </w:tr>
    </w:tbl>
    <w:p w14:paraId="4F78ED72" w14:textId="2A2090F3" w:rsidR="00281B0C" w:rsidRPr="00150CD2" w:rsidRDefault="006536E1" w:rsidP="001E6446">
      <w:pPr>
        <w:rPr>
          <w:rFonts w:cs="Arial"/>
        </w:rPr>
      </w:pPr>
      <w:r w:rsidRPr="00150CD2">
        <w:rPr>
          <w:rFonts w:cs="Arial"/>
          <w:noProof/>
          <w:shd w:val="clear" w:color="auto" w:fill="FF9A4F"/>
        </w:rPr>
        <w:drawing>
          <wp:inline distT="0" distB="0" distL="0" distR="0" wp14:anchorId="1C272688" wp14:editId="22E43288">
            <wp:extent cx="8860790" cy="3465576"/>
            <wp:effectExtent l="0" t="0" r="0" b="1905"/>
            <wp:docPr id="7" name="Chart 7" descr="Figure 4 chart highlights differences in selected wellbeing and outcome indicators over the 3 year period to 30 June 2018, for MidCentral DSS children, other DSS children outside MidCentral and other MidCentral children aged 5-14 at the start of the period. Indicators graphed include: &#10;• % children with Ambulatory Sensitive Hospitalisations &#10;• % children with injury-related emergency department contact &#10;• % children with mental health related hospital or community provider service contact&#10;• % children with standdown spells&#10;• % children involved in Oranga Tamariki reports of concern &#10;• % children with parent/caregiver(s) with employment income &#10;• % children whose parent/caregiver drew on third-tier MSD support payments &#10;&#10;The rest of this section describes the key differences observed for each indicator.">
              <a:extLst xmlns:a="http://schemas.openxmlformats.org/drawingml/2006/main">
                <a:ext uri="{FF2B5EF4-FFF2-40B4-BE49-F238E27FC236}">
                  <a16:creationId xmlns:a16="http://schemas.microsoft.com/office/drawing/2014/main" id="{712F1248-744A-4E23-9F6F-62D24AFAB0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13422" w:type="dxa"/>
        <w:tblInd w:w="540" w:type="dxa"/>
        <w:tblLayout w:type="fixed"/>
        <w:tblLook w:val="04A0" w:firstRow="1" w:lastRow="0" w:firstColumn="1" w:lastColumn="0" w:noHBand="0" w:noVBand="1"/>
      </w:tblPr>
      <w:tblGrid>
        <w:gridCol w:w="1901"/>
        <w:gridCol w:w="1901"/>
        <w:gridCol w:w="1901"/>
        <w:gridCol w:w="1901"/>
        <w:gridCol w:w="1901"/>
        <w:gridCol w:w="2016"/>
        <w:gridCol w:w="1901"/>
      </w:tblGrid>
      <w:tr w:rsidR="0065551B" w:rsidRPr="00150CD2" w14:paraId="4FDC6DEE" w14:textId="77777777" w:rsidTr="00B262C7">
        <w:trPr>
          <w:trHeight w:val="300"/>
        </w:trPr>
        <w:tc>
          <w:tcPr>
            <w:tcW w:w="1901" w:type="dxa"/>
            <w:tcBorders>
              <w:top w:val="nil"/>
              <w:left w:val="nil"/>
              <w:bottom w:val="nil"/>
              <w:right w:val="nil"/>
            </w:tcBorders>
          </w:tcPr>
          <w:p w14:paraId="6DE62709" w14:textId="77777777" w:rsidR="0065551B" w:rsidRPr="00150CD2" w:rsidRDefault="0065551B" w:rsidP="009C7EC4">
            <w:pPr>
              <w:pStyle w:val="EYTableText"/>
              <w:jc w:val="center"/>
              <w:rPr>
                <w:rFonts w:cs="Arial"/>
                <w:color w:val="404040" w:themeColor="background2" w:themeTint="BF"/>
                <w:sz w:val="20"/>
                <w:szCs w:val="20"/>
              </w:rPr>
            </w:pPr>
            <w:bookmarkStart w:id="89" w:name="_Hlk47211516"/>
            <w:r w:rsidRPr="00150CD2">
              <w:rPr>
                <w:rFonts w:cs="Arial"/>
                <w:color w:val="404040" w:themeColor="background2" w:themeTint="BF"/>
                <w:sz w:val="20"/>
                <w:szCs w:val="20"/>
              </w:rPr>
              <w:t>% children with Ambulatory Sensitive Hospitalisations over a 3 year period</w:t>
            </w:r>
          </w:p>
        </w:tc>
        <w:tc>
          <w:tcPr>
            <w:tcW w:w="1901" w:type="dxa"/>
            <w:tcBorders>
              <w:top w:val="nil"/>
              <w:left w:val="nil"/>
              <w:bottom w:val="nil"/>
              <w:right w:val="nil"/>
            </w:tcBorders>
            <w:shd w:val="clear" w:color="auto" w:fill="auto"/>
            <w:noWrap/>
            <w:hideMark/>
          </w:tcPr>
          <w:p w14:paraId="31747663" w14:textId="77777777" w:rsidR="0065551B" w:rsidRPr="00150CD2" w:rsidRDefault="0065551B" w:rsidP="009C7EC4">
            <w:pPr>
              <w:pStyle w:val="EYTableText"/>
              <w:jc w:val="center"/>
              <w:rPr>
                <w:rFonts w:cs="Arial"/>
                <w:color w:val="404040" w:themeColor="background2" w:themeTint="BF"/>
                <w:sz w:val="20"/>
                <w:szCs w:val="20"/>
              </w:rPr>
            </w:pPr>
            <w:r w:rsidRPr="00150CD2">
              <w:rPr>
                <w:rFonts w:cs="Arial"/>
                <w:color w:val="404040" w:themeColor="background2" w:themeTint="BF"/>
                <w:sz w:val="20"/>
                <w:szCs w:val="20"/>
              </w:rPr>
              <w:t>% children with injury-related emergency department contact over a 3 year period</w:t>
            </w:r>
          </w:p>
        </w:tc>
        <w:tc>
          <w:tcPr>
            <w:tcW w:w="1901" w:type="dxa"/>
            <w:tcBorders>
              <w:top w:val="nil"/>
              <w:left w:val="nil"/>
              <w:bottom w:val="nil"/>
              <w:right w:val="nil"/>
            </w:tcBorders>
            <w:shd w:val="clear" w:color="auto" w:fill="auto"/>
            <w:noWrap/>
            <w:hideMark/>
          </w:tcPr>
          <w:p w14:paraId="5BEE8004" w14:textId="7CBE03A7" w:rsidR="0065551B" w:rsidRPr="00150CD2" w:rsidRDefault="0065551B" w:rsidP="009C7EC4">
            <w:pPr>
              <w:pStyle w:val="EYTableText"/>
              <w:jc w:val="center"/>
              <w:rPr>
                <w:rFonts w:cs="Arial"/>
                <w:color w:val="404040" w:themeColor="background2" w:themeTint="BF"/>
                <w:sz w:val="20"/>
                <w:szCs w:val="20"/>
              </w:rPr>
            </w:pPr>
            <w:r w:rsidRPr="00150CD2">
              <w:rPr>
                <w:rFonts w:cs="Arial"/>
                <w:color w:val="404040" w:themeColor="background2" w:themeTint="BF"/>
                <w:sz w:val="20"/>
                <w:szCs w:val="20"/>
              </w:rPr>
              <w:t>% children with mental health related hospital or community provider service contact</w:t>
            </w:r>
            <w:r w:rsidR="00431D41" w:rsidRPr="00150CD2">
              <w:rPr>
                <w:rFonts w:cs="Arial"/>
                <w:color w:val="404040" w:themeColor="background2" w:themeTint="BF"/>
                <w:sz w:val="20"/>
                <w:szCs w:val="20"/>
              </w:rPr>
              <w:t xml:space="preserve"> over a 3 year period</w:t>
            </w:r>
          </w:p>
        </w:tc>
        <w:tc>
          <w:tcPr>
            <w:tcW w:w="1901" w:type="dxa"/>
            <w:tcBorders>
              <w:top w:val="nil"/>
              <w:left w:val="nil"/>
              <w:bottom w:val="nil"/>
              <w:right w:val="nil"/>
            </w:tcBorders>
            <w:shd w:val="clear" w:color="auto" w:fill="auto"/>
            <w:noWrap/>
            <w:hideMark/>
          </w:tcPr>
          <w:p w14:paraId="67B2014D" w14:textId="77777777" w:rsidR="0065551B" w:rsidRPr="00150CD2" w:rsidRDefault="0065551B" w:rsidP="009C7EC4">
            <w:pPr>
              <w:pStyle w:val="EYTableText"/>
              <w:jc w:val="center"/>
              <w:rPr>
                <w:rFonts w:cs="Arial"/>
                <w:color w:val="404040" w:themeColor="background2" w:themeTint="BF"/>
                <w:sz w:val="20"/>
                <w:szCs w:val="20"/>
              </w:rPr>
            </w:pPr>
            <w:r w:rsidRPr="00150CD2">
              <w:rPr>
                <w:rFonts w:cs="Arial"/>
                <w:color w:val="404040" w:themeColor="background2" w:themeTint="BF"/>
                <w:sz w:val="20"/>
                <w:szCs w:val="20"/>
              </w:rPr>
              <w:t>% children with standdown spells over a 3 year period</w:t>
            </w:r>
          </w:p>
        </w:tc>
        <w:tc>
          <w:tcPr>
            <w:tcW w:w="1901" w:type="dxa"/>
            <w:tcBorders>
              <w:top w:val="nil"/>
              <w:left w:val="nil"/>
              <w:bottom w:val="nil"/>
              <w:right w:val="nil"/>
            </w:tcBorders>
            <w:shd w:val="clear" w:color="auto" w:fill="auto"/>
            <w:noWrap/>
            <w:hideMark/>
          </w:tcPr>
          <w:p w14:paraId="32E8DDBC" w14:textId="77777777" w:rsidR="0065551B" w:rsidRPr="00150CD2" w:rsidRDefault="0065551B" w:rsidP="009C7EC4">
            <w:pPr>
              <w:pStyle w:val="EYTableText"/>
              <w:jc w:val="center"/>
              <w:rPr>
                <w:rFonts w:cs="Arial"/>
                <w:color w:val="404040" w:themeColor="background2" w:themeTint="BF"/>
                <w:sz w:val="20"/>
                <w:szCs w:val="20"/>
              </w:rPr>
            </w:pPr>
            <w:r w:rsidRPr="00150CD2">
              <w:rPr>
                <w:rFonts w:cs="Arial"/>
                <w:color w:val="404040" w:themeColor="background2" w:themeTint="BF"/>
                <w:sz w:val="20"/>
                <w:szCs w:val="20"/>
              </w:rPr>
              <w:t>% children involved in Oranga Tamariki reports of concern over a 3 year period</w:t>
            </w:r>
          </w:p>
        </w:tc>
        <w:tc>
          <w:tcPr>
            <w:tcW w:w="2016" w:type="dxa"/>
            <w:tcBorders>
              <w:top w:val="nil"/>
              <w:left w:val="nil"/>
              <w:bottom w:val="nil"/>
              <w:right w:val="nil"/>
            </w:tcBorders>
            <w:shd w:val="clear" w:color="auto" w:fill="auto"/>
            <w:noWrap/>
            <w:hideMark/>
          </w:tcPr>
          <w:p w14:paraId="2A8F4B51" w14:textId="77777777" w:rsidR="0065551B" w:rsidRPr="00150CD2" w:rsidRDefault="0065551B" w:rsidP="009C7EC4">
            <w:pPr>
              <w:pStyle w:val="EYTableText"/>
              <w:jc w:val="center"/>
              <w:rPr>
                <w:rFonts w:cs="Arial"/>
                <w:color w:val="404040" w:themeColor="background2" w:themeTint="BF"/>
                <w:sz w:val="20"/>
                <w:szCs w:val="20"/>
              </w:rPr>
            </w:pPr>
            <w:r w:rsidRPr="00150CD2">
              <w:rPr>
                <w:rFonts w:cs="Arial"/>
                <w:color w:val="404040" w:themeColor="background2" w:themeTint="BF"/>
                <w:sz w:val="20"/>
                <w:szCs w:val="20"/>
              </w:rPr>
              <w:t>% children with parent/caregiver(s) with employment income for at least one year over a 3 year period</w:t>
            </w:r>
          </w:p>
        </w:tc>
        <w:tc>
          <w:tcPr>
            <w:tcW w:w="1901" w:type="dxa"/>
            <w:tcBorders>
              <w:top w:val="nil"/>
              <w:left w:val="nil"/>
              <w:bottom w:val="nil"/>
              <w:right w:val="nil"/>
            </w:tcBorders>
            <w:shd w:val="clear" w:color="auto" w:fill="auto"/>
            <w:noWrap/>
            <w:hideMark/>
          </w:tcPr>
          <w:p w14:paraId="564929FB" w14:textId="77777777" w:rsidR="0065551B" w:rsidRPr="00150CD2" w:rsidRDefault="0065551B" w:rsidP="009C7EC4">
            <w:pPr>
              <w:pStyle w:val="EYTableText"/>
              <w:jc w:val="center"/>
              <w:rPr>
                <w:rFonts w:cs="Arial"/>
                <w:color w:val="404040" w:themeColor="background2" w:themeTint="BF"/>
                <w:sz w:val="20"/>
                <w:szCs w:val="20"/>
              </w:rPr>
            </w:pPr>
            <w:r w:rsidRPr="00150CD2">
              <w:rPr>
                <w:rFonts w:cs="Arial"/>
                <w:color w:val="404040" w:themeColor="background2" w:themeTint="BF"/>
                <w:sz w:val="20"/>
                <w:szCs w:val="20"/>
              </w:rPr>
              <w:t>% children whose parent/caregiver drew on third-tier MSD support payments over a 3 year period</w:t>
            </w:r>
          </w:p>
        </w:tc>
      </w:tr>
      <w:bookmarkEnd w:id="89"/>
    </w:tbl>
    <w:p w14:paraId="6A7D8F0F" w14:textId="77777777" w:rsidR="0065551B" w:rsidRPr="00150CD2" w:rsidRDefault="0065551B" w:rsidP="001E6446">
      <w:pPr>
        <w:rPr>
          <w:rFonts w:cs="Arial"/>
        </w:rPr>
      </w:pPr>
    </w:p>
    <w:tbl>
      <w:tblPr>
        <w:tblStyle w:val="TableGrid"/>
        <w:tblW w:w="14083" w:type="dxa"/>
        <w:tblLayout w:type="fixed"/>
        <w:tblCellMar>
          <w:top w:w="28" w:type="dxa"/>
          <w:left w:w="86" w:type="dxa"/>
          <w:bottom w:w="28" w:type="dxa"/>
          <w:right w:w="86" w:type="dxa"/>
        </w:tblCellMar>
        <w:tblLook w:val="04A0" w:firstRow="1" w:lastRow="0" w:firstColumn="1" w:lastColumn="0" w:noHBand="0" w:noVBand="1"/>
      </w:tblPr>
      <w:tblGrid>
        <w:gridCol w:w="1555"/>
        <w:gridCol w:w="2016"/>
        <w:gridCol w:w="10512"/>
      </w:tblGrid>
      <w:tr w:rsidR="005F6775" w:rsidRPr="00150CD2" w14:paraId="0B7A7CA7" w14:textId="77777777" w:rsidTr="002D4BE0">
        <w:trPr>
          <w:tblHeader/>
        </w:trPr>
        <w:tc>
          <w:tcPr>
            <w:tcW w:w="1555" w:type="dxa"/>
            <w:tcBorders>
              <w:bottom w:val="single" w:sz="4" w:space="0" w:color="auto"/>
            </w:tcBorders>
            <w:shd w:val="clear" w:color="auto" w:fill="F2F2F2" w:themeFill="background1" w:themeFillShade="F2"/>
          </w:tcPr>
          <w:p w14:paraId="6264D607" w14:textId="77777777" w:rsidR="005F6775" w:rsidRPr="00150CD2" w:rsidRDefault="005F6775" w:rsidP="00D143A9">
            <w:pPr>
              <w:pStyle w:val="EYTableHeading"/>
              <w:spacing w:before="0"/>
              <w:rPr>
                <w:rFonts w:cs="Arial"/>
                <w:sz w:val="24"/>
              </w:rPr>
            </w:pPr>
            <w:r w:rsidRPr="00150CD2">
              <w:rPr>
                <w:rFonts w:cs="Arial"/>
                <w:sz w:val="24"/>
              </w:rPr>
              <w:t>Perspective</w:t>
            </w:r>
          </w:p>
        </w:tc>
        <w:tc>
          <w:tcPr>
            <w:tcW w:w="2016" w:type="dxa"/>
            <w:shd w:val="clear" w:color="auto" w:fill="F2F2F2" w:themeFill="background1" w:themeFillShade="F2"/>
          </w:tcPr>
          <w:p w14:paraId="5173A295" w14:textId="77777777" w:rsidR="005F6775" w:rsidRPr="00150CD2" w:rsidRDefault="005F6775" w:rsidP="00D143A9">
            <w:pPr>
              <w:pStyle w:val="EYTableHeading"/>
              <w:spacing w:before="0"/>
              <w:rPr>
                <w:rFonts w:cs="Arial"/>
                <w:sz w:val="24"/>
              </w:rPr>
            </w:pPr>
            <w:r w:rsidRPr="00150CD2">
              <w:rPr>
                <w:rFonts w:cs="Arial"/>
                <w:sz w:val="24"/>
              </w:rPr>
              <w:t>Indicators</w:t>
            </w:r>
          </w:p>
        </w:tc>
        <w:tc>
          <w:tcPr>
            <w:tcW w:w="10512" w:type="dxa"/>
            <w:shd w:val="clear" w:color="auto" w:fill="F2F2F2" w:themeFill="background1" w:themeFillShade="F2"/>
          </w:tcPr>
          <w:p w14:paraId="62810A71" w14:textId="31AB4008" w:rsidR="00422E24" w:rsidRPr="00150CD2" w:rsidRDefault="009059C4" w:rsidP="00D143A9">
            <w:pPr>
              <w:pStyle w:val="EYTableHeading"/>
              <w:spacing w:before="0"/>
              <w:rPr>
                <w:rFonts w:cs="Arial"/>
                <w:sz w:val="24"/>
              </w:rPr>
            </w:pPr>
            <w:r w:rsidRPr="00150CD2">
              <w:rPr>
                <w:rFonts w:cs="Arial"/>
                <w:sz w:val="24"/>
              </w:rPr>
              <w:t>Insights for children aged 5-</w:t>
            </w:r>
            <w:r w:rsidR="00760100" w:rsidRPr="00150CD2">
              <w:rPr>
                <w:rFonts w:cs="Arial"/>
                <w:sz w:val="24"/>
              </w:rPr>
              <w:t xml:space="preserve">14 </w:t>
            </w:r>
            <w:r w:rsidRPr="00150CD2">
              <w:rPr>
                <w:rFonts w:cs="Arial"/>
                <w:sz w:val="24"/>
              </w:rPr>
              <w:t xml:space="preserve">allocated DSS </w:t>
            </w:r>
            <w:r w:rsidR="00D143A9" w:rsidRPr="00150CD2">
              <w:rPr>
                <w:rFonts w:cs="Arial"/>
                <w:sz w:val="24"/>
              </w:rPr>
              <w:t xml:space="preserve">over the year to June 2018 </w:t>
            </w:r>
            <w:r w:rsidRPr="00150CD2">
              <w:rPr>
                <w:rFonts w:cs="Arial"/>
                <w:sz w:val="24"/>
              </w:rPr>
              <w:t>in MidCentral, compared to other children in MidCentral and other DSS children outside MidCentral –</w:t>
            </w:r>
            <w:r w:rsidR="003036A0" w:rsidRPr="00150CD2">
              <w:rPr>
                <w:rFonts w:cs="Arial"/>
                <w:sz w:val="24"/>
              </w:rPr>
              <w:t xml:space="preserve"> </w:t>
            </w:r>
            <w:r w:rsidRPr="00150CD2">
              <w:rPr>
                <w:rFonts w:cs="Arial"/>
                <w:sz w:val="24"/>
              </w:rPr>
              <w:t xml:space="preserve">outcome </w:t>
            </w:r>
            <w:r w:rsidR="003036A0" w:rsidRPr="00150CD2">
              <w:rPr>
                <w:rFonts w:cs="Arial"/>
                <w:sz w:val="24"/>
              </w:rPr>
              <w:t xml:space="preserve">and service contact </w:t>
            </w:r>
            <w:r w:rsidRPr="00150CD2">
              <w:rPr>
                <w:rFonts w:cs="Arial"/>
                <w:sz w:val="24"/>
              </w:rPr>
              <w:t xml:space="preserve">indicators over </w:t>
            </w:r>
            <w:r w:rsidR="00422E24" w:rsidRPr="00150CD2">
              <w:rPr>
                <w:rFonts w:cs="Arial"/>
                <w:sz w:val="24"/>
              </w:rPr>
              <w:t>the</w:t>
            </w:r>
            <w:r w:rsidR="00880C56" w:rsidRPr="00150CD2">
              <w:rPr>
                <w:rFonts w:cs="Arial"/>
                <w:sz w:val="24"/>
              </w:rPr>
              <w:t xml:space="preserve"> 3 year period</w:t>
            </w:r>
            <w:r w:rsidR="00422E24" w:rsidRPr="00150CD2">
              <w:rPr>
                <w:rFonts w:cs="Arial"/>
                <w:sz w:val="24"/>
              </w:rPr>
              <w:t xml:space="preserve"> to 30 June 2018</w:t>
            </w:r>
          </w:p>
        </w:tc>
      </w:tr>
      <w:tr w:rsidR="008C01A0" w:rsidRPr="00150CD2" w14:paraId="71E4F4E8" w14:textId="77777777" w:rsidTr="002D4BE0">
        <w:tc>
          <w:tcPr>
            <w:tcW w:w="1555" w:type="dxa"/>
            <w:tcBorders>
              <w:bottom w:val="nil"/>
            </w:tcBorders>
          </w:tcPr>
          <w:p w14:paraId="78E23064" w14:textId="43FAD1EB" w:rsidR="008C01A0" w:rsidRPr="00150CD2" w:rsidRDefault="008C01A0" w:rsidP="00A74A24">
            <w:pPr>
              <w:pStyle w:val="EYTableText"/>
              <w:rPr>
                <w:rFonts w:cs="Arial"/>
                <w:sz w:val="24"/>
              </w:rPr>
            </w:pPr>
            <w:r w:rsidRPr="00150CD2">
              <w:rPr>
                <w:rFonts w:cs="Arial"/>
                <w:sz w:val="24"/>
              </w:rPr>
              <w:t>Child</w:t>
            </w:r>
          </w:p>
        </w:tc>
        <w:tc>
          <w:tcPr>
            <w:tcW w:w="2016" w:type="dxa"/>
          </w:tcPr>
          <w:p w14:paraId="186775E6" w14:textId="11C436B8" w:rsidR="008C01A0" w:rsidRPr="00150CD2" w:rsidRDefault="008C01A0" w:rsidP="00A74A24">
            <w:pPr>
              <w:pStyle w:val="EYTableText"/>
              <w:rPr>
                <w:rFonts w:cs="Arial"/>
                <w:sz w:val="24"/>
              </w:rPr>
            </w:pPr>
            <w:r w:rsidRPr="00150CD2">
              <w:rPr>
                <w:rFonts w:cs="Arial"/>
                <w:sz w:val="24"/>
              </w:rPr>
              <w:t xml:space="preserve">School support and </w:t>
            </w:r>
            <w:r w:rsidR="00444D4E" w:rsidRPr="00150CD2">
              <w:rPr>
                <w:rFonts w:cs="Arial"/>
                <w:sz w:val="24"/>
              </w:rPr>
              <w:t>disciplinary responses</w:t>
            </w:r>
          </w:p>
        </w:tc>
        <w:tc>
          <w:tcPr>
            <w:tcW w:w="10512" w:type="dxa"/>
          </w:tcPr>
          <w:p w14:paraId="0D9113C2" w14:textId="432DD930" w:rsidR="00786DAF" w:rsidRPr="00150CD2" w:rsidRDefault="006C05D5" w:rsidP="00D143A9">
            <w:pPr>
              <w:pStyle w:val="EYTablebullet1"/>
              <w:spacing w:before="0" w:after="120"/>
              <w:rPr>
                <w:rFonts w:cs="Arial"/>
                <w:sz w:val="24"/>
              </w:rPr>
            </w:pPr>
            <w:r w:rsidRPr="00150CD2">
              <w:rPr>
                <w:rFonts w:cs="Arial"/>
                <w:sz w:val="24"/>
              </w:rPr>
              <w:t xml:space="preserve">Around half </w:t>
            </w:r>
            <w:r w:rsidR="007417D2" w:rsidRPr="00150CD2">
              <w:rPr>
                <w:rFonts w:cs="Arial"/>
                <w:sz w:val="24"/>
              </w:rPr>
              <w:t xml:space="preserve">(52%) </w:t>
            </w:r>
            <w:r w:rsidRPr="00150CD2">
              <w:rPr>
                <w:rFonts w:cs="Arial"/>
                <w:sz w:val="24"/>
              </w:rPr>
              <w:t>of</w:t>
            </w:r>
            <w:r w:rsidR="00D62FFE" w:rsidRPr="00150CD2">
              <w:rPr>
                <w:rFonts w:cs="Arial"/>
                <w:sz w:val="24"/>
              </w:rPr>
              <w:t xml:space="preserve"> </w:t>
            </w:r>
            <w:r w:rsidR="007417D2" w:rsidRPr="00150CD2">
              <w:rPr>
                <w:rFonts w:cs="Arial"/>
                <w:sz w:val="24"/>
              </w:rPr>
              <w:t>MidCentral DSS</w:t>
            </w:r>
            <w:r w:rsidR="00EA77AE" w:rsidRPr="00150CD2">
              <w:rPr>
                <w:rFonts w:cs="Arial"/>
                <w:sz w:val="24"/>
              </w:rPr>
              <w:t xml:space="preserve"> </w:t>
            </w:r>
            <w:r w:rsidRPr="00150CD2">
              <w:rPr>
                <w:rFonts w:cs="Arial"/>
                <w:sz w:val="24"/>
              </w:rPr>
              <w:t>children enrolled in school received learning support from the Ministry of Education’s Ongoing Resourcing Scheme</w:t>
            </w:r>
            <w:r w:rsidR="00C54B96" w:rsidRPr="00150CD2">
              <w:rPr>
                <w:rFonts w:cs="Arial"/>
                <w:sz w:val="24"/>
              </w:rPr>
              <w:t xml:space="preserve"> (ORS)</w:t>
            </w:r>
            <w:r w:rsidR="007A3665" w:rsidRPr="00150CD2">
              <w:rPr>
                <w:rFonts w:cs="Arial"/>
                <w:sz w:val="24"/>
              </w:rPr>
              <w:t xml:space="preserve">, similar to DSS children in other areas (49%). </w:t>
            </w:r>
            <w:r w:rsidR="00C54B96" w:rsidRPr="00150CD2">
              <w:rPr>
                <w:rFonts w:cs="Arial"/>
                <w:sz w:val="24"/>
              </w:rPr>
              <w:t>ORS is for students who have the highest ongoing levels of need for specialist support at school. Outside the DSS child population, a</w:t>
            </w:r>
            <w:r w:rsidR="000C02BA" w:rsidRPr="00150CD2">
              <w:rPr>
                <w:rFonts w:cs="Arial"/>
                <w:sz w:val="24"/>
              </w:rPr>
              <w:t>round 1% of the non-DSS student population receives ORS</w:t>
            </w:r>
            <w:r w:rsidR="00786DAF" w:rsidRPr="00150CD2">
              <w:rPr>
                <w:rStyle w:val="FootnoteReference"/>
                <w:rFonts w:ascii="Arial" w:hAnsi="Arial" w:cs="Arial"/>
                <w:sz w:val="24"/>
                <w:szCs w:val="24"/>
              </w:rPr>
              <w:footnoteReference w:id="21"/>
            </w:r>
            <w:r w:rsidR="000C02BA" w:rsidRPr="00150CD2">
              <w:rPr>
                <w:rFonts w:cs="Arial"/>
                <w:sz w:val="24"/>
              </w:rPr>
              <w:t>.</w:t>
            </w:r>
          </w:p>
          <w:p w14:paraId="5422BEE9" w14:textId="536A725E" w:rsidR="008C01A0" w:rsidRPr="00150CD2" w:rsidRDefault="00FF57E6" w:rsidP="00E73FA7">
            <w:pPr>
              <w:pStyle w:val="EYTablebullet1"/>
              <w:numPr>
                <w:ilvl w:val="0"/>
                <w:numId w:val="0"/>
              </w:numPr>
              <w:spacing w:before="0" w:after="120"/>
              <w:ind w:left="284"/>
              <w:rPr>
                <w:rFonts w:cs="Arial"/>
                <w:sz w:val="24"/>
              </w:rPr>
            </w:pPr>
            <w:r w:rsidRPr="00150CD2">
              <w:rPr>
                <w:rFonts w:cs="Arial"/>
                <w:sz w:val="24"/>
              </w:rPr>
              <w:t>It is important to note that actual</w:t>
            </w:r>
            <w:r w:rsidR="00BA545B" w:rsidRPr="00150CD2">
              <w:rPr>
                <w:rFonts w:cs="Arial"/>
                <w:sz w:val="24"/>
              </w:rPr>
              <w:t xml:space="preserve"> learning</w:t>
            </w:r>
            <w:r w:rsidR="006C05D5" w:rsidRPr="00150CD2">
              <w:rPr>
                <w:rFonts w:cs="Arial"/>
                <w:sz w:val="24"/>
              </w:rPr>
              <w:t xml:space="preserve"> </w:t>
            </w:r>
            <w:r w:rsidRPr="00150CD2">
              <w:rPr>
                <w:rFonts w:cs="Arial"/>
                <w:sz w:val="24"/>
              </w:rPr>
              <w:t xml:space="preserve">support is higher than this once </w:t>
            </w:r>
            <w:r w:rsidR="00A64109" w:rsidRPr="00150CD2">
              <w:rPr>
                <w:rFonts w:cs="Arial"/>
                <w:sz w:val="24"/>
              </w:rPr>
              <w:t>Ministry of Education</w:t>
            </w:r>
            <w:r w:rsidR="001677EA" w:rsidRPr="00150CD2">
              <w:rPr>
                <w:rFonts w:cs="Arial"/>
                <w:sz w:val="24"/>
              </w:rPr>
              <w:t xml:space="preserve"> funded </w:t>
            </w:r>
            <w:r w:rsidRPr="00150CD2">
              <w:rPr>
                <w:rFonts w:cs="Arial"/>
                <w:sz w:val="24"/>
              </w:rPr>
              <w:t xml:space="preserve">services linked to schools (but not individual children) are included, e.g. funding for teacher’s aides. </w:t>
            </w:r>
            <w:r w:rsidR="001677EA" w:rsidRPr="00150CD2">
              <w:rPr>
                <w:rFonts w:cs="Arial"/>
                <w:sz w:val="24"/>
              </w:rPr>
              <w:t xml:space="preserve">Schools may also provide support not funded by </w:t>
            </w:r>
            <w:r w:rsidR="00A64109" w:rsidRPr="00150CD2">
              <w:rPr>
                <w:rFonts w:cs="Arial"/>
                <w:sz w:val="24"/>
              </w:rPr>
              <w:t>the Ministry of Education</w:t>
            </w:r>
            <w:r w:rsidR="001677EA" w:rsidRPr="00150CD2">
              <w:rPr>
                <w:rFonts w:cs="Arial"/>
                <w:sz w:val="24"/>
              </w:rPr>
              <w:t xml:space="preserve">. </w:t>
            </w:r>
            <w:r w:rsidRPr="00150CD2">
              <w:rPr>
                <w:rFonts w:cs="Arial"/>
                <w:sz w:val="24"/>
              </w:rPr>
              <w:t xml:space="preserve">For DSS children with responses in the 2013 Disability Survey, around 80% had “extra help with </w:t>
            </w:r>
            <w:r w:rsidR="00616AC0" w:rsidRPr="00150CD2">
              <w:rPr>
                <w:rFonts w:cs="Arial"/>
                <w:sz w:val="24"/>
              </w:rPr>
              <w:t>schoolwork</w:t>
            </w:r>
            <w:r w:rsidRPr="00150CD2">
              <w:rPr>
                <w:rFonts w:cs="Arial"/>
                <w:sz w:val="24"/>
              </w:rPr>
              <w:t xml:space="preserve"> because of a condition or health problem”.</w:t>
            </w:r>
          </w:p>
          <w:p w14:paraId="5402DFFD" w14:textId="137F3C93" w:rsidR="008C01A0" w:rsidRPr="00150CD2" w:rsidRDefault="008C01A0" w:rsidP="00D143A9">
            <w:pPr>
              <w:pStyle w:val="EYTablebullet1"/>
              <w:spacing w:before="0" w:after="120"/>
              <w:rPr>
                <w:rFonts w:cs="Arial"/>
                <w:sz w:val="24"/>
              </w:rPr>
            </w:pPr>
            <w:r w:rsidRPr="00150CD2">
              <w:rPr>
                <w:rFonts w:cs="Arial"/>
                <w:sz w:val="24"/>
              </w:rPr>
              <w:t xml:space="preserve">Around </w:t>
            </w:r>
            <w:r w:rsidR="00AB77A9" w:rsidRPr="00150CD2">
              <w:rPr>
                <w:rFonts w:cs="Arial"/>
                <w:sz w:val="24"/>
              </w:rPr>
              <w:t>13</w:t>
            </w:r>
            <w:r w:rsidRPr="00150CD2">
              <w:rPr>
                <w:rFonts w:cs="Arial"/>
                <w:sz w:val="24"/>
              </w:rPr>
              <w:t>% changed school over the period, marginally higher than for other children of that age in MidCentral or</w:t>
            </w:r>
            <w:r w:rsidR="00AB77A9" w:rsidRPr="00150CD2">
              <w:rPr>
                <w:rFonts w:cs="Arial"/>
                <w:sz w:val="24"/>
              </w:rPr>
              <w:t xml:space="preserve"> </w:t>
            </w:r>
            <w:r w:rsidR="00563530" w:rsidRPr="00150CD2">
              <w:rPr>
                <w:rFonts w:cs="Arial"/>
                <w:sz w:val="24"/>
              </w:rPr>
              <w:t xml:space="preserve">for </w:t>
            </w:r>
            <w:r w:rsidR="00D22AA1" w:rsidRPr="00150CD2">
              <w:rPr>
                <w:rFonts w:cs="Arial"/>
                <w:sz w:val="24"/>
              </w:rPr>
              <w:t xml:space="preserve">DSS children </w:t>
            </w:r>
            <w:r w:rsidRPr="00150CD2">
              <w:rPr>
                <w:rFonts w:cs="Arial"/>
                <w:sz w:val="24"/>
              </w:rPr>
              <w:t>outside MidCentral</w:t>
            </w:r>
            <w:r w:rsidR="00AB77A9" w:rsidRPr="00150CD2">
              <w:rPr>
                <w:rFonts w:cs="Arial"/>
                <w:sz w:val="24"/>
              </w:rPr>
              <w:t xml:space="preserve"> (9%)</w:t>
            </w:r>
            <w:r w:rsidRPr="00150CD2">
              <w:rPr>
                <w:rFonts w:cs="Arial"/>
                <w:sz w:val="24"/>
              </w:rPr>
              <w:t>.</w:t>
            </w:r>
          </w:p>
          <w:p w14:paraId="3EB1D501" w14:textId="4E55BB82" w:rsidR="008C01A0" w:rsidRPr="00150CD2" w:rsidRDefault="008C01A0" w:rsidP="00D143A9">
            <w:pPr>
              <w:pStyle w:val="EYTablebullet1"/>
              <w:spacing w:before="0" w:after="120"/>
              <w:rPr>
                <w:rFonts w:cs="Arial"/>
                <w:sz w:val="24"/>
              </w:rPr>
            </w:pPr>
            <w:r w:rsidRPr="00150CD2">
              <w:rPr>
                <w:rFonts w:cs="Arial"/>
                <w:sz w:val="24"/>
              </w:rPr>
              <w:t>A small but significant proportion of MidCentral DSS children showed indicators of school</w:t>
            </w:r>
            <w:r w:rsidR="00D406A5" w:rsidRPr="00150CD2">
              <w:rPr>
                <w:rFonts w:cs="Arial"/>
                <w:sz w:val="24"/>
              </w:rPr>
              <w:t xml:space="preserve"> disciplin</w:t>
            </w:r>
            <w:r w:rsidR="0011517C" w:rsidRPr="00150CD2">
              <w:rPr>
                <w:rFonts w:cs="Arial"/>
                <w:sz w:val="24"/>
              </w:rPr>
              <w:t>ary responses</w:t>
            </w:r>
            <w:r w:rsidR="00D406A5" w:rsidRPr="00150CD2">
              <w:rPr>
                <w:rFonts w:cs="Arial"/>
                <w:sz w:val="24"/>
              </w:rPr>
              <w:t xml:space="preserve"> and </w:t>
            </w:r>
            <w:r w:rsidRPr="00150CD2">
              <w:rPr>
                <w:rFonts w:cs="Arial"/>
                <w:sz w:val="24"/>
              </w:rPr>
              <w:t>disengagement, including truancy</w:t>
            </w:r>
            <w:r w:rsidR="00F312F4" w:rsidRPr="00150CD2">
              <w:rPr>
                <w:rStyle w:val="FootnoteReference"/>
                <w:rFonts w:ascii="Arial" w:hAnsi="Arial" w:cs="Arial"/>
                <w:sz w:val="24"/>
                <w:szCs w:val="24"/>
              </w:rPr>
              <w:footnoteReference w:id="22"/>
            </w:r>
            <w:r w:rsidRPr="00150CD2">
              <w:rPr>
                <w:rFonts w:cs="Arial"/>
                <w:sz w:val="24"/>
              </w:rPr>
              <w:t>, standdowns and suspensions. Reflecting differences in the broader student population, male students were several times more likely to be involved in standdowns or truancy than female students.</w:t>
            </w:r>
          </w:p>
          <w:p w14:paraId="0D57C39B" w14:textId="38223CB7" w:rsidR="008C01A0" w:rsidRPr="00150CD2" w:rsidRDefault="008C01A0" w:rsidP="00D143A9">
            <w:pPr>
              <w:pStyle w:val="EYTablebullet2"/>
              <w:spacing w:before="0" w:after="120"/>
              <w:rPr>
                <w:rFonts w:cs="Arial"/>
                <w:sz w:val="24"/>
              </w:rPr>
            </w:pPr>
            <w:r w:rsidRPr="00150CD2">
              <w:rPr>
                <w:rFonts w:cs="Arial"/>
                <w:sz w:val="24"/>
              </w:rPr>
              <w:t xml:space="preserve">Around </w:t>
            </w:r>
            <w:r w:rsidR="0011517C" w:rsidRPr="00150CD2">
              <w:rPr>
                <w:rFonts w:cs="Arial"/>
                <w:sz w:val="24"/>
              </w:rPr>
              <w:t>14</w:t>
            </w:r>
            <w:r w:rsidRPr="00150CD2">
              <w:rPr>
                <w:rFonts w:cs="Arial"/>
                <w:sz w:val="24"/>
              </w:rPr>
              <w:t xml:space="preserve">% of </w:t>
            </w:r>
            <w:r w:rsidR="0011517C" w:rsidRPr="00150CD2">
              <w:rPr>
                <w:rFonts w:cs="Arial"/>
                <w:sz w:val="24"/>
              </w:rPr>
              <w:t>5</w:t>
            </w:r>
            <w:r w:rsidRPr="00150CD2">
              <w:rPr>
                <w:rFonts w:cs="Arial"/>
                <w:sz w:val="24"/>
              </w:rPr>
              <w:t>-1</w:t>
            </w:r>
            <w:r w:rsidR="0011517C" w:rsidRPr="00150CD2">
              <w:rPr>
                <w:rFonts w:cs="Arial"/>
                <w:sz w:val="24"/>
              </w:rPr>
              <w:t>4</w:t>
            </w:r>
            <w:r w:rsidRPr="00150CD2">
              <w:rPr>
                <w:rFonts w:cs="Arial"/>
                <w:sz w:val="24"/>
              </w:rPr>
              <w:t xml:space="preserve"> year old MidCentral DSS children had standdown spell(s) over the period. </w:t>
            </w:r>
            <w:r w:rsidR="00A5268D" w:rsidRPr="00150CD2">
              <w:rPr>
                <w:rFonts w:cs="Arial"/>
                <w:sz w:val="24"/>
              </w:rPr>
              <w:t>After adjusting for gender (</w:t>
            </w:r>
            <w:r w:rsidR="00244034" w:rsidRPr="00150CD2">
              <w:rPr>
                <w:rFonts w:cs="Arial"/>
                <w:sz w:val="24"/>
              </w:rPr>
              <w:t>70</w:t>
            </w:r>
            <w:r w:rsidR="00AA6EE2" w:rsidRPr="00150CD2">
              <w:rPr>
                <w:rFonts w:cs="Arial"/>
                <w:sz w:val="24"/>
              </w:rPr>
              <w:t>% of the 5-</w:t>
            </w:r>
            <w:r w:rsidR="00244034" w:rsidRPr="00150CD2">
              <w:rPr>
                <w:rFonts w:cs="Arial"/>
                <w:sz w:val="24"/>
              </w:rPr>
              <w:t xml:space="preserve">14 </w:t>
            </w:r>
            <w:r w:rsidR="00AA6EE2" w:rsidRPr="00150CD2">
              <w:rPr>
                <w:rFonts w:cs="Arial"/>
                <w:sz w:val="24"/>
              </w:rPr>
              <w:t xml:space="preserve">year old MidCentral DSS group is male), the standdown rates are </w:t>
            </w:r>
            <w:r w:rsidRPr="00150CD2">
              <w:rPr>
                <w:rFonts w:cs="Arial"/>
                <w:sz w:val="24"/>
              </w:rPr>
              <w:t>2</w:t>
            </w:r>
            <w:r w:rsidR="00244034" w:rsidRPr="00150CD2">
              <w:rPr>
                <w:rFonts w:cs="Arial"/>
                <w:sz w:val="24"/>
              </w:rPr>
              <w:t>.6</w:t>
            </w:r>
            <w:r w:rsidR="00CA4326" w:rsidRPr="00150CD2">
              <w:rPr>
                <w:rFonts w:cs="Arial"/>
                <w:sz w:val="24"/>
              </w:rPr>
              <w:t xml:space="preserve"> times </w:t>
            </w:r>
            <w:r w:rsidRPr="00150CD2">
              <w:rPr>
                <w:rFonts w:cs="Arial"/>
                <w:sz w:val="24"/>
              </w:rPr>
              <w:t>higher than for other children of that age in MidCentral, and 1.</w:t>
            </w:r>
            <w:r w:rsidR="00244034" w:rsidRPr="00150CD2">
              <w:rPr>
                <w:rFonts w:cs="Arial"/>
                <w:sz w:val="24"/>
              </w:rPr>
              <w:t>6</w:t>
            </w:r>
            <w:r w:rsidR="00CA4326" w:rsidRPr="00150CD2">
              <w:rPr>
                <w:rFonts w:cs="Arial"/>
                <w:sz w:val="24"/>
              </w:rPr>
              <w:t xml:space="preserve"> times </w:t>
            </w:r>
            <w:r w:rsidRPr="00150CD2">
              <w:rPr>
                <w:rFonts w:cs="Arial"/>
                <w:sz w:val="24"/>
              </w:rPr>
              <w:t>the rate of 5-1</w:t>
            </w:r>
            <w:r w:rsidR="00244034" w:rsidRPr="00150CD2">
              <w:rPr>
                <w:rFonts w:cs="Arial"/>
                <w:sz w:val="24"/>
              </w:rPr>
              <w:t>4</w:t>
            </w:r>
            <w:r w:rsidR="00AA6EE2" w:rsidRPr="00150CD2">
              <w:rPr>
                <w:rFonts w:cs="Arial"/>
                <w:sz w:val="24"/>
              </w:rPr>
              <w:t xml:space="preserve"> year old </w:t>
            </w:r>
            <w:r w:rsidRPr="00150CD2">
              <w:rPr>
                <w:rFonts w:cs="Arial"/>
                <w:sz w:val="24"/>
              </w:rPr>
              <w:t>DSS children outside MidCentral</w:t>
            </w:r>
            <w:r w:rsidR="00834937" w:rsidRPr="00150CD2">
              <w:rPr>
                <w:rFonts w:cs="Arial"/>
                <w:sz w:val="24"/>
              </w:rPr>
              <w:t xml:space="preserve"> (</w:t>
            </w:r>
            <w:r w:rsidR="00244034" w:rsidRPr="00150CD2">
              <w:rPr>
                <w:rFonts w:cs="Arial"/>
                <w:sz w:val="24"/>
              </w:rPr>
              <w:t>9</w:t>
            </w:r>
            <w:r w:rsidR="00834937" w:rsidRPr="00150CD2">
              <w:rPr>
                <w:rFonts w:cs="Arial"/>
                <w:sz w:val="24"/>
              </w:rPr>
              <w:t>%)</w:t>
            </w:r>
            <w:r w:rsidRPr="00150CD2">
              <w:rPr>
                <w:rFonts w:cs="Arial"/>
                <w:sz w:val="24"/>
              </w:rPr>
              <w:t>.</w:t>
            </w:r>
          </w:p>
          <w:p w14:paraId="7AF7CADA" w14:textId="58547276" w:rsidR="008C01A0" w:rsidRPr="00150CD2" w:rsidRDefault="00244034" w:rsidP="00D143A9">
            <w:pPr>
              <w:pStyle w:val="EYTablebullet2"/>
              <w:spacing w:before="0" w:after="120"/>
              <w:rPr>
                <w:rFonts w:cs="Arial"/>
                <w:sz w:val="24"/>
              </w:rPr>
            </w:pPr>
            <w:r w:rsidRPr="00150CD2">
              <w:rPr>
                <w:rFonts w:cs="Arial"/>
                <w:sz w:val="24"/>
              </w:rPr>
              <w:t>11</w:t>
            </w:r>
            <w:r w:rsidR="008C01A0" w:rsidRPr="00150CD2">
              <w:rPr>
                <w:rFonts w:cs="Arial"/>
                <w:sz w:val="24"/>
              </w:rPr>
              <w:t>% of 10-</w:t>
            </w:r>
            <w:r w:rsidRPr="00150CD2">
              <w:rPr>
                <w:rFonts w:cs="Arial"/>
                <w:sz w:val="24"/>
              </w:rPr>
              <w:t xml:space="preserve">14 </w:t>
            </w:r>
            <w:r w:rsidR="008C01A0" w:rsidRPr="00150CD2">
              <w:rPr>
                <w:rFonts w:cs="Arial"/>
                <w:sz w:val="24"/>
              </w:rPr>
              <w:t xml:space="preserve">year old MidCentral DSS children had truancy spells, </w:t>
            </w:r>
            <w:r w:rsidR="000C02BA" w:rsidRPr="00150CD2">
              <w:rPr>
                <w:rFonts w:cs="Arial"/>
                <w:sz w:val="24"/>
              </w:rPr>
              <w:t xml:space="preserve">similar to other 10-14 year old DSS children outside MidCentral (10%) and </w:t>
            </w:r>
            <w:r w:rsidR="008C01A0" w:rsidRPr="00150CD2">
              <w:rPr>
                <w:rFonts w:cs="Arial"/>
                <w:sz w:val="24"/>
              </w:rPr>
              <w:t>marginally higher than for other children of that age in MidCentral (</w:t>
            </w:r>
            <w:r w:rsidRPr="00150CD2">
              <w:rPr>
                <w:rFonts w:cs="Arial"/>
                <w:sz w:val="24"/>
              </w:rPr>
              <w:t>9</w:t>
            </w:r>
            <w:r w:rsidR="008C01A0" w:rsidRPr="00150CD2">
              <w:rPr>
                <w:rFonts w:cs="Arial"/>
                <w:sz w:val="24"/>
              </w:rPr>
              <w:t>%).</w:t>
            </w:r>
          </w:p>
          <w:p w14:paraId="0F2DFA38" w14:textId="2EF6F08E" w:rsidR="008C01A0" w:rsidRPr="00150CD2" w:rsidRDefault="008C01A0" w:rsidP="00D143A9">
            <w:pPr>
              <w:pStyle w:val="EYTablebullet1"/>
              <w:numPr>
                <w:ilvl w:val="0"/>
                <w:numId w:val="0"/>
              </w:numPr>
              <w:spacing w:before="0" w:after="120"/>
              <w:ind w:left="284"/>
              <w:rPr>
                <w:rFonts w:cs="Arial"/>
                <w:sz w:val="24"/>
              </w:rPr>
            </w:pPr>
            <w:r w:rsidRPr="00150CD2">
              <w:rPr>
                <w:rFonts w:cs="Arial"/>
                <w:sz w:val="24"/>
              </w:rPr>
              <w:t xml:space="preserve">Within the group of MidCentral DSS children, rates were similar across Māori/non-Māori children, SPA levels and disability type. </w:t>
            </w:r>
          </w:p>
        </w:tc>
      </w:tr>
      <w:tr w:rsidR="006E12E5" w:rsidRPr="00150CD2" w14:paraId="2D858094" w14:textId="77777777" w:rsidTr="002D4BE0">
        <w:tc>
          <w:tcPr>
            <w:tcW w:w="1555" w:type="dxa"/>
            <w:tcBorders>
              <w:top w:val="nil"/>
              <w:bottom w:val="nil"/>
            </w:tcBorders>
          </w:tcPr>
          <w:p w14:paraId="78B85CDD" w14:textId="77777777" w:rsidR="006E12E5" w:rsidRPr="00150CD2" w:rsidRDefault="006E12E5" w:rsidP="006E12E5">
            <w:pPr>
              <w:pStyle w:val="EYTableText"/>
              <w:rPr>
                <w:rFonts w:cs="Arial"/>
                <w:sz w:val="24"/>
              </w:rPr>
            </w:pPr>
          </w:p>
        </w:tc>
        <w:tc>
          <w:tcPr>
            <w:tcW w:w="2016" w:type="dxa"/>
          </w:tcPr>
          <w:p w14:paraId="53CF938E" w14:textId="51C44F91" w:rsidR="006E12E5" w:rsidRPr="00150CD2" w:rsidRDefault="006E12E5" w:rsidP="006E12E5">
            <w:pPr>
              <w:pStyle w:val="EYTableText"/>
              <w:rPr>
                <w:rFonts w:cs="Arial"/>
                <w:sz w:val="24"/>
              </w:rPr>
            </w:pPr>
            <w:r w:rsidRPr="00150CD2">
              <w:rPr>
                <w:rFonts w:cs="Arial"/>
                <w:sz w:val="24"/>
              </w:rPr>
              <w:t>Ambulatory sensitive (avoidable) hospitalisations</w:t>
            </w:r>
          </w:p>
        </w:tc>
        <w:tc>
          <w:tcPr>
            <w:tcW w:w="10512" w:type="dxa"/>
          </w:tcPr>
          <w:p w14:paraId="5D5C7F6F" w14:textId="5D7895F7" w:rsidR="006E12E5" w:rsidRPr="00150CD2" w:rsidRDefault="006E12E5" w:rsidP="006E12E5">
            <w:pPr>
              <w:pStyle w:val="EYTablebullet1"/>
              <w:spacing w:before="0" w:after="120"/>
              <w:rPr>
                <w:rFonts w:cs="Arial"/>
                <w:sz w:val="24"/>
              </w:rPr>
            </w:pPr>
            <w:r w:rsidRPr="00150CD2">
              <w:rPr>
                <w:rFonts w:cs="Arial"/>
                <w:sz w:val="24"/>
              </w:rPr>
              <w:t>1 in 5 children (21%) had ambulatory care sensitive hospitalisations over a three year period. This was around 5</w:t>
            </w:r>
            <w:r w:rsidR="00CA4326" w:rsidRPr="00150CD2">
              <w:rPr>
                <w:rFonts w:cs="Arial"/>
                <w:sz w:val="24"/>
              </w:rPr>
              <w:t xml:space="preserve"> times </w:t>
            </w:r>
            <w:r w:rsidRPr="00150CD2">
              <w:rPr>
                <w:rFonts w:cs="Arial"/>
                <w:sz w:val="24"/>
              </w:rPr>
              <w:t>the rate of the broader 5-14 year old MidCentral child population (4%) and marginally higher than for other similarly aged DSS children (17%).</w:t>
            </w:r>
          </w:p>
          <w:p w14:paraId="0B3B3584" w14:textId="4B91ED83" w:rsidR="006E12E5" w:rsidRPr="00150CD2" w:rsidRDefault="006E12E5" w:rsidP="006E12E5">
            <w:pPr>
              <w:pStyle w:val="EYTablebullet1"/>
              <w:spacing w:before="0" w:after="120"/>
              <w:rPr>
                <w:rFonts w:cs="Arial"/>
                <w:sz w:val="24"/>
              </w:rPr>
            </w:pPr>
            <w:r w:rsidRPr="00150CD2">
              <w:rPr>
                <w:rFonts w:cs="Arial"/>
                <w:sz w:val="24"/>
              </w:rPr>
              <w:t xml:space="preserve">Within the group of MidCentral DSS children, children with an intellectual disability or with </w:t>
            </w:r>
            <w:r w:rsidR="00DF5F17" w:rsidRPr="00150CD2">
              <w:rPr>
                <w:rFonts w:cs="Arial"/>
                <w:sz w:val="24"/>
              </w:rPr>
              <w:t>high/very high SPA</w:t>
            </w:r>
            <w:r w:rsidRPr="00150CD2">
              <w:rPr>
                <w:rFonts w:cs="Arial"/>
                <w:sz w:val="24"/>
              </w:rPr>
              <w:t xml:space="preserve"> levels were more likely to have had ambulatory sensitive hospitalisations over a three year period:</w:t>
            </w:r>
          </w:p>
          <w:p w14:paraId="5EC21217" w14:textId="3E650B7A" w:rsidR="006E12E5" w:rsidRPr="00150CD2" w:rsidRDefault="006E12E5" w:rsidP="006E12E5">
            <w:pPr>
              <w:pStyle w:val="EYTablebullet2"/>
              <w:spacing w:before="0" w:after="120"/>
              <w:rPr>
                <w:rFonts w:cs="Arial"/>
                <w:sz w:val="24"/>
              </w:rPr>
            </w:pPr>
            <w:r w:rsidRPr="00150CD2">
              <w:rPr>
                <w:rFonts w:cs="Arial"/>
                <w:sz w:val="24"/>
              </w:rPr>
              <w:t xml:space="preserve">24% for children with intellectual disability, compared with 16% for those with other </w:t>
            </w:r>
            <w:r w:rsidR="009E4F58" w:rsidRPr="00150CD2">
              <w:rPr>
                <w:rFonts w:cs="Arial"/>
                <w:sz w:val="24"/>
              </w:rPr>
              <w:t>prioritised</w:t>
            </w:r>
            <w:r w:rsidRPr="00150CD2">
              <w:rPr>
                <w:rFonts w:cs="Arial"/>
                <w:sz w:val="24"/>
              </w:rPr>
              <w:t xml:space="preserve"> disability types</w:t>
            </w:r>
          </w:p>
          <w:p w14:paraId="40919ECA" w14:textId="1EBD56D7" w:rsidR="006E12E5" w:rsidRPr="00150CD2" w:rsidRDefault="006E12E5" w:rsidP="006E12E5">
            <w:pPr>
              <w:pStyle w:val="EYTablebullet2"/>
              <w:spacing w:before="0" w:after="120"/>
              <w:rPr>
                <w:rFonts w:cs="Arial"/>
                <w:sz w:val="24"/>
              </w:rPr>
            </w:pPr>
            <w:r w:rsidRPr="00150CD2">
              <w:rPr>
                <w:rFonts w:cs="Arial"/>
                <w:sz w:val="24"/>
              </w:rPr>
              <w:t>29% for children with high/very high SPA levels, compared with 15% for those with low to medium SPA levels</w:t>
            </w:r>
            <w:r w:rsidR="000C02BA" w:rsidRPr="00150CD2">
              <w:rPr>
                <w:rFonts w:cs="Arial"/>
                <w:sz w:val="24"/>
              </w:rPr>
              <w:t>.</w:t>
            </w:r>
          </w:p>
        </w:tc>
      </w:tr>
      <w:tr w:rsidR="000B12E6" w:rsidRPr="00150CD2" w14:paraId="759EE1D8" w14:textId="77777777" w:rsidTr="002D4BE0">
        <w:tc>
          <w:tcPr>
            <w:tcW w:w="1555" w:type="dxa"/>
            <w:tcBorders>
              <w:top w:val="nil"/>
              <w:bottom w:val="nil"/>
            </w:tcBorders>
          </w:tcPr>
          <w:p w14:paraId="2AA9785A" w14:textId="77777777" w:rsidR="000B12E6" w:rsidRPr="00150CD2" w:rsidRDefault="000B12E6" w:rsidP="000B12E6">
            <w:pPr>
              <w:pStyle w:val="EYTableText"/>
              <w:rPr>
                <w:rFonts w:cs="Arial"/>
                <w:sz w:val="24"/>
              </w:rPr>
            </w:pPr>
          </w:p>
        </w:tc>
        <w:tc>
          <w:tcPr>
            <w:tcW w:w="2016" w:type="dxa"/>
          </w:tcPr>
          <w:p w14:paraId="427AECE3" w14:textId="5110AFFA" w:rsidR="000B12E6" w:rsidRPr="00150CD2" w:rsidRDefault="000B12E6" w:rsidP="000B12E6">
            <w:pPr>
              <w:pStyle w:val="EYTableText"/>
              <w:rPr>
                <w:rFonts w:cs="Arial"/>
                <w:sz w:val="24"/>
              </w:rPr>
            </w:pPr>
            <w:r w:rsidRPr="00150CD2">
              <w:rPr>
                <w:rFonts w:cs="Arial"/>
                <w:sz w:val="24"/>
              </w:rPr>
              <w:t xml:space="preserve">Emergency Department </w:t>
            </w:r>
            <w:r w:rsidR="009D42D8" w:rsidRPr="00150CD2">
              <w:rPr>
                <w:rFonts w:cs="Arial"/>
                <w:sz w:val="24"/>
              </w:rPr>
              <w:t xml:space="preserve">(ED) </w:t>
            </w:r>
            <w:r w:rsidRPr="00150CD2">
              <w:rPr>
                <w:rFonts w:cs="Arial"/>
                <w:sz w:val="24"/>
              </w:rPr>
              <w:t>contacts and injury related hospitalisations</w:t>
            </w:r>
          </w:p>
        </w:tc>
        <w:tc>
          <w:tcPr>
            <w:tcW w:w="10512" w:type="dxa"/>
          </w:tcPr>
          <w:p w14:paraId="260B3A78" w14:textId="45762E0C" w:rsidR="000B12E6" w:rsidRPr="00150CD2" w:rsidRDefault="00B54D3C" w:rsidP="00D143A9">
            <w:pPr>
              <w:pStyle w:val="EYTablebullet1"/>
              <w:spacing w:before="0" w:after="120"/>
              <w:rPr>
                <w:rFonts w:cs="Arial"/>
                <w:sz w:val="24"/>
              </w:rPr>
            </w:pPr>
            <w:r w:rsidRPr="00150CD2">
              <w:rPr>
                <w:rFonts w:cs="Arial"/>
                <w:sz w:val="24"/>
              </w:rPr>
              <w:t xml:space="preserve">41% of MidCentral DSS children attended ED at least once over a three year period, with </w:t>
            </w:r>
            <w:r w:rsidR="000B12E6" w:rsidRPr="00150CD2">
              <w:rPr>
                <w:rFonts w:cs="Arial"/>
                <w:sz w:val="24"/>
              </w:rPr>
              <w:t>1</w:t>
            </w:r>
            <w:r w:rsidR="006C1B0A" w:rsidRPr="00150CD2">
              <w:rPr>
                <w:rFonts w:cs="Arial"/>
                <w:sz w:val="24"/>
              </w:rPr>
              <w:t>9</w:t>
            </w:r>
            <w:r w:rsidR="000B12E6" w:rsidRPr="00150CD2">
              <w:rPr>
                <w:rFonts w:cs="Arial"/>
                <w:sz w:val="24"/>
              </w:rPr>
              <w:t xml:space="preserve">% </w:t>
            </w:r>
            <w:r w:rsidRPr="00150CD2">
              <w:rPr>
                <w:rFonts w:cs="Arial"/>
                <w:sz w:val="24"/>
              </w:rPr>
              <w:t>having</w:t>
            </w:r>
            <w:r w:rsidR="000B12E6" w:rsidRPr="00150CD2">
              <w:rPr>
                <w:rFonts w:cs="Arial"/>
                <w:sz w:val="24"/>
              </w:rPr>
              <w:t xml:space="preserve"> </w:t>
            </w:r>
            <w:r w:rsidR="006C1B0A" w:rsidRPr="00150CD2">
              <w:rPr>
                <w:rFonts w:cs="Arial"/>
                <w:sz w:val="24"/>
              </w:rPr>
              <w:t>2</w:t>
            </w:r>
            <w:r w:rsidR="000B12E6" w:rsidRPr="00150CD2">
              <w:rPr>
                <w:rFonts w:cs="Arial"/>
                <w:sz w:val="24"/>
              </w:rPr>
              <w:t xml:space="preserve"> or more </w:t>
            </w:r>
            <w:r w:rsidR="00EA77AE" w:rsidRPr="00150CD2">
              <w:rPr>
                <w:rFonts w:cs="Arial"/>
                <w:sz w:val="24"/>
              </w:rPr>
              <w:t>visits to</w:t>
            </w:r>
            <w:r w:rsidR="00856F4B" w:rsidRPr="00150CD2">
              <w:rPr>
                <w:rFonts w:cs="Arial"/>
                <w:sz w:val="24"/>
              </w:rPr>
              <w:t xml:space="preserve"> </w:t>
            </w:r>
            <w:r w:rsidR="000B12E6" w:rsidRPr="00150CD2">
              <w:rPr>
                <w:rFonts w:cs="Arial"/>
                <w:sz w:val="24"/>
              </w:rPr>
              <w:t>ED over a three year period</w:t>
            </w:r>
            <w:r w:rsidRPr="00150CD2">
              <w:rPr>
                <w:rFonts w:cs="Arial"/>
                <w:sz w:val="24"/>
              </w:rPr>
              <w:t>. This was similar to DSS children in other areas (38% attended ED at least once and 19% had 2 or more visits) but significantly higher than for non-DSS MidCentral children</w:t>
            </w:r>
            <w:r w:rsidR="006D2F4A" w:rsidRPr="00150CD2">
              <w:rPr>
                <w:rFonts w:cs="Arial"/>
                <w:sz w:val="24"/>
              </w:rPr>
              <w:t xml:space="preserve"> </w:t>
            </w:r>
            <w:r w:rsidR="000B12E6" w:rsidRPr="00150CD2">
              <w:rPr>
                <w:rFonts w:cs="Arial"/>
                <w:sz w:val="24"/>
              </w:rPr>
              <w:t>(</w:t>
            </w:r>
            <w:r w:rsidRPr="00150CD2">
              <w:rPr>
                <w:rFonts w:cs="Arial"/>
                <w:sz w:val="24"/>
              </w:rPr>
              <w:t xml:space="preserve">27% attended ED at least once and around </w:t>
            </w:r>
            <w:r w:rsidR="00E56945" w:rsidRPr="00150CD2">
              <w:rPr>
                <w:rFonts w:cs="Arial"/>
                <w:sz w:val="24"/>
              </w:rPr>
              <w:t>9</w:t>
            </w:r>
            <w:r w:rsidR="000B12E6" w:rsidRPr="00150CD2">
              <w:rPr>
                <w:rFonts w:cs="Arial"/>
                <w:sz w:val="24"/>
              </w:rPr>
              <w:t xml:space="preserve">% had </w:t>
            </w:r>
            <w:r w:rsidR="006C1B0A" w:rsidRPr="00150CD2">
              <w:rPr>
                <w:rFonts w:cs="Arial"/>
                <w:sz w:val="24"/>
              </w:rPr>
              <w:t>2</w:t>
            </w:r>
            <w:r w:rsidR="000B12E6" w:rsidRPr="00150CD2">
              <w:rPr>
                <w:rFonts w:cs="Arial"/>
                <w:sz w:val="24"/>
              </w:rPr>
              <w:t xml:space="preserve"> or more ED contacts over the same period).</w:t>
            </w:r>
            <w:r w:rsidR="00E56945" w:rsidRPr="00150CD2">
              <w:rPr>
                <w:rFonts w:cs="Arial"/>
                <w:sz w:val="24"/>
              </w:rPr>
              <w:br/>
            </w:r>
            <w:r w:rsidR="000B12E6" w:rsidRPr="00150CD2">
              <w:rPr>
                <w:rFonts w:cs="Arial"/>
                <w:sz w:val="24"/>
              </w:rPr>
              <w:t xml:space="preserve">The difference in ED contact rates appears to be </w:t>
            </w:r>
            <w:r w:rsidR="00AB77A9" w:rsidRPr="00150CD2">
              <w:rPr>
                <w:rFonts w:cs="Arial"/>
                <w:sz w:val="24"/>
              </w:rPr>
              <w:t xml:space="preserve">health condition </w:t>
            </w:r>
            <w:r w:rsidR="000B12E6" w:rsidRPr="00150CD2">
              <w:rPr>
                <w:rFonts w:cs="Arial"/>
                <w:sz w:val="24"/>
              </w:rPr>
              <w:t xml:space="preserve">related – MidCentral DSS children had similar </w:t>
            </w:r>
            <w:r w:rsidR="009E4F58" w:rsidRPr="00150CD2">
              <w:rPr>
                <w:rFonts w:cs="Arial"/>
                <w:sz w:val="24"/>
              </w:rPr>
              <w:t xml:space="preserve">rates </w:t>
            </w:r>
            <w:r w:rsidR="000B12E6" w:rsidRPr="00150CD2">
              <w:rPr>
                <w:rFonts w:cs="Arial"/>
                <w:sz w:val="24"/>
              </w:rPr>
              <w:t xml:space="preserve">of </w:t>
            </w:r>
            <w:r w:rsidR="002476E9" w:rsidRPr="00150CD2">
              <w:rPr>
                <w:rFonts w:cs="Arial"/>
                <w:sz w:val="24"/>
              </w:rPr>
              <w:t>injury</w:t>
            </w:r>
            <w:r w:rsidR="000B12E6" w:rsidRPr="00150CD2">
              <w:rPr>
                <w:rFonts w:cs="Arial"/>
                <w:sz w:val="24"/>
              </w:rPr>
              <w:t>-related ED contacts as other MidCentral children (around 1 in 5</w:t>
            </w:r>
            <w:r w:rsidR="002476E9" w:rsidRPr="00150CD2">
              <w:rPr>
                <w:rFonts w:cs="Arial"/>
                <w:sz w:val="24"/>
              </w:rPr>
              <w:t xml:space="preserve"> </w:t>
            </w:r>
            <w:r w:rsidRPr="00150CD2">
              <w:rPr>
                <w:rFonts w:cs="Arial"/>
                <w:sz w:val="24"/>
              </w:rPr>
              <w:t xml:space="preserve">MidCentral </w:t>
            </w:r>
            <w:r w:rsidR="00A64451" w:rsidRPr="00150CD2">
              <w:rPr>
                <w:rFonts w:cs="Arial"/>
                <w:sz w:val="24"/>
              </w:rPr>
              <w:t>DSS children</w:t>
            </w:r>
            <w:r w:rsidR="000B12E6" w:rsidRPr="00150CD2">
              <w:rPr>
                <w:rFonts w:cs="Arial"/>
                <w:sz w:val="24"/>
              </w:rPr>
              <w:t xml:space="preserve"> </w:t>
            </w:r>
            <w:r w:rsidRPr="00150CD2">
              <w:rPr>
                <w:rFonts w:cs="Arial"/>
                <w:sz w:val="24"/>
              </w:rPr>
              <w:t xml:space="preserve">(20%) </w:t>
            </w:r>
            <w:r w:rsidR="000B12E6" w:rsidRPr="00150CD2">
              <w:rPr>
                <w:rFonts w:cs="Arial"/>
                <w:sz w:val="24"/>
              </w:rPr>
              <w:t xml:space="preserve">had </w:t>
            </w:r>
            <w:r w:rsidR="007B1793" w:rsidRPr="00150CD2">
              <w:rPr>
                <w:rFonts w:cs="Arial"/>
                <w:sz w:val="24"/>
              </w:rPr>
              <w:t>injury</w:t>
            </w:r>
            <w:r w:rsidR="002476E9" w:rsidRPr="00150CD2">
              <w:rPr>
                <w:rFonts w:cs="Arial"/>
                <w:sz w:val="24"/>
              </w:rPr>
              <w:t>-related</w:t>
            </w:r>
            <w:r w:rsidR="000B12E6" w:rsidRPr="00150CD2">
              <w:rPr>
                <w:rFonts w:cs="Arial"/>
                <w:sz w:val="24"/>
              </w:rPr>
              <w:t xml:space="preserve"> ED contacts over a 3 year period). </w:t>
            </w:r>
          </w:p>
          <w:p w14:paraId="7424A670" w14:textId="2C56E6AD" w:rsidR="000B12E6" w:rsidRPr="00150CD2" w:rsidRDefault="000B12E6" w:rsidP="00D143A9">
            <w:pPr>
              <w:pStyle w:val="EYTablebullet1"/>
              <w:spacing w:before="0" w:after="120"/>
              <w:rPr>
                <w:rFonts w:cs="Arial"/>
                <w:sz w:val="24"/>
              </w:rPr>
            </w:pPr>
            <w:r w:rsidRPr="00150CD2">
              <w:rPr>
                <w:rFonts w:cs="Arial"/>
                <w:sz w:val="24"/>
              </w:rPr>
              <w:t>Overall ED contact rates were higher for children with intellectual disability or high needs, and similar for Māori/non-Māori and male/female children.</w:t>
            </w:r>
          </w:p>
          <w:p w14:paraId="00DE924A" w14:textId="61D15D52" w:rsidR="000B12E6" w:rsidRPr="00150CD2" w:rsidRDefault="000B12E6" w:rsidP="00D143A9">
            <w:pPr>
              <w:pStyle w:val="EYTablebullet1"/>
              <w:spacing w:before="0" w:after="120"/>
              <w:rPr>
                <w:rFonts w:cs="Arial"/>
                <w:sz w:val="24"/>
              </w:rPr>
            </w:pPr>
            <w:r w:rsidRPr="00150CD2">
              <w:rPr>
                <w:rFonts w:cs="Arial"/>
                <w:sz w:val="24"/>
              </w:rPr>
              <w:t>A small proportion (</w:t>
            </w:r>
            <w:r w:rsidR="002476E9" w:rsidRPr="00150CD2">
              <w:rPr>
                <w:rFonts w:cs="Arial"/>
                <w:sz w:val="24"/>
              </w:rPr>
              <w:t>3</w:t>
            </w:r>
            <w:r w:rsidRPr="00150CD2">
              <w:rPr>
                <w:rFonts w:cs="Arial"/>
                <w:sz w:val="24"/>
              </w:rPr>
              <w:t xml:space="preserve">%) had injury related hospitalisations over a 3 year period, </w:t>
            </w:r>
            <w:r w:rsidR="002476E9" w:rsidRPr="00150CD2">
              <w:rPr>
                <w:rFonts w:cs="Arial"/>
                <w:sz w:val="24"/>
              </w:rPr>
              <w:t xml:space="preserve">lower than </w:t>
            </w:r>
            <w:r w:rsidR="009E4F58" w:rsidRPr="00150CD2">
              <w:rPr>
                <w:rFonts w:cs="Arial"/>
                <w:sz w:val="24"/>
              </w:rPr>
              <w:t xml:space="preserve">rates </w:t>
            </w:r>
            <w:r w:rsidRPr="00150CD2">
              <w:rPr>
                <w:rFonts w:cs="Arial"/>
                <w:sz w:val="24"/>
              </w:rPr>
              <w:t>for DSS</w:t>
            </w:r>
            <w:r w:rsidR="000C02BA" w:rsidRPr="00150CD2">
              <w:rPr>
                <w:rFonts w:cs="Arial"/>
                <w:sz w:val="24"/>
              </w:rPr>
              <w:t xml:space="preserve"> children in other areas (6%)</w:t>
            </w:r>
            <w:r w:rsidRPr="00150CD2">
              <w:rPr>
                <w:rFonts w:cs="Arial"/>
                <w:sz w:val="24"/>
              </w:rPr>
              <w:t xml:space="preserve"> and </w:t>
            </w:r>
            <w:r w:rsidR="000C02BA" w:rsidRPr="00150CD2">
              <w:rPr>
                <w:rFonts w:cs="Arial"/>
                <w:sz w:val="24"/>
              </w:rPr>
              <w:t xml:space="preserve">non-DSS </w:t>
            </w:r>
            <w:r w:rsidRPr="00150CD2">
              <w:rPr>
                <w:rFonts w:cs="Arial"/>
                <w:sz w:val="24"/>
              </w:rPr>
              <w:t>Mid</w:t>
            </w:r>
            <w:r w:rsidR="008A5CE9" w:rsidRPr="00150CD2">
              <w:rPr>
                <w:rFonts w:cs="Arial"/>
                <w:sz w:val="24"/>
              </w:rPr>
              <w:t>C</w:t>
            </w:r>
            <w:r w:rsidRPr="00150CD2">
              <w:rPr>
                <w:rFonts w:cs="Arial"/>
                <w:sz w:val="24"/>
              </w:rPr>
              <w:t>entral children</w:t>
            </w:r>
            <w:r w:rsidR="000C02BA" w:rsidRPr="00150CD2">
              <w:rPr>
                <w:rFonts w:cs="Arial"/>
                <w:sz w:val="24"/>
              </w:rPr>
              <w:t xml:space="preserve"> (4%)</w:t>
            </w:r>
            <w:r w:rsidRPr="00150CD2">
              <w:rPr>
                <w:rFonts w:cs="Arial"/>
                <w:sz w:val="24"/>
              </w:rPr>
              <w:t xml:space="preserve">. </w:t>
            </w:r>
          </w:p>
        </w:tc>
      </w:tr>
      <w:tr w:rsidR="008C01A0" w:rsidRPr="00150CD2" w14:paraId="5F448B54" w14:textId="77777777" w:rsidTr="002D4BE0">
        <w:tc>
          <w:tcPr>
            <w:tcW w:w="1555" w:type="dxa"/>
            <w:tcBorders>
              <w:top w:val="nil"/>
              <w:bottom w:val="nil"/>
            </w:tcBorders>
          </w:tcPr>
          <w:p w14:paraId="75A27565" w14:textId="77777777" w:rsidR="008C01A0" w:rsidRPr="00150CD2" w:rsidRDefault="008C01A0" w:rsidP="00A74A24">
            <w:pPr>
              <w:pStyle w:val="EYTableText"/>
              <w:rPr>
                <w:rFonts w:cs="Arial"/>
                <w:sz w:val="24"/>
              </w:rPr>
            </w:pPr>
          </w:p>
        </w:tc>
        <w:tc>
          <w:tcPr>
            <w:tcW w:w="2016" w:type="dxa"/>
          </w:tcPr>
          <w:p w14:paraId="747E9667" w14:textId="7F43CFC4" w:rsidR="008C01A0" w:rsidRPr="00150CD2" w:rsidRDefault="008C01A0" w:rsidP="00A74A24">
            <w:pPr>
              <w:pStyle w:val="EYTableText"/>
              <w:rPr>
                <w:rFonts w:cs="Arial"/>
                <w:sz w:val="24"/>
              </w:rPr>
            </w:pPr>
            <w:r w:rsidRPr="00150CD2">
              <w:rPr>
                <w:rFonts w:cs="Arial"/>
                <w:sz w:val="24"/>
              </w:rPr>
              <w:t xml:space="preserve">Mental health </w:t>
            </w:r>
            <w:r w:rsidR="003A2E77" w:rsidRPr="00150CD2">
              <w:rPr>
                <w:rFonts w:cs="Arial"/>
                <w:sz w:val="24"/>
              </w:rPr>
              <w:t>service contact and treatment</w:t>
            </w:r>
          </w:p>
        </w:tc>
        <w:tc>
          <w:tcPr>
            <w:tcW w:w="10512" w:type="dxa"/>
          </w:tcPr>
          <w:p w14:paraId="07768C69" w14:textId="2F9EFE69" w:rsidR="00A3690E" w:rsidRPr="00150CD2" w:rsidRDefault="003A2E77" w:rsidP="00D143A9">
            <w:pPr>
              <w:pStyle w:val="EYTablebullet1"/>
              <w:spacing w:before="0" w:after="120"/>
              <w:rPr>
                <w:rFonts w:cs="Arial"/>
                <w:i/>
                <w:sz w:val="24"/>
              </w:rPr>
            </w:pPr>
            <w:r w:rsidRPr="00150CD2">
              <w:rPr>
                <w:rFonts w:cs="Arial"/>
                <w:sz w:val="24"/>
              </w:rPr>
              <w:t xml:space="preserve">40% of children had contact with mental health services </w:t>
            </w:r>
            <w:r w:rsidR="005442FE" w:rsidRPr="00150CD2">
              <w:rPr>
                <w:rFonts w:cs="Arial"/>
                <w:sz w:val="24"/>
              </w:rPr>
              <w:t>from</w:t>
            </w:r>
            <w:r w:rsidRPr="00150CD2">
              <w:rPr>
                <w:rFonts w:cs="Arial"/>
                <w:sz w:val="24"/>
              </w:rPr>
              <w:t xml:space="preserve"> community providers or hospitals over the three year period. </w:t>
            </w:r>
            <w:r w:rsidR="005442FE" w:rsidRPr="00150CD2">
              <w:rPr>
                <w:rFonts w:cs="Arial"/>
                <w:sz w:val="24"/>
              </w:rPr>
              <w:t>Service contact levels are considerably higher than for similarly aged DSS children outside MidCentral (32%</w:t>
            </w:r>
            <w:r w:rsidR="00D31778" w:rsidRPr="00150CD2">
              <w:rPr>
                <w:rFonts w:cs="Arial"/>
                <w:sz w:val="24"/>
              </w:rPr>
              <w:t>) and for non-DSS children aged 5-14 in MidCentral (8%</w:t>
            </w:r>
            <w:r w:rsidR="005442FE" w:rsidRPr="00150CD2">
              <w:rPr>
                <w:rFonts w:cs="Arial"/>
                <w:sz w:val="24"/>
              </w:rPr>
              <w:t>).</w:t>
            </w:r>
            <w:r w:rsidR="00A3690E" w:rsidRPr="00150CD2">
              <w:rPr>
                <w:rFonts w:cs="Arial"/>
                <w:sz w:val="24"/>
              </w:rPr>
              <w:br/>
              <w:t xml:space="preserve">Note that this includes some </w:t>
            </w:r>
            <w:r w:rsidR="00D31778" w:rsidRPr="00150CD2">
              <w:rPr>
                <w:rFonts w:cs="Arial"/>
                <w:sz w:val="24"/>
              </w:rPr>
              <w:t xml:space="preserve">disability-specific health services </w:t>
            </w:r>
            <w:r w:rsidR="00A3690E" w:rsidRPr="00150CD2">
              <w:rPr>
                <w:rFonts w:cs="Arial"/>
                <w:sz w:val="24"/>
              </w:rPr>
              <w:t xml:space="preserve">as well as other mental health services, as the data does not explicitly identify which contacts </w:t>
            </w:r>
            <w:r w:rsidR="00D31778" w:rsidRPr="00150CD2">
              <w:rPr>
                <w:rFonts w:cs="Arial"/>
                <w:sz w:val="24"/>
              </w:rPr>
              <w:t>are specifically related to disability</w:t>
            </w:r>
            <w:r w:rsidR="00A3690E" w:rsidRPr="00150CD2">
              <w:rPr>
                <w:rFonts w:cs="Arial"/>
                <w:sz w:val="24"/>
              </w:rPr>
              <w:t>. The exception is Intellectual Disability teams which has been excluded from the above figures.</w:t>
            </w:r>
            <w:r w:rsidR="00A3690E" w:rsidRPr="00150CD2">
              <w:rPr>
                <w:rFonts w:cs="Arial"/>
                <w:i/>
                <w:sz w:val="24"/>
              </w:rPr>
              <w:t xml:space="preserve"> </w:t>
            </w:r>
          </w:p>
          <w:p w14:paraId="7B113C55" w14:textId="48C4F286" w:rsidR="008C01A0" w:rsidRPr="00150CD2" w:rsidRDefault="00A3690E" w:rsidP="00B54D3C">
            <w:pPr>
              <w:pStyle w:val="EYTablebullet1"/>
              <w:spacing w:before="0" w:after="120"/>
              <w:rPr>
                <w:rFonts w:cs="Arial"/>
                <w:i/>
                <w:color w:val="C00000"/>
                <w:sz w:val="24"/>
              </w:rPr>
            </w:pPr>
            <w:r w:rsidRPr="00150CD2">
              <w:rPr>
                <w:rFonts w:cs="Arial"/>
                <w:sz w:val="24"/>
              </w:rPr>
              <w:t>Within the MidCentral DSS 5-14 year old group, service contact rates were higher for non-Māori children (44% compared with 35% for Māori children) and for male children (44% compared with 31% for female children)</w:t>
            </w:r>
            <w:r w:rsidR="00214157" w:rsidRPr="00150CD2">
              <w:rPr>
                <w:rFonts w:cs="Arial"/>
                <w:sz w:val="24"/>
              </w:rPr>
              <w:t>. The difference by gender appears to be linked to disability type, as a higher proportion of male DSS children have ASD.</w:t>
            </w:r>
          </w:p>
        </w:tc>
      </w:tr>
      <w:tr w:rsidR="00B54D3C" w:rsidRPr="00150CD2" w14:paraId="10FED2B0" w14:textId="77777777" w:rsidTr="002D4BE0">
        <w:tc>
          <w:tcPr>
            <w:tcW w:w="1555" w:type="dxa"/>
            <w:tcBorders>
              <w:top w:val="nil"/>
              <w:bottom w:val="nil"/>
            </w:tcBorders>
          </w:tcPr>
          <w:p w14:paraId="54CDE698" w14:textId="77777777" w:rsidR="00B54D3C" w:rsidRPr="00150CD2" w:rsidRDefault="00B54D3C" w:rsidP="008C01A0">
            <w:pPr>
              <w:pStyle w:val="EYTableText"/>
              <w:rPr>
                <w:rFonts w:cs="Arial"/>
                <w:sz w:val="24"/>
              </w:rPr>
            </w:pPr>
          </w:p>
        </w:tc>
        <w:tc>
          <w:tcPr>
            <w:tcW w:w="2016" w:type="dxa"/>
          </w:tcPr>
          <w:p w14:paraId="7A143B6B" w14:textId="7C6B7C5F" w:rsidR="00B54D3C" w:rsidRPr="00150CD2" w:rsidRDefault="00B54D3C" w:rsidP="008C01A0">
            <w:pPr>
              <w:pStyle w:val="EYTableText"/>
              <w:rPr>
                <w:rFonts w:cs="Arial"/>
                <w:sz w:val="24"/>
              </w:rPr>
            </w:pPr>
            <w:r w:rsidRPr="00150CD2">
              <w:rPr>
                <w:rFonts w:cs="Arial"/>
                <w:sz w:val="24"/>
              </w:rPr>
              <w:t>Pharmaceuticals</w:t>
            </w:r>
          </w:p>
        </w:tc>
        <w:tc>
          <w:tcPr>
            <w:tcW w:w="10512" w:type="dxa"/>
          </w:tcPr>
          <w:p w14:paraId="75386EC8" w14:textId="79C9F588" w:rsidR="00B54D3C" w:rsidRPr="00150CD2" w:rsidRDefault="00B54D3C" w:rsidP="00D143A9">
            <w:pPr>
              <w:pStyle w:val="EYTablebullet1"/>
              <w:spacing w:before="0" w:after="120"/>
              <w:rPr>
                <w:rFonts w:cs="Arial"/>
                <w:sz w:val="24"/>
              </w:rPr>
            </w:pPr>
            <w:r w:rsidRPr="00150CD2">
              <w:rPr>
                <w:rFonts w:cs="Arial"/>
                <w:sz w:val="24"/>
              </w:rPr>
              <w:t xml:space="preserve">DSS children received treatment from a wider range of pharmaceutical types than other children, with an average of 4.2 pharmaceutical products </w:t>
            </w:r>
            <w:r w:rsidR="00B3056C" w:rsidRPr="00150CD2">
              <w:rPr>
                <w:rFonts w:cs="Arial"/>
                <w:sz w:val="24"/>
              </w:rPr>
              <w:t>dispensed</w:t>
            </w:r>
            <w:r w:rsidRPr="00150CD2">
              <w:rPr>
                <w:rFonts w:cs="Arial"/>
                <w:sz w:val="24"/>
              </w:rPr>
              <w:t xml:space="preserve"> compared with 2.5 for non-DSS children over the year to 30 June 2017.</w:t>
            </w:r>
          </w:p>
        </w:tc>
      </w:tr>
      <w:tr w:rsidR="008C01A0" w:rsidRPr="00150CD2" w14:paraId="2F19CC49" w14:textId="77777777" w:rsidTr="002D4BE0">
        <w:tc>
          <w:tcPr>
            <w:tcW w:w="1555" w:type="dxa"/>
            <w:tcBorders>
              <w:top w:val="nil"/>
              <w:bottom w:val="nil"/>
            </w:tcBorders>
          </w:tcPr>
          <w:p w14:paraId="0533D111" w14:textId="77777777" w:rsidR="008C01A0" w:rsidRPr="00150CD2" w:rsidRDefault="008C01A0" w:rsidP="008C01A0">
            <w:pPr>
              <w:pStyle w:val="EYTableText"/>
              <w:rPr>
                <w:rFonts w:cs="Arial"/>
                <w:sz w:val="24"/>
              </w:rPr>
            </w:pPr>
          </w:p>
        </w:tc>
        <w:tc>
          <w:tcPr>
            <w:tcW w:w="2016" w:type="dxa"/>
          </w:tcPr>
          <w:p w14:paraId="2FE81CB1" w14:textId="300BE7FD" w:rsidR="008C01A0" w:rsidRPr="00150CD2" w:rsidRDefault="008C01A0" w:rsidP="008C01A0">
            <w:pPr>
              <w:pStyle w:val="EYTableText"/>
              <w:rPr>
                <w:rFonts w:cs="Arial"/>
                <w:sz w:val="24"/>
              </w:rPr>
            </w:pPr>
            <w:r w:rsidRPr="00150CD2">
              <w:rPr>
                <w:rFonts w:cs="Arial"/>
                <w:sz w:val="24"/>
              </w:rPr>
              <w:t>Oranga Tamariki contact</w:t>
            </w:r>
          </w:p>
        </w:tc>
        <w:tc>
          <w:tcPr>
            <w:tcW w:w="10512" w:type="dxa"/>
          </w:tcPr>
          <w:p w14:paraId="53CF92BA" w14:textId="4F04DAC2" w:rsidR="008C01A0" w:rsidRPr="00150CD2" w:rsidRDefault="00760100" w:rsidP="00D143A9">
            <w:pPr>
              <w:pStyle w:val="EYTablebullet1"/>
              <w:spacing w:before="0" w:after="120"/>
              <w:rPr>
                <w:rFonts w:cs="Arial"/>
                <w:sz w:val="24"/>
              </w:rPr>
            </w:pPr>
            <w:r w:rsidRPr="00150CD2">
              <w:rPr>
                <w:rFonts w:cs="Arial"/>
                <w:sz w:val="24"/>
              </w:rPr>
              <w:t>32</w:t>
            </w:r>
            <w:r w:rsidR="008C01A0" w:rsidRPr="00150CD2">
              <w:rPr>
                <w:rFonts w:cs="Arial"/>
                <w:sz w:val="24"/>
              </w:rPr>
              <w:t xml:space="preserve">% of </w:t>
            </w:r>
            <w:r w:rsidR="00856F4B" w:rsidRPr="00150CD2">
              <w:rPr>
                <w:rFonts w:cs="Arial"/>
                <w:sz w:val="24"/>
              </w:rPr>
              <w:t xml:space="preserve">DSS </w:t>
            </w:r>
            <w:r w:rsidR="008C01A0" w:rsidRPr="00150CD2">
              <w:rPr>
                <w:rFonts w:cs="Arial"/>
                <w:sz w:val="24"/>
              </w:rPr>
              <w:t>children were involved in reports of concern to O</w:t>
            </w:r>
            <w:r w:rsidR="00BF0005" w:rsidRPr="00150CD2">
              <w:rPr>
                <w:rFonts w:cs="Arial"/>
                <w:sz w:val="24"/>
              </w:rPr>
              <w:t xml:space="preserve">ranga </w:t>
            </w:r>
            <w:r w:rsidR="008C01A0" w:rsidRPr="00150CD2">
              <w:rPr>
                <w:rFonts w:cs="Arial"/>
                <w:sz w:val="24"/>
              </w:rPr>
              <w:t>T</w:t>
            </w:r>
            <w:r w:rsidR="00BF0005" w:rsidRPr="00150CD2">
              <w:rPr>
                <w:rFonts w:cs="Arial"/>
                <w:sz w:val="24"/>
              </w:rPr>
              <w:t>amariki</w:t>
            </w:r>
            <w:r w:rsidR="008C01A0" w:rsidRPr="00150CD2">
              <w:rPr>
                <w:rFonts w:cs="Arial"/>
                <w:sz w:val="24"/>
              </w:rPr>
              <w:t xml:space="preserve"> over the period, around 3</w:t>
            </w:r>
            <w:r w:rsidR="00CA4326" w:rsidRPr="00150CD2">
              <w:rPr>
                <w:rFonts w:cs="Arial"/>
                <w:sz w:val="24"/>
              </w:rPr>
              <w:t xml:space="preserve"> times </w:t>
            </w:r>
            <w:r w:rsidR="008C01A0" w:rsidRPr="00150CD2">
              <w:rPr>
                <w:rFonts w:cs="Arial"/>
                <w:sz w:val="24"/>
              </w:rPr>
              <w:t>the rate of similarly aged non-DSS children in MidCentral (</w:t>
            </w:r>
            <w:r w:rsidR="00AB77A9" w:rsidRPr="00150CD2">
              <w:rPr>
                <w:rFonts w:cs="Arial"/>
                <w:sz w:val="24"/>
              </w:rPr>
              <w:t>12</w:t>
            </w:r>
            <w:r w:rsidR="008C01A0" w:rsidRPr="00150CD2">
              <w:rPr>
                <w:rFonts w:cs="Arial"/>
                <w:sz w:val="24"/>
              </w:rPr>
              <w:t>%) and 1.</w:t>
            </w:r>
            <w:r w:rsidRPr="00150CD2">
              <w:rPr>
                <w:rFonts w:cs="Arial"/>
                <w:sz w:val="24"/>
              </w:rPr>
              <w:t>6</w:t>
            </w:r>
            <w:r w:rsidR="00CA4326" w:rsidRPr="00150CD2">
              <w:rPr>
                <w:rFonts w:cs="Arial"/>
                <w:sz w:val="24"/>
              </w:rPr>
              <w:t xml:space="preserve"> times </w:t>
            </w:r>
            <w:r w:rsidR="008C01A0" w:rsidRPr="00150CD2">
              <w:rPr>
                <w:rFonts w:cs="Arial"/>
                <w:sz w:val="24"/>
              </w:rPr>
              <w:t>higher than other 5-</w:t>
            </w:r>
            <w:r w:rsidRPr="00150CD2">
              <w:rPr>
                <w:rFonts w:cs="Arial"/>
                <w:sz w:val="24"/>
              </w:rPr>
              <w:t xml:space="preserve">14 </w:t>
            </w:r>
            <w:r w:rsidR="008C01A0" w:rsidRPr="00150CD2">
              <w:rPr>
                <w:rFonts w:cs="Arial"/>
                <w:sz w:val="24"/>
              </w:rPr>
              <w:t>year old DSS clients outside MidCentral (</w:t>
            </w:r>
            <w:r w:rsidR="00AB77A9" w:rsidRPr="00150CD2">
              <w:rPr>
                <w:rFonts w:cs="Arial"/>
                <w:sz w:val="24"/>
              </w:rPr>
              <w:t>21</w:t>
            </w:r>
            <w:r w:rsidR="008C01A0" w:rsidRPr="00150CD2">
              <w:rPr>
                <w:rFonts w:cs="Arial"/>
                <w:sz w:val="24"/>
              </w:rPr>
              <w:t>%).</w:t>
            </w:r>
          </w:p>
          <w:p w14:paraId="5D3CBDCA" w14:textId="37F60043" w:rsidR="008C01A0" w:rsidRPr="00150CD2" w:rsidRDefault="008C01A0" w:rsidP="00D31778">
            <w:pPr>
              <w:pStyle w:val="EYTablebullet1"/>
              <w:spacing w:before="0" w:after="120"/>
              <w:rPr>
                <w:rFonts w:cs="Arial"/>
                <w:sz w:val="24"/>
              </w:rPr>
            </w:pPr>
            <w:r w:rsidRPr="00150CD2">
              <w:rPr>
                <w:rFonts w:cs="Arial"/>
                <w:sz w:val="24"/>
              </w:rPr>
              <w:t xml:space="preserve">8% of children were involved in statutory </w:t>
            </w:r>
            <w:r w:rsidR="00D03898" w:rsidRPr="00150CD2">
              <w:rPr>
                <w:rFonts w:cs="Arial"/>
                <w:sz w:val="24"/>
              </w:rPr>
              <w:t xml:space="preserve">Care </w:t>
            </w:r>
            <w:r w:rsidR="00BB075C" w:rsidRPr="00150CD2">
              <w:rPr>
                <w:rFonts w:cs="Arial"/>
                <w:sz w:val="24"/>
              </w:rPr>
              <w:t xml:space="preserve">and </w:t>
            </w:r>
            <w:r w:rsidRPr="00150CD2">
              <w:rPr>
                <w:rFonts w:cs="Arial"/>
                <w:sz w:val="24"/>
              </w:rPr>
              <w:t>P</w:t>
            </w:r>
            <w:r w:rsidR="009D42D8" w:rsidRPr="00150CD2">
              <w:rPr>
                <w:rFonts w:cs="Arial"/>
                <w:sz w:val="24"/>
              </w:rPr>
              <w:t>rotection</w:t>
            </w:r>
            <w:r w:rsidR="000F70F1" w:rsidRPr="00150CD2">
              <w:rPr>
                <w:rFonts w:cs="Arial"/>
                <w:sz w:val="24"/>
              </w:rPr>
              <w:t xml:space="preserve"> (CP)</w:t>
            </w:r>
            <w:r w:rsidR="00760100" w:rsidRPr="00150CD2">
              <w:rPr>
                <w:rFonts w:cs="Arial"/>
                <w:sz w:val="24"/>
              </w:rPr>
              <w:t xml:space="preserve"> </w:t>
            </w:r>
            <w:r w:rsidRPr="00150CD2">
              <w:rPr>
                <w:rFonts w:cs="Arial"/>
                <w:sz w:val="24"/>
              </w:rPr>
              <w:t xml:space="preserve">over the period, with </w:t>
            </w:r>
            <w:r w:rsidR="00760100" w:rsidRPr="00150CD2">
              <w:rPr>
                <w:rFonts w:cs="Arial"/>
                <w:sz w:val="24"/>
              </w:rPr>
              <w:t>4</w:t>
            </w:r>
            <w:r w:rsidRPr="00150CD2">
              <w:rPr>
                <w:rFonts w:cs="Arial"/>
                <w:sz w:val="24"/>
              </w:rPr>
              <w:t xml:space="preserve">% in </w:t>
            </w:r>
            <w:r w:rsidR="009F4531" w:rsidRPr="00150CD2">
              <w:rPr>
                <w:rFonts w:cs="Arial"/>
                <w:sz w:val="24"/>
              </w:rPr>
              <w:t xml:space="preserve">out of home </w:t>
            </w:r>
            <w:r w:rsidR="00760100" w:rsidRPr="00150CD2">
              <w:rPr>
                <w:rFonts w:cs="Arial"/>
                <w:sz w:val="24"/>
              </w:rPr>
              <w:t xml:space="preserve">care </w:t>
            </w:r>
            <w:r w:rsidRPr="00150CD2">
              <w:rPr>
                <w:rFonts w:cs="Arial"/>
                <w:sz w:val="24"/>
              </w:rPr>
              <w:t>placements at some point over the period. This was significantly higher than for the broader 5-</w:t>
            </w:r>
            <w:r w:rsidR="00760100" w:rsidRPr="00150CD2">
              <w:rPr>
                <w:rFonts w:cs="Arial"/>
                <w:sz w:val="24"/>
              </w:rPr>
              <w:t xml:space="preserve">14 </w:t>
            </w:r>
            <w:r w:rsidRPr="00150CD2">
              <w:rPr>
                <w:rFonts w:cs="Arial"/>
                <w:sz w:val="24"/>
              </w:rPr>
              <w:t xml:space="preserve">year old MidCentral child population (where 2% had statutory CP contact and 1% had </w:t>
            </w:r>
            <w:r w:rsidR="009F4531" w:rsidRPr="00150CD2">
              <w:rPr>
                <w:rFonts w:cs="Arial"/>
                <w:sz w:val="24"/>
              </w:rPr>
              <w:t xml:space="preserve">out of home </w:t>
            </w:r>
            <w:r w:rsidR="00760100" w:rsidRPr="00150CD2">
              <w:rPr>
                <w:rFonts w:cs="Arial"/>
                <w:sz w:val="24"/>
              </w:rPr>
              <w:t xml:space="preserve">care </w:t>
            </w:r>
            <w:r w:rsidRPr="00150CD2">
              <w:rPr>
                <w:rFonts w:cs="Arial"/>
                <w:sz w:val="24"/>
              </w:rPr>
              <w:t xml:space="preserve">placements), </w:t>
            </w:r>
            <w:r w:rsidR="008A5CE9" w:rsidRPr="00150CD2">
              <w:rPr>
                <w:rFonts w:cs="Arial"/>
                <w:sz w:val="24"/>
              </w:rPr>
              <w:t>and</w:t>
            </w:r>
            <w:r w:rsidRPr="00150CD2">
              <w:rPr>
                <w:rFonts w:cs="Arial"/>
                <w:sz w:val="24"/>
              </w:rPr>
              <w:t xml:space="preserve"> higher than other similarly aged DSS children living outside MidCentral</w:t>
            </w:r>
            <w:r w:rsidR="00D31778" w:rsidRPr="00150CD2">
              <w:rPr>
                <w:rFonts w:cs="Arial"/>
                <w:sz w:val="24"/>
              </w:rPr>
              <w:t xml:space="preserve"> (5% were involved in statutory CP and 3% were in </w:t>
            </w:r>
            <w:r w:rsidR="009F4531" w:rsidRPr="00150CD2">
              <w:rPr>
                <w:rFonts w:cs="Arial"/>
                <w:sz w:val="24"/>
              </w:rPr>
              <w:t xml:space="preserve">out of home care </w:t>
            </w:r>
            <w:r w:rsidR="00D31778" w:rsidRPr="00150CD2">
              <w:rPr>
                <w:rFonts w:cs="Arial"/>
                <w:sz w:val="24"/>
              </w:rPr>
              <w:t>placements at some point over the three year period).</w:t>
            </w:r>
          </w:p>
          <w:p w14:paraId="7E49CE83" w14:textId="4820AFA7" w:rsidR="008C01A0" w:rsidRPr="00150CD2" w:rsidRDefault="008C01A0" w:rsidP="00D143A9">
            <w:pPr>
              <w:pStyle w:val="EYTablebullet1"/>
              <w:spacing w:before="0" w:after="120"/>
              <w:rPr>
                <w:rFonts w:cs="Arial"/>
                <w:sz w:val="24"/>
              </w:rPr>
            </w:pPr>
            <w:r w:rsidRPr="00150CD2">
              <w:rPr>
                <w:rFonts w:cs="Arial"/>
                <w:sz w:val="24"/>
              </w:rPr>
              <w:t xml:space="preserve">Around </w:t>
            </w:r>
            <w:r w:rsidR="00760100" w:rsidRPr="00150CD2">
              <w:rPr>
                <w:rFonts w:cs="Arial"/>
                <w:sz w:val="24"/>
              </w:rPr>
              <w:t>15</w:t>
            </w:r>
            <w:r w:rsidRPr="00150CD2">
              <w:rPr>
                <w:rFonts w:cs="Arial"/>
                <w:sz w:val="24"/>
              </w:rPr>
              <w:t xml:space="preserve">% of children were involved in Police Family Violence </w:t>
            </w:r>
            <w:r w:rsidR="004F7FD8" w:rsidRPr="00150CD2">
              <w:rPr>
                <w:rFonts w:cs="Arial"/>
                <w:sz w:val="24"/>
              </w:rPr>
              <w:t xml:space="preserve">Centre </w:t>
            </w:r>
            <w:r w:rsidRPr="00150CD2">
              <w:rPr>
                <w:rFonts w:cs="Arial"/>
                <w:sz w:val="24"/>
              </w:rPr>
              <w:t>notifications to O</w:t>
            </w:r>
            <w:r w:rsidR="00BF0005" w:rsidRPr="00150CD2">
              <w:rPr>
                <w:rFonts w:cs="Arial"/>
                <w:sz w:val="24"/>
              </w:rPr>
              <w:t xml:space="preserve">ranga </w:t>
            </w:r>
            <w:r w:rsidRPr="00150CD2">
              <w:rPr>
                <w:rFonts w:cs="Arial"/>
                <w:sz w:val="24"/>
              </w:rPr>
              <w:t>T</w:t>
            </w:r>
            <w:r w:rsidR="00BF0005" w:rsidRPr="00150CD2">
              <w:rPr>
                <w:rFonts w:cs="Arial"/>
                <w:sz w:val="24"/>
              </w:rPr>
              <w:t>amariki</w:t>
            </w:r>
            <w:r w:rsidRPr="00150CD2">
              <w:rPr>
                <w:rFonts w:cs="Arial"/>
                <w:sz w:val="24"/>
              </w:rPr>
              <w:t xml:space="preserve"> over the period, twice the rate of involvement of other MidCentral children.</w:t>
            </w:r>
          </w:p>
          <w:p w14:paraId="76A18FE2" w14:textId="7374CC46" w:rsidR="008C01A0" w:rsidRPr="00150CD2" w:rsidRDefault="008C01A0" w:rsidP="00D143A9">
            <w:pPr>
              <w:pStyle w:val="EYTablebullet1"/>
              <w:spacing w:before="0" w:after="120"/>
              <w:rPr>
                <w:rFonts w:cs="Arial"/>
                <w:i/>
                <w:color w:val="C00000"/>
                <w:sz w:val="24"/>
              </w:rPr>
            </w:pPr>
            <w:r w:rsidRPr="00150CD2">
              <w:rPr>
                <w:rFonts w:cs="Arial"/>
                <w:sz w:val="24"/>
              </w:rPr>
              <w:t>Within the group of MidCentral DSS children aged 5-</w:t>
            </w:r>
            <w:r w:rsidR="00760100" w:rsidRPr="00150CD2">
              <w:rPr>
                <w:rFonts w:cs="Arial"/>
                <w:sz w:val="24"/>
              </w:rPr>
              <w:t>14</w:t>
            </w:r>
            <w:r w:rsidRPr="00150CD2">
              <w:rPr>
                <w:rFonts w:cs="Arial"/>
                <w:sz w:val="24"/>
              </w:rPr>
              <w:t xml:space="preserve">, those with an intellectual disability experienced higher rates of CP contact: </w:t>
            </w:r>
            <w:r w:rsidR="00760100" w:rsidRPr="00150CD2">
              <w:rPr>
                <w:rFonts w:cs="Arial"/>
                <w:sz w:val="24"/>
              </w:rPr>
              <w:t>38</w:t>
            </w:r>
            <w:r w:rsidRPr="00150CD2">
              <w:rPr>
                <w:rFonts w:cs="Arial"/>
                <w:sz w:val="24"/>
              </w:rPr>
              <w:t>% were involved in reports of concern (compared with 2</w:t>
            </w:r>
            <w:r w:rsidR="00760100" w:rsidRPr="00150CD2">
              <w:rPr>
                <w:rFonts w:cs="Arial"/>
                <w:sz w:val="24"/>
              </w:rPr>
              <w:t>4</w:t>
            </w:r>
            <w:r w:rsidRPr="00150CD2">
              <w:rPr>
                <w:rFonts w:cs="Arial"/>
                <w:sz w:val="24"/>
              </w:rPr>
              <w:t xml:space="preserve">% of other MidCentral DSS </w:t>
            </w:r>
            <w:r w:rsidR="008A5CE9" w:rsidRPr="00150CD2">
              <w:rPr>
                <w:rFonts w:cs="Arial"/>
                <w:sz w:val="24"/>
              </w:rPr>
              <w:t>children</w:t>
            </w:r>
            <w:r w:rsidRPr="00150CD2">
              <w:rPr>
                <w:rFonts w:cs="Arial"/>
                <w:sz w:val="24"/>
              </w:rPr>
              <w:t xml:space="preserve">) and 10% were involved in statutory CP (compared with </w:t>
            </w:r>
            <w:r w:rsidR="00760100" w:rsidRPr="00150CD2">
              <w:rPr>
                <w:rFonts w:cs="Arial"/>
                <w:sz w:val="24"/>
              </w:rPr>
              <w:t>less than 3</w:t>
            </w:r>
            <w:r w:rsidRPr="00150CD2">
              <w:rPr>
                <w:rFonts w:cs="Arial"/>
                <w:sz w:val="24"/>
              </w:rPr>
              <w:t xml:space="preserve">% of other DSS children). CP contact </w:t>
            </w:r>
            <w:r w:rsidR="009E4F58" w:rsidRPr="00150CD2">
              <w:rPr>
                <w:rFonts w:cs="Arial"/>
                <w:sz w:val="24"/>
              </w:rPr>
              <w:t xml:space="preserve">rates </w:t>
            </w:r>
            <w:r w:rsidRPr="00150CD2">
              <w:rPr>
                <w:rFonts w:cs="Arial"/>
                <w:sz w:val="24"/>
              </w:rPr>
              <w:t>were similar between Māori/non-Māori children</w:t>
            </w:r>
            <w:r w:rsidR="00760100" w:rsidRPr="00150CD2">
              <w:rPr>
                <w:rFonts w:cs="Arial"/>
                <w:sz w:val="24"/>
              </w:rPr>
              <w:t xml:space="preserve"> and</w:t>
            </w:r>
            <w:r w:rsidRPr="00150CD2">
              <w:rPr>
                <w:rFonts w:cs="Arial"/>
                <w:sz w:val="24"/>
              </w:rPr>
              <w:t xml:space="preserve"> </w:t>
            </w:r>
            <w:r w:rsidR="00760100" w:rsidRPr="00150CD2">
              <w:rPr>
                <w:rFonts w:cs="Arial"/>
                <w:sz w:val="24"/>
              </w:rPr>
              <w:t xml:space="preserve">by </w:t>
            </w:r>
            <w:r w:rsidRPr="00150CD2">
              <w:rPr>
                <w:rFonts w:cs="Arial"/>
                <w:sz w:val="24"/>
              </w:rPr>
              <w:t>SPA levels.</w:t>
            </w:r>
          </w:p>
        </w:tc>
      </w:tr>
      <w:tr w:rsidR="008C01A0" w:rsidRPr="00150CD2" w14:paraId="2E8B28F5" w14:textId="77777777" w:rsidTr="002D4BE0">
        <w:tc>
          <w:tcPr>
            <w:tcW w:w="1555" w:type="dxa"/>
            <w:tcBorders>
              <w:top w:val="nil"/>
              <w:bottom w:val="single" w:sz="4" w:space="0" w:color="auto"/>
            </w:tcBorders>
          </w:tcPr>
          <w:p w14:paraId="5C4633A7" w14:textId="77777777" w:rsidR="008C01A0" w:rsidRPr="00150CD2" w:rsidRDefault="008C01A0" w:rsidP="008C01A0">
            <w:pPr>
              <w:pStyle w:val="EYTableText"/>
              <w:rPr>
                <w:rFonts w:cs="Arial"/>
                <w:sz w:val="24"/>
              </w:rPr>
            </w:pPr>
          </w:p>
        </w:tc>
        <w:tc>
          <w:tcPr>
            <w:tcW w:w="2016" w:type="dxa"/>
          </w:tcPr>
          <w:p w14:paraId="0C387F7D" w14:textId="652E3B8C" w:rsidR="008C01A0" w:rsidRPr="00150CD2" w:rsidRDefault="00237044" w:rsidP="008C01A0">
            <w:pPr>
              <w:pStyle w:val="EYTableText"/>
              <w:rPr>
                <w:rFonts w:cs="Arial"/>
                <w:sz w:val="24"/>
              </w:rPr>
            </w:pPr>
            <w:r w:rsidRPr="00150CD2">
              <w:rPr>
                <w:rFonts w:cs="Arial"/>
                <w:sz w:val="24"/>
              </w:rPr>
              <w:t>O</w:t>
            </w:r>
            <w:r w:rsidR="008C01A0" w:rsidRPr="00150CD2">
              <w:rPr>
                <w:rFonts w:cs="Arial"/>
                <w:sz w:val="24"/>
              </w:rPr>
              <w:t>ffences</w:t>
            </w:r>
          </w:p>
        </w:tc>
        <w:tc>
          <w:tcPr>
            <w:tcW w:w="10512" w:type="dxa"/>
          </w:tcPr>
          <w:p w14:paraId="6E7F8E83" w14:textId="10EDC53D" w:rsidR="008C01A0" w:rsidRPr="00150CD2" w:rsidRDefault="003A2E77" w:rsidP="00D143A9">
            <w:pPr>
              <w:pStyle w:val="EYTablebullet1"/>
              <w:spacing w:before="0" w:after="120"/>
              <w:rPr>
                <w:rFonts w:cs="Arial"/>
                <w:i/>
                <w:color w:val="C00000"/>
                <w:sz w:val="24"/>
              </w:rPr>
            </w:pPr>
            <w:r w:rsidRPr="00150CD2">
              <w:rPr>
                <w:rFonts w:cs="Arial"/>
                <w:sz w:val="24"/>
              </w:rPr>
              <w:t>A small proportion (11%)</w:t>
            </w:r>
            <w:r w:rsidR="008C01A0" w:rsidRPr="00150CD2">
              <w:rPr>
                <w:rFonts w:cs="Arial"/>
                <w:sz w:val="24"/>
              </w:rPr>
              <w:t xml:space="preserve"> of MidCentral DSS children aged 10-</w:t>
            </w:r>
            <w:r w:rsidRPr="00150CD2">
              <w:rPr>
                <w:rFonts w:cs="Arial"/>
                <w:sz w:val="24"/>
              </w:rPr>
              <w:t xml:space="preserve">14 </w:t>
            </w:r>
            <w:r w:rsidR="008C01A0" w:rsidRPr="00150CD2">
              <w:rPr>
                <w:rFonts w:cs="Arial"/>
                <w:sz w:val="24"/>
              </w:rPr>
              <w:t xml:space="preserve">were involved in </w:t>
            </w:r>
            <w:r w:rsidR="00302B8D" w:rsidRPr="00150CD2">
              <w:rPr>
                <w:rFonts w:cs="Arial"/>
                <w:sz w:val="24"/>
              </w:rPr>
              <w:t xml:space="preserve">Police-recorded </w:t>
            </w:r>
            <w:r w:rsidR="008C01A0" w:rsidRPr="00150CD2">
              <w:rPr>
                <w:rFonts w:cs="Arial"/>
                <w:sz w:val="24"/>
              </w:rPr>
              <w:t>offences over a 3 year period</w:t>
            </w:r>
            <w:r w:rsidRPr="00150CD2">
              <w:rPr>
                <w:rFonts w:cs="Arial"/>
                <w:sz w:val="24"/>
              </w:rPr>
              <w:t>. Almost all were associated with low</w:t>
            </w:r>
            <w:r w:rsidR="00302B8D" w:rsidRPr="00150CD2">
              <w:rPr>
                <w:rFonts w:cs="Arial"/>
                <w:sz w:val="24"/>
              </w:rPr>
              <w:t>-</w:t>
            </w:r>
            <w:r w:rsidRPr="00150CD2">
              <w:rPr>
                <w:rFonts w:cs="Arial"/>
                <w:sz w:val="24"/>
              </w:rPr>
              <w:t>level offences</w:t>
            </w:r>
            <w:r w:rsidR="006219FC" w:rsidRPr="00150CD2">
              <w:rPr>
                <w:rStyle w:val="FootnoteReference"/>
                <w:rFonts w:ascii="Arial" w:hAnsi="Arial" w:cs="Arial"/>
              </w:rPr>
              <w:footnoteReference w:id="23"/>
            </w:r>
            <w:r w:rsidRPr="00150CD2">
              <w:rPr>
                <w:rFonts w:cs="Arial"/>
                <w:sz w:val="24"/>
              </w:rPr>
              <w:t xml:space="preserve"> and were from </w:t>
            </w:r>
            <w:r w:rsidR="008C01A0" w:rsidRPr="00150CD2">
              <w:rPr>
                <w:rFonts w:cs="Arial"/>
                <w:sz w:val="24"/>
              </w:rPr>
              <w:t>male children.</w:t>
            </w:r>
            <w:r w:rsidR="008C01A0" w:rsidRPr="00150CD2">
              <w:rPr>
                <w:rFonts w:cs="Arial"/>
                <w:sz w:val="24"/>
              </w:rPr>
              <w:br/>
              <w:t>These rates were higher than for other similarly aged DSS children outside MidCentral and for non-DSS children in MidCentral (</w:t>
            </w:r>
            <w:r w:rsidRPr="00150CD2">
              <w:rPr>
                <w:rFonts w:cs="Arial"/>
                <w:sz w:val="24"/>
              </w:rPr>
              <w:t>5</w:t>
            </w:r>
            <w:r w:rsidR="008C01A0" w:rsidRPr="00150CD2">
              <w:rPr>
                <w:rFonts w:cs="Arial"/>
                <w:sz w:val="24"/>
              </w:rPr>
              <w:t>% involved in offences).</w:t>
            </w:r>
          </w:p>
        </w:tc>
      </w:tr>
      <w:tr w:rsidR="00EC1524" w:rsidRPr="00150CD2" w14:paraId="51A342D6" w14:textId="77777777" w:rsidTr="002D4BE0">
        <w:tc>
          <w:tcPr>
            <w:tcW w:w="1555" w:type="dxa"/>
            <w:tcBorders>
              <w:bottom w:val="nil"/>
            </w:tcBorders>
          </w:tcPr>
          <w:p w14:paraId="63A1F87E" w14:textId="77777777" w:rsidR="00EC1524" w:rsidRPr="00150CD2" w:rsidRDefault="00EC1524" w:rsidP="00EC1524">
            <w:pPr>
              <w:pStyle w:val="EYTableText"/>
              <w:rPr>
                <w:rFonts w:cs="Arial"/>
                <w:sz w:val="24"/>
              </w:rPr>
            </w:pPr>
            <w:r w:rsidRPr="00150CD2">
              <w:rPr>
                <w:rFonts w:cs="Arial"/>
                <w:sz w:val="24"/>
              </w:rPr>
              <w:t>Parents / family / whānau</w:t>
            </w:r>
          </w:p>
        </w:tc>
        <w:tc>
          <w:tcPr>
            <w:tcW w:w="2016" w:type="dxa"/>
          </w:tcPr>
          <w:p w14:paraId="57C6F7F4" w14:textId="7A9655E5" w:rsidR="00EC1524" w:rsidRPr="00150CD2" w:rsidRDefault="00EC1524" w:rsidP="00EC1524">
            <w:pPr>
              <w:pStyle w:val="EYTableText"/>
              <w:rPr>
                <w:rFonts w:cs="Arial"/>
                <w:sz w:val="24"/>
              </w:rPr>
            </w:pPr>
            <w:r w:rsidRPr="00150CD2">
              <w:rPr>
                <w:rFonts w:cs="Arial"/>
                <w:sz w:val="24"/>
              </w:rPr>
              <w:t>Family units and parental employment</w:t>
            </w:r>
          </w:p>
        </w:tc>
        <w:tc>
          <w:tcPr>
            <w:tcW w:w="10512" w:type="dxa"/>
          </w:tcPr>
          <w:p w14:paraId="2CAED285" w14:textId="78D517FD" w:rsidR="00DB314F" w:rsidRPr="00150CD2" w:rsidRDefault="00DB314F" w:rsidP="00DB314F">
            <w:pPr>
              <w:pStyle w:val="EYTableText"/>
              <w:spacing w:before="0" w:after="120"/>
              <w:rPr>
                <w:rFonts w:cs="Arial"/>
                <w:i/>
                <w:iCs/>
                <w:sz w:val="24"/>
              </w:rPr>
            </w:pPr>
            <w:r w:rsidRPr="00150CD2">
              <w:rPr>
                <w:rFonts w:cs="Arial"/>
                <w:i/>
                <w:iCs/>
                <w:sz w:val="24"/>
              </w:rPr>
              <w:t xml:space="preserve">The following observations around family units should be treated as estimates and care taken in interpretation, due to limitations around the coverage of relationship records in administrative data. Refer to </w:t>
            </w:r>
            <w:r w:rsidRPr="00150CD2">
              <w:rPr>
                <w:rFonts w:cs="Arial"/>
                <w:i/>
                <w:iCs/>
                <w:sz w:val="24"/>
              </w:rPr>
              <w:fldChar w:fldCharType="begin"/>
            </w:r>
            <w:r w:rsidRPr="00150CD2">
              <w:rPr>
                <w:rFonts w:cs="Arial"/>
                <w:i/>
                <w:iCs/>
                <w:sz w:val="24"/>
              </w:rPr>
              <w:instrText xml:space="preserve"> REF _Ref44353599 \r \h  \* MERGEFORMAT </w:instrText>
            </w:r>
            <w:r w:rsidRPr="00150CD2">
              <w:rPr>
                <w:rFonts w:cs="Arial"/>
                <w:i/>
                <w:iCs/>
                <w:sz w:val="24"/>
              </w:rPr>
            </w:r>
            <w:r w:rsidRPr="00150CD2">
              <w:rPr>
                <w:rFonts w:cs="Arial"/>
                <w:i/>
                <w:iCs/>
                <w:sz w:val="24"/>
              </w:rPr>
              <w:fldChar w:fldCharType="separate"/>
            </w:r>
            <w:r w:rsidR="00053D9A" w:rsidRPr="00150CD2">
              <w:rPr>
                <w:rFonts w:cs="Arial"/>
                <w:i/>
                <w:iCs/>
                <w:sz w:val="24"/>
              </w:rPr>
              <w:t>Appendix D</w:t>
            </w:r>
            <w:r w:rsidRPr="00150CD2">
              <w:rPr>
                <w:rFonts w:cs="Arial"/>
                <w:i/>
                <w:iCs/>
                <w:sz w:val="24"/>
              </w:rPr>
              <w:fldChar w:fldCharType="end"/>
            </w:r>
            <w:r w:rsidRPr="00150CD2">
              <w:rPr>
                <w:rFonts w:cs="Arial"/>
                <w:i/>
                <w:iCs/>
                <w:sz w:val="24"/>
              </w:rPr>
              <w:t xml:space="preserve"> for further information.</w:t>
            </w:r>
          </w:p>
          <w:p w14:paraId="269B1B34" w14:textId="0721AB3B" w:rsidR="00EC1524" w:rsidRPr="00150CD2" w:rsidRDefault="00EC1524" w:rsidP="00D143A9">
            <w:pPr>
              <w:pStyle w:val="EYTableText"/>
              <w:spacing w:before="0" w:after="120"/>
              <w:rPr>
                <w:rFonts w:cs="Arial"/>
                <w:sz w:val="24"/>
              </w:rPr>
            </w:pPr>
            <w:r w:rsidRPr="00150CD2">
              <w:rPr>
                <w:rFonts w:cs="Arial"/>
                <w:sz w:val="24"/>
              </w:rPr>
              <w:t>For 5-</w:t>
            </w:r>
            <w:r w:rsidR="0055560E" w:rsidRPr="00150CD2">
              <w:rPr>
                <w:rFonts w:cs="Arial"/>
                <w:sz w:val="24"/>
              </w:rPr>
              <w:t xml:space="preserve">14 </w:t>
            </w:r>
            <w:r w:rsidRPr="00150CD2">
              <w:rPr>
                <w:rFonts w:cs="Arial"/>
                <w:sz w:val="24"/>
              </w:rPr>
              <w:t>year old DSS children living in MidCentral at June 2018:</w:t>
            </w:r>
          </w:p>
          <w:p w14:paraId="276F71A2" w14:textId="1C468C63" w:rsidR="00EC1524" w:rsidRPr="00150CD2" w:rsidRDefault="00EC1524" w:rsidP="00D143A9">
            <w:pPr>
              <w:pStyle w:val="EYTablebullet1"/>
              <w:spacing w:before="0" w:after="120"/>
              <w:rPr>
                <w:rFonts w:cs="Arial"/>
                <w:sz w:val="24"/>
              </w:rPr>
            </w:pPr>
            <w:r w:rsidRPr="00150CD2">
              <w:rPr>
                <w:rFonts w:cs="Arial"/>
                <w:sz w:val="24"/>
              </w:rPr>
              <w:t xml:space="preserve">Around half </w:t>
            </w:r>
            <w:r w:rsidR="00D31778" w:rsidRPr="00150CD2">
              <w:rPr>
                <w:rFonts w:cs="Arial"/>
                <w:sz w:val="24"/>
              </w:rPr>
              <w:t xml:space="preserve">(48%) </w:t>
            </w:r>
            <w:r w:rsidRPr="00150CD2">
              <w:rPr>
                <w:rFonts w:cs="Arial"/>
                <w:sz w:val="24"/>
              </w:rPr>
              <w:t xml:space="preserve">live with sole parents with the remaining half linked to two parents/caregivers. </w:t>
            </w:r>
          </w:p>
          <w:p w14:paraId="79672239" w14:textId="58108A2B" w:rsidR="00EC1524" w:rsidRPr="00150CD2" w:rsidRDefault="00EC1524" w:rsidP="00D143A9">
            <w:pPr>
              <w:pStyle w:val="EYTablebullet1"/>
              <w:spacing w:before="0" w:after="120"/>
              <w:rPr>
                <w:rFonts w:cs="Arial"/>
                <w:sz w:val="24"/>
              </w:rPr>
            </w:pPr>
            <w:r w:rsidRPr="00150CD2">
              <w:rPr>
                <w:rFonts w:cs="Arial"/>
                <w:sz w:val="24"/>
              </w:rPr>
              <w:t>The proportion of this group supported by a sole parent/caregiver is higher than for other children in MidCentral (</w:t>
            </w:r>
            <w:r w:rsidR="002A5FE5" w:rsidRPr="00150CD2">
              <w:rPr>
                <w:rFonts w:cs="Arial"/>
                <w:sz w:val="24"/>
              </w:rPr>
              <w:t>36</w:t>
            </w:r>
            <w:r w:rsidRPr="00150CD2">
              <w:rPr>
                <w:rFonts w:cs="Arial"/>
                <w:sz w:val="24"/>
              </w:rPr>
              <w:t xml:space="preserve">%) or other DSS children outside MidCentral (42%). Children in this age group </w:t>
            </w:r>
            <w:r w:rsidR="00D90033" w:rsidRPr="00150CD2">
              <w:rPr>
                <w:rFonts w:cs="Arial"/>
                <w:sz w:val="24"/>
              </w:rPr>
              <w:t xml:space="preserve">who were </w:t>
            </w:r>
            <w:r w:rsidRPr="00150CD2">
              <w:rPr>
                <w:rFonts w:cs="Arial"/>
                <w:sz w:val="24"/>
              </w:rPr>
              <w:t>supported by sole parents were much more likely to require income support for some/all of the following 3 year period.</w:t>
            </w:r>
          </w:p>
          <w:p w14:paraId="0498E4C3" w14:textId="62993950" w:rsidR="00EC1524" w:rsidRPr="00150CD2" w:rsidRDefault="00EC1524" w:rsidP="00D143A9">
            <w:pPr>
              <w:pStyle w:val="EYTablebullet1"/>
              <w:spacing w:before="0" w:after="120"/>
              <w:rPr>
                <w:rFonts w:cs="Arial"/>
                <w:sz w:val="24"/>
              </w:rPr>
            </w:pPr>
            <w:r w:rsidRPr="00150CD2">
              <w:rPr>
                <w:rFonts w:cs="Arial"/>
                <w:sz w:val="24"/>
              </w:rPr>
              <w:t xml:space="preserve">Similarly to DSS children in other regions, the proportion supported by two parents/caregivers and two incomes is lower than for the non-DSS child population - </w:t>
            </w:r>
            <w:r w:rsidR="0011517C" w:rsidRPr="00150CD2">
              <w:rPr>
                <w:rFonts w:cs="Arial"/>
                <w:sz w:val="24"/>
              </w:rPr>
              <w:t>25</w:t>
            </w:r>
            <w:r w:rsidRPr="00150CD2">
              <w:rPr>
                <w:rFonts w:cs="Arial"/>
                <w:sz w:val="24"/>
              </w:rPr>
              <w:t xml:space="preserve">% compared with 37% for </w:t>
            </w:r>
            <w:r w:rsidR="00D31778" w:rsidRPr="00150CD2">
              <w:rPr>
                <w:rFonts w:cs="Arial"/>
                <w:sz w:val="24"/>
              </w:rPr>
              <w:t xml:space="preserve">non-DSS </w:t>
            </w:r>
            <w:r w:rsidRPr="00150CD2">
              <w:rPr>
                <w:rFonts w:cs="Arial"/>
                <w:sz w:val="24"/>
              </w:rPr>
              <w:t xml:space="preserve">MidCentral </w:t>
            </w:r>
            <w:r w:rsidR="00D31778" w:rsidRPr="00150CD2">
              <w:rPr>
                <w:rFonts w:cs="Arial"/>
                <w:sz w:val="24"/>
              </w:rPr>
              <w:t>children</w:t>
            </w:r>
            <w:r w:rsidRPr="00150CD2">
              <w:rPr>
                <w:rFonts w:cs="Arial"/>
                <w:sz w:val="24"/>
              </w:rPr>
              <w:t xml:space="preserve">. </w:t>
            </w:r>
            <w:r w:rsidR="0011517C" w:rsidRPr="00150CD2">
              <w:rPr>
                <w:rFonts w:cs="Arial"/>
                <w:sz w:val="24"/>
              </w:rPr>
              <w:t>32</w:t>
            </w:r>
            <w:r w:rsidRPr="00150CD2">
              <w:rPr>
                <w:rFonts w:cs="Arial"/>
                <w:sz w:val="24"/>
              </w:rPr>
              <w:t xml:space="preserve">% had one parent with employment income and </w:t>
            </w:r>
            <w:r w:rsidR="0011517C" w:rsidRPr="00150CD2">
              <w:rPr>
                <w:rFonts w:cs="Arial"/>
                <w:sz w:val="24"/>
              </w:rPr>
              <w:t>44</w:t>
            </w:r>
            <w:r w:rsidRPr="00150CD2">
              <w:rPr>
                <w:rFonts w:cs="Arial"/>
                <w:sz w:val="24"/>
              </w:rPr>
              <w:t xml:space="preserve">% had no parents with employment income. </w:t>
            </w:r>
          </w:p>
          <w:p w14:paraId="685CF802" w14:textId="62E17A86" w:rsidR="00EC1524" w:rsidRPr="00150CD2" w:rsidRDefault="00EC1524" w:rsidP="00D143A9">
            <w:pPr>
              <w:pStyle w:val="EYTablebullet1"/>
              <w:spacing w:before="0" w:after="120"/>
              <w:rPr>
                <w:rFonts w:cs="Arial"/>
                <w:sz w:val="24"/>
              </w:rPr>
            </w:pPr>
            <w:r w:rsidRPr="00150CD2">
              <w:rPr>
                <w:rFonts w:cs="Arial"/>
                <w:i/>
                <w:sz w:val="24"/>
              </w:rPr>
              <w:t xml:space="preserve">Refer to </w:t>
            </w:r>
            <w:r w:rsidR="00310848" w:rsidRPr="00150CD2">
              <w:rPr>
                <w:rFonts w:cs="Arial"/>
                <w:i/>
                <w:sz w:val="24"/>
              </w:rPr>
              <w:fldChar w:fldCharType="begin"/>
            </w:r>
            <w:r w:rsidR="00310848" w:rsidRPr="00150CD2">
              <w:rPr>
                <w:rFonts w:cs="Arial"/>
                <w:i/>
                <w:sz w:val="24"/>
              </w:rPr>
              <w:instrText xml:space="preserve"> REF _Ref34055366 \r \h </w:instrText>
            </w:r>
            <w:r w:rsidR="00625A28" w:rsidRPr="00150CD2">
              <w:rPr>
                <w:rFonts w:cs="Arial"/>
                <w:i/>
                <w:sz w:val="24"/>
              </w:rPr>
              <w:instrText xml:space="preserve"> \* MERGEFORMAT </w:instrText>
            </w:r>
            <w:r w:rsidR="00310848" w:rsidRPr="00150CD2">
              <w:rPr>
                <w:rFonts w:cs="Arial"/>
                <w:i/>
                <w:sz w:val="24"/>
              </w:rPr>
            </w:r>
            <w:r w:rsidR="00310848" w:rsidRPr="00150CD2">
              <w:rPr>
                <w:rFonts w:cs="Arial"/>
                <w:i/>
                <w:sz w:val="24"/>
              </w:rPr>
              <w:fldChar w:fldCharType="separate"/>
            </w:r>
            <w:r w:rsidR="00053D9A" w:rsidRPr="00150CD2">
              <w:rPr>
                <w:rFonts w:cs="Arial"/>
                <w:i/>
                <w:sz w:val="24"/>
              </w:rPr>
              <w:t>Appendix H</w:t>
            </w:r>
            <w:r w:rsidR="00310848" w:rsidRPr="00150CD2">
              <w:rPr>
                <w:rFonts w:cs="Arial"/>
                <w:i/>
                <w:sz w:val="24"/>
              </w:rPr>
              <w:fldChar w:fldCharType="end"/>
            </w:r>
            <w:r w:rsidRPr="00150CD2">
              <w:rPr>
                <w:rFonts w:cs="Arial"/>
                <w:i/>
                <w:sz w:val="24"/>
              </w:rPr>
              <w:t xml:space="preserve"> for a description of household changes experienced by DSS children </w:t>
            </w:r>
            <w:r w:rsidR="00310848" w:rsidRPr="00150CD2">
              <w:rPr>
                <w:rFonts w:cs="Arial"/>
                <w:i/>
                <w:sz w:val="24"/>
              </w:rPr>
              <w:t xml:space="preserve">across New Zealand </w:t>
            </w:r>
            <w:r w:rsidRPr="00150CD2">
              <w:rPr>
                <w:rFonts w:cs="Arial"/>
                <w:i/>
                <w:sz w:val="24"/>
              </w:rPr>
              <w:t xml:space="preserve">over the </w:t>
            </w:r>
            <w:r w:rsidR="00D143A9" w:rsidRPr="00150CD2">
              <w:rPr>
                <w:rFonts w:cs="Arial"/>
                <w:i/>
                <w:sz w:val="24"/>
              </w:rPr>
              <w:t>3</w:t>
            </w:r>
            <w:r w:rsidRPr="00150CD2">
              <w:rPr>
                <w:rFonts w:cs="Arial"/>
                <w:i/>
                <w:sz w:val="24"/>
              </w:rPr>
              <w:t xml:space="preserve"> year period </w:t>
            </w:r>
            <w:r w:rsidR="00D143A9" w:rsidRPr="00150CD2">
              <w:rPr>
                <w:rFonts w:cs="Arial"/>
                <w:i/>
                <w:sz w:val="24"/>
              </w:rPr>
              <w:t>to June 2018</w:t>
            </w:r>
            <w:r w:rsidRPr="00150CD2">
              <w:rPr>
                <w:rFonts w:cs="Arial"/>
                <w:i/>
                <w:sz w:val="24"/>
              </w:rPr>
              <w:t xml:space="preserve">. As the MidCentral child population is relatively small we were unable to extract MidCentral specific </w:t>
            </w:r>
            <w:r w:rsidR="0056224C" w:rsidRPr="00150CD2">
              <w:rPr>
                <w:rFonts w:cs="Arial"/>
                <w:i/>
                <w:sz w:val="24"/>
              </w:rPr>
              <w:t>figures but</w:t>
            </w:r>
            <w:r w:rsidRPr="00150CD2">
              <w:rPr>
                <w:rFonts w:cs="Arial"/>
                <w:i/>
                <w:sz w:val="24"/>
              </w:rPr>
              <w:t xml:space="preserve"> note that patterns of household changes are broadly similar to those for other DSS children.</w:t>
            </w:r>
          </w:p>
        </w:tc>
      </w:tr>
      <w:tr w:rsidR="00AA6BDF" w:rsidRPr="00150CD2" w14:paraId="2CB18278" w14:textId="77777777" w:rsidTr="002D4BE0">
        <w:tc>
          <w:tcPr>
            <w:tcW w:w="1555" w:type="dxa"/>
            <w:tcBorders>
              <w:top w:val="nil"/>
            </w:tcBorders>
          </w:tcPr>
          <w:p w14:paraId="64739E5C" w14:textId="77777777" w:rsidR="00AA6BDF" w:rsidRPr="00150CD2" w:rsidRDefault="00AA6BDF" w:rsidP="00EC1524">
            <w:pPr>
              <w:pStyle w:val="EYTableText"/>
              <w:rPr>
                <w:rFonts w:cs="Arial"/>
                <w:sz w:val="24"/>
              </w:rPr>
            </w:pPr>
          </w:p>
        </w:tc>
        <w:tc>
          <w:tcPr>
            <w:tcW w:w="2016" w:type="dxa"/>
          </w:tcPr>
          <w:p w14:paraId="428F122D" w14:textId="5F0B9A0B" w:rsidR="00AA6BDF" w:rsidRPr="00150CD2" w:rsidRDefault="00AA6BDF" w:rsidP="000B16F5">
            <w:pPr>
              <w:pStyle w:val="EYTableText"/>
              <w:rPr>
                <w:rFonts w:cs="Arial"/>
                <w:sz w:val="24"/>
              </w:rPr>
            </w:pPr>
            <w:r w:rsidRPr="00150CD2">
              <w:rPr>
                <w:rFonts w:cs="Arial"/>
                <w:sz w:val="24"/>
              </w:rPr>
              <w:t>Benefit income support, social housing and address changes</w:t>
            </w:r>
          </w:p>
        </w:tc>
        <w:tc>
          <w:tcPr>
            <w:tcW w:w="10512" w:type="dxa"/>
          </w:tcPr>
          <w:p w14:paraId="380E9607" w14:textId="70CE7E64" w:rsidR="00AA6BDF" w:rsidRPr="00150CD2" w:rsidRDefault="00AA6BDF" w:rsidP="00D143A9">
            <w:pPr>
              <w:pStyle w:val="EYTablebullet1"/>
              <w:spacing w:before="0" w:after="120"/>
              <w:rPr>
                <w:rFonts w:cs="Arial"/>
                <w:sz w:val="24"/>
              </w:rPr>
            </w:pPr>
            <w:r w:rsidRPr="00150CD2">
              <w:rPr>
                <w:rFonts w:cs="Arial"/>
                <w:sz w:val="24"/>
              </w:rPr>
              <w:t xml:space="preserve">Around </w:t>
            </w:r>
            <w:r w:rsidR="001347ED" w:rsidRPr="00150CD2">
              <w:rPr>
                <w:rFonts w:cs="Arial"/>
                <w:sz w:val="24"/>
              </w:rPr>
              <w:t>4</w:t>
            </w:r>
            <w:r w:rsidR="00A837F1" w:rsidRPr="00150CD2">
              <w:rPr>
                <w:rFonts w:cs="Arial"/>
                <w:sz w:val="24"/>
              </w:rPr>
              <w:t>4</w:t>
            </w:r>
            <w:r w:rsidRPr="00150CD2">
              <w:rPr>
                <w:rFonts w:cs="Arial"/>
                <w:sz w:val="24"/>
              </w:rPr>
              <w:t xml:space="preserve">% were supported on a main benefit at some point over the 3 year period, and around </w:t>
            </w:r>
            <w:r w:rsidR="00531530" w:rsidRPr="00150CD2">
              <w:rPr>
                <w:rFonts w:cs="Arial"/>
                <w:sz w:val="24"/>
              </w:rPr>
              <w:t>18</w:t>
            </w:r>
            <w:r w:rsidRPr="00150CD2">
              <w:rPr>
                <w:rFonts w:cs="Arial"/>
                <w:sz w:val="24"/>
              </w:rPr>
              <w:t xml:space="preserve">% had a parent who received sole parent support for some/all of the period. Overall </w:t>
            </w:r>
            <w:r w:rsidR="00D179BF" w:rsidRPr="00150CD2">
              <w:rPr>
                <w:rFonts w:cs="Arial"/>
                <w:sz w:val="24"/>
              </w:rPr>
              <w:t xml:space="preserve">main </w:t>
            </w:r>
            <w:r w:rsidRPr="00150CD2">
              <w:rPr>
                <w:rFonts w:cs="Arial"/>
                <w:sz w:val="24"/>
              </w:rPr>
              <w:t xml:space="preserve">benefit support rates were higher than for other similarly aged DSS children </w:t>
            </w:r>
            <w:r w:rsidR="00A837F1" w:rsidRPr="00150CD2">
              <w:rPr>
                <w:rFonts w:cs="Arial"/>
                <w:sz w:val="24"/>
              </w:rPr>
              <w:t xml:space="preserve">(33% were supported on a main benefit at some point over the 3 years) </w:t>
            </w:r>
            <w:r w:rsidRPr="00150CD2">
              <w:rPr>
                <w:rFonts w:cs="Arial"/>
                <w:sz w:val="24"/>
              </w:rPr>
              <w:t xml:space="preserve">or for </w:t>
            </w:r>
            <w:r w:rsidR="00A837F1" w:rsidRPr="00150CD2">
              <w:rPr>
                <w:rFonts w:cs="Arial"/>
                <w:sz w:val="24"/>
              </w:rPr>
              <w:t xml:space="preserve">non-DSS </w:t>
            </w:r>
            <w:r w:rsidRPr="00150CD2">
              <w:rPr>
                <w:rFonts w:cs="Arial"/>
                <w:sz w:val="24"/>
              </w:rPr>
              <w:t>children in MidCentral (26% were supported on a main benefit at some point over the 3 years).</w:t>
            </w:r>
          </w:p>
          <w:p w14:paraId="229E5626" w14:textId="14FAF545" w:rsidR="00AA6BDF" w:rsidRPr="00150CD2" w:rsidRDefault="00AA6BDF" w:rsidP="00D143A9">
            <w:pPr>
              <w:pStyle w:val="EYTablebullet1"/>
              <w:spacing w:before="0" w:after="120"/>
              <w:rPr>
                <w:rFonts w:cs="Arial"/>
                <w:sz w:val="24"/>
              </w:rPr>
            </w:pPr>
            <w:r w:rsidRPr="00150CD2">
              <w:rPr>
                <w:rFonts w:cs="Arial"/>
                <w:sz w:val="24"/>
              </w:rPr>
              <w:t xml:space="preserve">Around 10% of children lived in social housing for some/all of the period, </w:t>
            </w:r>
            <w:r w:rsidR="000C02BA" w:rsidRPr="00150CD2">
              <w:rPr>
                <w:rFonts w:cs="Arial"/>
                <w:sz w:val="24"/>
              </w:rPr>
              <w:t xml:space="preserve">a higher proportion than for </w:t>
            </w:r>
            <w:r w:rsidRPr="00150CD2">
              <w:rPr>
                <w:rFonts w:cs="Arial"/>
                <w:sz w:val="24"/>
              </w:rPr>
              <w:t>other similarly aged MidCentral children</w:t>
            </w:r>
            <w:r w:rsidR="00531530" w:rsidRPr="00150CD2">
              <w:rPr>
                <w:rFonts w:cs="Arial"/>
                <w:sz w:val="24"/>
              </w:rPr>
              <w:t xml:space="preserve"> (5%)</w:t>
            </w:r>
            <w:r w:rsidRPr="00150CD2">
              <w:rPr>
                <w:rFonts w:cs="Arial"/>
                <w:sz w:val="24"/>
              </w:rPr>
              <w:t>.</w:t>
            </w:r>
          </w:p>
          <w:p w14:paraId="2D815A70" w14:textId="3E41DE59" w:rsidR="00AA6BDF" w:rsidRPr="00150CD2" w:rsidRDefault="00AA6BDF">
            <w:pPr>
              <w:pStyle w:val="EYTablebullet1"/>
              <w:spacing w:before="0" w:after="120"/>
              <w:rPr>
                <w:rFonts w:cs="Arial"/>
                <w:sz w:val="24"/>
              </w:rPr>
            </w:pPr>
            <w:r w:rsidRPr="00150CD2">
              <w:rPr>
                <w:rFonts w:cs="Arial"/>
                <w:sz w:val="24"/>
              </w:rPr>
              <w:t>Address changes over the period were at levels broadly similar to other MidCentral 5-14 year olds.</w:t>
            </w:r>
          </w:p>
          <w:p w14:paraId="5677361B" w14:textId="19A8F453" w:rsidR="00AA6BDF" w:rsidRPr="00150CD2" w:rsidRDefault="00AA6BDF" w:rsidP="00D143A9">
            <w:pPr>
              <w:pStyle w:val="EYTablebullet1"/>
              <w:spacing w:before="0" w:after="120"/>
              <w:rPr>
                <w:rFonts w:cs="Arial"/>
                <w:sz w:val="24"/>
              </w:rPr>
            </w:pPr>
            <w:r w:rsidRPr="00150CD2">
              <w:rPr>
                <w:rFonts w:cs="Arial"/>
                <w:sz w:val="24"/>
              </w:rPr>
              <w:t>A significant proportion (44%) of MidCentral DSS children aged 5-1</w:t>
            </w:r>
            <w:r w:rsidR="000F203A" w:rsidRPr="00150CD2">
              <w:rPr>
                <w:rFonts w:cs="Arial"/>
                <w:sz w:val="24"/>
              </w:rPr>
              <w:t>4</w:t>
            </w:r>
            <w:r w:rsidRPr="00150CD2">
              <w:rPr>
                <w:rFonts w:cs="Arial"/>
                <w:sz w:val="24"/>
              </w:rPr>
              <w:t xml:space="preserve"> had parents/caregivers who drew on </w:t>
            </w:r>
            <w:r w:rsidR="00A229FD" w:rsidRPr="00150CD2">
              <w:rPr>
                <w:rFonts w:cs="Arial"/>
                <w:sz w:val="24"/>
              </w:rPr>
              <w:t xml:space="preserve">third-tier </w:t>
            </w:r>
            <w:r w:rsidRPr="00150CD2">
              <w:rPr>
                <w:rFonts w:cs="Arial"/>
                <w:sz w:val="24"/>
              </w:rPr>
              <w:t>MSD support payments</w:t>
            </w:r>
            <w:r w:rsidR="001E5F4B" w:rsidRPr="00150CD2">
              <w:rPr>
                <w:rStyle w:val="FootnoteReference"/>
                <w:rFonts w:ascii="Arial" w:hAnsi="Arial" w:cs="Arial"/>
                <w:sz w:val="24"/>
                <w:szCs w:val="24"/>
              </w:rPr>
              <w:footnoteReference w:id="24"/>
            </w:r>
            <w:r w:rsidR="001E5F4B" w:rsidRPr="00150CD2">
              <w:rPr>
                <w:rFonts w:cs="Arial"/>
                <w:sz w:val="24"/>
              </w:rPr>
              <w:t xml:space="preserve"> </w:t>
            </w:r>
            <w:r w:rsidRPr="00150CD2">
              <w:rPr>
                <w:rFonts w:cs="Arial"/>
                <w:sz w:val="24"/>
              </w:rPr>
              <w:t>over a 3 year period, higher than for other MidCentral children (28%)</w:t>
            </w:r>
            <w:r w:rsidR="000F203A" w:rsidRPr="00150CD2">
              <w:rPr>
                <w:rFonts w:cs="Arial"/>
                <w:sz w:val="24"/>
              </w:rPr>
              <w:t xml:space="preserve"> </w:t>
            </w:r>
            <w:r w:rsidR="00A837F1" w:rsidRPr="00150CD2">
              <w:rPr>
                <w:rFonts w:cs="Arial"/>
                <w:sz w:val="24"/>
              </w:rPr>
              <w:t>and for DSS children in other areas (34%)</w:t>
            </w:r>
            <w:r w:rsidRPr="00150CD2">
              <w:rPr>
                <w:rFonts w:cs="Arial"/>
                <w:sz w:val="24"/>
              </w:rPr>
              <w:t>.</w:t>
            </w:r>
            <w:r w:rsidR="00A837F1" w:rsidRPr="00150CD2">
              <w:rPr>
                <w:rFonts w:cs="Arial"/>
                <w:sz w:val="24"/>
              </w:rPr>
              <w:t>%)</w:t>
            </w:r>
            <w:r w:rsidRPr="00150CD2">
              <w:rPr>
                <w:rFonts w:cs="Arial"/>
                <w:sz w:val="24"/>
              </w:rPr>
              <w:t xml:space="preserve"> </w:t>
            </w:r>
            <w:r w:rsidR="00A837F1" w:rsidRPr="00150CD2">
              <w:rPr>
                <w:rFonts w:cs="Arial"/>
                <w:sz w:val="24"/>
              </w:rPr>
              <w:t xml:space="preserve">These payments are intended to be one-off payments to support families in financial hardship. </w:t>
            </w:r>
            <w:r w:rsidRPr="00150CD2">
              <w:rPr>
                <w:rFonts w:cs="Arial"/>
                <w:sz w:val="24"/>
              </w:rPr>
              <w:t>A small subset (2%) were flagged as emergency housing payments.</w:t>
            </w:r>
          </w:p>
          <w:p w14:paraId="36638539" w14:textId="63EFC343" w:rsidR="00AA6BDF" w:rsidRPr="00150CD2" w:rsidRDefault="00AA6BDF" w:rsidP="00DC0A63">
            <w:pPr>
              <w:pStyle w:val="EYTablebullet1"/>
              <w:keepLines/>
              <w:spacing w:before="0" w:after="120"/>
              <w:ind w:left="288" w:hanging="288"/>
              <w:rPr>
                <w:rFonts w:cs="Arial"/>
                <w:sz w:val="24"/>
              </w:rPr>
            </w:pPr>
            <w:r w:rsidRPr="00150CD2">
              <w:rPr>
                <w:rFonts w:cs="Arial"/>
                <w:sz w:val="24"/>
              </w:rPr>
              <w:t xml:space="preserve">90% of children were linked to </w:t>
            </w:r>
            <w:r w:rsidR="00786DAF" w:rsidRPr="00150CD2">
              <w:rPr>
                <w:rFonts w:cs="Arial"/>
                <w:sz w:val="24"/>
              </w:rPr>
              <w:t xml:space="preserve">MSD </w:t>
            </w:r>
            <w:r w:rsidRPr="00150CD2">
              <w:rPr>
                <w:rFonts w:cs="Arial"/>
                <w:sz w:val="24"/>
              </w:rPr>
              <w:t>Child Disability Allowance payments, slightly higher than for DSS children outside MidCentral (84%) and significantly higher than for other children in MidCentral (8%).</w:t>
            </w:r>
            <w:r w:rsidR="00786DAF" w:rsidRPr="00150CD2">
              <w:rPr>
                <w:rFonts w:cs="Arial"/>
                <w:sz w:val="24"/>
              </w:rPr>
              <w:t xml:space="preserve"> The Child Disability Allowance is a fortnightly payment made to the main carer of a child or young person with a serious disability. It is paid in recognition of the extra care and attention needed for that child.</w:t>
            </w:r>
            <w:r w:rsidR="00786DAF" w:rsidRPr="00150CD2">
              <w:rPr>
                <w:rStyle w:val="FootnoteReference"/>
                <w:rFonts w:ascii="Arial" w:hAnsi="Arial" w:cs="Arial"/>
                <w:sz w:val="24"/>
                <w:szCs w:val="24"/>
              </w:rPr>
              <w:footnoteReference w:id="25"/>
            </w:r>
          </w:p>
          <w:p w14:paraId="22FAA643" w14:textId="665CB6C9" w:rsidR="00AA6BDF" w:rsidRPr="00150CD2" w:rsidRDefault="00AA6BDF" w:rsidP="00D143A9">
            <w:pPr>
              <w:pStyle w:val="EYTablebullet1"/>
              <w:spacing w:before="0" w:after="120"/>
              <w:rPr>
                <w:rFonts w:cs="Arial"/>
                <w:sz w:val="24"/>
              </w:rPr>
            </w:pPr>
            <w:r w:rsidRPr="00150CD2">
              <w:rPr>
                <w:rFonts w:cs="Arial"/>
                <w:sz w:val="24"/>
              </w:rPr>
              <w:t xml:space="preserve">8% of </w:t>
            </w:r>
            <w:r w:rsidR="000F203A" w:rsidRPr="00150CD2">
              <w:rPr>
                <w:rFonts w:cs="Arial"/>
                <w:sz w:val="24"/>
              </w:rPr>
              <w:t xml:space="preserve">DSS </w:t>
            </w:r>
            <w:r w:rsidRPr="00150CD2">
              <w:rPr>
                <w:rFonts w:cs="Arial"/>
                <w:sz w:val="24"/>
              </w:rPr>
              <w:t xml:space="preserve">children were linked to Unsupported Child Benefit payments – these children are living with caregivers other than their parent(s) for a sustained period of time. </w:t>
            </w:r>
            <w:r w:rsidR="00726F8E" w:rsidRPr="00150CD2">
              <w:rPr>
                <w:rFonts w:cs="Arial"/>
                <w:sz w:val="24"/>
              </w:rPr>
              <w:t>This compares with 5% for DSS children living in other areas and 3% of other children living in MidCentral.</w:t>
            </w:r>
          </w:p>
          <w:p w14:paraId="05B931A0" w14:textId="032B2570" w:rsidR="00AA6BDF" w:rsidRPr="00150CD2" w:rsidRDefault="00AA6BDF" w:rsidP="00D143A9">
            <w:pPr>
              <w:pStyle w:val="EYTablebullet1"/>
              <w:spacing w:before="0" w:after="120"/>
              <w:rPr>
                <w:rFonts w:cs="Arial"/>
                <w:sz w:val="24"/>
              </w:rPr>
            </w:pPr>
            <w:r w:rsidRPr="00150CD2">
              <w:rPr>
                <w:rFonts w:cs="Arial"/>
                <w:sz w:val="24"/>
              </w:rPr>
              <w:t xml:space="preserve">Around half had parents/caregivers in receipt of Accommodation Supplement and an additional 11% received Temporary </w:t>
            </w:r>
            <w:r w:rsidR="00864253" w:rsidRPr="00150CD2">
              <w:rPr>
                <w:rFonts w:cs="Arial"/>
                <w:sz w:val="24"/>
              </w:rPr>
              <w:t>Additional Support</w:t>
            </w:r>
            <w:r w:rsidRPr="00150CD2">
              <w:rPr>
                <w:rFonts w:cs="Arial"/>
                <w:sz w:val="24"/>
              </w:rPr>
              <w:t>.</w:t>
            </w:r>
            <w:r w:rsidR="000F203A" w:rsidRPr="00150CD2">
              <w:rPr>
                <w:rFonts w:cs="Arial"/>
                <w:sz w:val="24"/>
              </w:rPr>
              <w:t xml:space="preserve"> </w:t>
            </w:r>
            <w:r w:rsidR="00726F8E" w:rsidRPr="00150CD2">
              <w:rPr>
                <w:rFonts w:cs="Arial"/>
                <w:sz w:val="24"/>
              </w:rPr>
              <w:t xml:space="preserve">Rates of Accommodation Supplement receipt are higher than for DSS children in other areas (35%) and for other 5-14 year old children living in MidCentral (32%). Temporary </w:t>
            </w:r>
            <w:r w:rsidR="00864253" w:rsidRPr="00150CD2">
              <w:rPr>
                <w:rFonts w:cs="Arial"/>
                <w:sz w:val="24"/>
              </w:rPr>
              <w:t>Additional Support</w:t>
            </w:r>
            <w:r w:rsidR="00726F8E" w:rsidRPr="00150CD2">
              <w:rPr>
                <w:rFonts w:cs="Arial"/>
                <w:sz w:val="24"/>
              </w:rPr>
              <w:t xml:space="preserve"> rates are similar across these other groups.</w:t>
            </w:r>
          </w:p>
        </w:tc>
      </w:tr>
    </w:tbl>
    <w:p w14:paraId="3EC84CA3" w14:textId="44E1EC2B" w:rsidR="002476E9" w:rsidRPr="00150CD2" w:rsidRDefault="002476E9" w:rsidP="002476E9">
      <w:pPr>
        <w:pStyle w:val="EYBodytextwithoutparaspace"/>
        <w:rPr>
          <w:rFonts w:cs="Arial"/>
        </w:rPr>
      </w:pPr>
      <w:bookmarkStart w:id="90" w:name="_Toc23359774"/>
    </w:p>
    <w:p w14:paraId="2A2E12C7" w14:textId="77777777" w:rsidR="002476E9" w:rsidRPr="00150CD2" w:rsidRDefault="002476E9">
      <w:pPr>
        <w:autoSpaceDE/>
        <w:autoSpaceDN/>
        <w:adjustRightInd/>
        <w:rPr>
          <w:rFonts w:cs="Arial"/>
        </w:rPr>
      </w:pPr>
      <w:r w:rsidRPr="00150CD2">
        <w:rPr>
          <w:rFonts w:cs="Arial"/>
        </w:rPr>
        <w:br w:type="page"/>
      </w:r>
    </w:p>
    <w:p w14:paraId="7B09967A" w14:textId="7C968273" w:rsidR="005F6775" w:rsidRPr="00150CD2" w:rsidRDefault="00A130AB" w:rsidP="00184038">
      <w:pPr>
        <w:pStyle w:val="EYHeading2"/>
        <w:rPr>
          <w:lang w:val="en-NZ"/>
        </w:rPr>
      </w:pPr>
      <w:bookmarkStart w:id="91" w:name="_Toc46365142"/>
      <w:bookmarkStart w:id="92" w:name="_Toc48752360"/>
      <w:r w:rsidRPr="00150CD2">
        <w:rPr>
          <w:lang w:val="en-NZ"/>
        </w:rPr>
        <w:t>Young people</w:t>
      </w:r>
      <w:r w:rsidR="005F6775" w:rsidRPr="00150CD2">
        <w:rPr>
          <w:lang w:val="en-NZ"/>
        </w:rPr>
        <w:t xml:space="preserve"> aged </w:t>
      </w:r>
      <w:r w:rsidR="00760100" w:rsidRPr="00150CD2">
        <w:rPr>
          <w:lang w:val="en-NZ"/>
        </w:rPr>
        <w:t>15</w:t>
      </w:r>
      <w:r w:rsidR="005F6775" w:rsidRPr="00150CD2">
        <w:rPr>
          <w:lang w:val="en-NZ"/>
        </w:rPr>
        <w:t>-</w:t>
      </w:r>
      <w:r w:rsidR="00760100" w:rsidRPr="00150CD2">
        <w:rPr>
          <w:lang w:val="en-NZ"/>
        </w:rPr>
        <w:t xml:space="preserve">24 </w:t>
      </w:r>
      <w:r w:rsidR="005F6775" w:rsidRPr="00150CD2">
        <w:rPr>
          <w:lang w:val="en-NZ"/>
        </w:rPr>
        <w:t>year</w:t>
      </w:r>
      <w:bookmarkEnd w:id="90"/>
      <w:r w:rsidR="008D0E0E" w:rsidRPr="00150CD2">
        <w:rPr>
          <w:lang w:val="en-NZ"/>
        </w:rPr>
        <w:t>s</w:t>
      </w:r>
      <w:bookmarkEnd w:id="91"/>
      <w:bookmarkEnd w:id="92"/>
    </w:p>
    <w:p w14:paraId="35B38EDF" w14:textId="24AE7BEC" w:rsidR="00717203" w:rsidRPr="00150CD2" w:rsidRDefault="005F6775" w:rsidP="00717203">
      <w:pPr>
        <w:pStyle w:val="EYSubheading"/>
        <w:rPr>
          <w:rFonts w:cs="Arial"/>
        </w:rPr>
      </w:pPr>
      <w:r w:rsidRPr="00150CD2">
        <w:rPr>
          <w:rFonts w:cs="Arial"/>
        </w:rPr>
        <w:t xml:space="preserve">Key transitions: The disabled young person is progressing through </w:t>
      </w:r>
      <w:r w:rsidR="00D77993" w:rsidRPr="00150CD2">
        <w:rPr>
          <w:rFonts w:cs="Arial"/>
        </w:rPr>
        <w:t xml:space="preserve">secondary </w:t>
      </w:r>
      <w:r w:rsidRPr="00150CD2">
        <w:rPr>
          <w:rFonts w:cs="Arial"/>
        </w:rPr>
        <w:t>school/vocational training</w:t>
      </w:r>
      <w:r w:rsidR="00D77993" w:rsidRPr="00150CD2">
        <w:rPr>
          <w:rFonts w:cs="Arial"/>
        </w:rPr>
        <w:t>/tertiary study</w:t>
      </w:r>
      <w:r w:rsidR="000111B8" w:rsidRPr="00150CD2">
        <w:rPr>
          <w:rFonts w:cs="Arial"/>
        </w:rPr>
        <w:t xml:space="preserve">, progressing </w:t>
      </w:r>
      <w:r w:rsidRPr="00150CD2">
        <w:rPr>
          <w:rFonts w:cs="Arial"/>
        </w:rPr>
        <w:t>through teenage years</w:t>
      </w:r>
      <w:r w:rsidR="000111B8" w:rsidRPr="00150CD2">
        <w:rPr>
          <w:rFonts w:cs="Arial"/>
        </w:rPr>
        <w:t xml:space="preserve"> and embarking on adult life</w:t>
      </w:r>
      <w:r w:rsidRPr="00150CD2">
        <w:rPr>
          <w:rFonts w:cs="Arial"/>
        </w:rPr>
        <w:t xml:space="preserve">. </w:t>
      </w:r>
      <w:r w:rsidR="000111B8" w:rsidRPr="00150CD2">
        <w:rPr>
          <w:rFonts w:cs="Arial"/>
        </w:rPr>
        <w:t xml:space="preserve">Some transition into different living situations, while others continue to live with family. </w:t>
      </w:r>
      <w:r w:rsidRPr="00150CD2">
        <w:rPr>
          <w:rFonts w:cs="Arial"/>
        </w:rPr>
        <w:t xml:space="preserve">Parents and family/whānau supporting young </w:t>
      </w:r>
      <w:r w:rsidR="000111B8" w:rsidRPr="00150CD2">
        <w:rPr>
          <w:rFonts w:cs="Arial"/>
        </w:rPr>
        <w:t>people</w:t>
      </w:r>
      <w:r w:rsidRPr="00150CD2">
        <w:rPr>
          <w:rFonts w:cs="Arial"/>
        </w:rPr>
        <w:t xml:space="preserve"> through key development and transition years.</w:t>
      </w:r>
    </w:p>
    <w:p w14:paraId="4EE00EA7" w14:textId="707A28A1" w:rsidR="00D52403" w:rsidRPr="00150CD2" w:rsidRDefault="00D52403" w:rsidP="00D52403">
      <w:pPr>
        <w:pStyle w:val="EYBodytextwithparaspace"/>
        <w:rPr>
          <w:rFonts w:cs="Arial"/>
        </w:rPr>
      </w:pPr>
      <w:r w:rsidRPr="00150CD2">
        <w:rPr>
          <w:rFonts w:cs="Arial"/>
          <w:lang w:eastAsia="en-AU"/>
        </w:rPr>
        <w:t xml:space="preserve">At 30 June 2018 there were </w:t>
      </w:r>
      <w:r w:rsidR="00972B50" w:rsidRPr="00150CD2">
        <w:rPr>
          <w:rFonts w:cs="Arial"/>
          <w:lang w:eastAsia="en-AU"/>
        </w:rPr>
        <w:t>around 300</w:t>
      </w:r>
      <w:r w:rsidRPr="00150CD2">
        <w:rPr>
          <w:rFonts w:cs="Arial"/>
          <w:lang w:eastAsia="en-AU"/>
        </w:rPr>
        <w:t xml:space="preserve"> young people aged 15-24 allocated DSS funding in MidCentral over the year to June 2018. Key demographic and socioeconomic characteristics are summarised below.</w:t>
      </w:r>
    </w:p>
    <w:p w14:paraId="049F0F50" w14:textId="7D335E11" w:rsidR="00D52403" w:rsidRPr="00150CD2" w:rsidRDefault="00D52403" w:rsidP="00D52403">
      <w:pPr>
        <w:pStyle w:val="EYBulletedText1"/>
        <w:rPr>
          <w:rFonts w:cs="Arial"/>
          <w:szCs w:val="20"/>
        </w:rPr>
      </w:pPr>
      <w:r w:rsidRPr="00150CD2">
        <w:rPr>
          <w:rFonts w:cs="Arial"/>
          <w:szCs w:val="20"/>
        </w:rPr>
        <w:t>The majority have Intellectual (</w:t>
      </w:r>
      <w:r w:rsidR="00972B50" w:rsidRPr="00150CD2">
        <w:rPr>
          <w:rFonts w:cs="Arial"/>
          <w:szCs w:val="20"/>
        </w:rPr>
        <w:t>65</w:t>
      </w:r>
      <w:r w:rsidRPr="00150CD2">
        <w:rPr>
          <w:rFonts w:cs="Arial"/>
          <w:szCs w:val="20"/>
        </w:rPr>
        <w:t>%) or Autism Spectrum Disorder (2</w:t>
      </w:r>
      <w:r w:rsidR="00972B50" w:rsidRPr="00150CD2">
        <w:rPr>
          <w:rFonts w:cs="Arial"/>
          <w:szCs w:val="20"/>
        </w:rPr>
        <w:t>4</w:t>
      </w:r>
      <w:r w:rsidRPr="00150CD2">
        <w:rPr>
          <w:rFonts w:cs="Arial"/>
          <w:szCs w:val="20"/>
        </w:rPr>
        <w:t xml:space="preserve">%) as their </w:t>
      </w:r>
      <w:r w:rsidR="009E4F58" w:rsidRPr="00150CD2">
        <w:rPr>
          <w:rFonts w:cs="Arial"/>
          <w:szCs w:val="20"/>
        </w:rPr>
        <w:t>prioritised</w:t>
      </w:r>
      <w:r w:rsidRPr="00150CD2">
        <w:rPr>
          <w:rFonts w:cs="Arial"/>
          <w:szCs w:val="20"/>
        </w:rPr>
        <w:t xml:space="preserve"> disability, followed by </w:t>
      </w:r>
      <w:r w:rsidR="00972B50" w:rsidRPr="00150CD2">
        <w:rPr>
          <w:rFonts w:cs="Arial"/>
          <w:szCs w:val="20"/>
        </w:rPr>
        <w:t>7</w:t>
      </w:r>
      <w:r w:rsidRPr="00150CD2">
        <w:rPr>
          <w:rFonts w:cs="Arial"/>
          <w:szCs w:val="20"/>
        </w:rPr>
        <w:t xml:space="preserve">% with a physical disability. </w:t>
      </w:r>
    </w:p>
    <w:p w14:paraId="651B2017" w14:textId="5305DB94" w:rsidR="00D52403" w:rsidRPr="00150CD2" w:rsidRDefault="00D52403" w:rsidP="00D52403">
      <w:pPr>
        <w:pStyle w:val="EYBulletedText1"/>
        <w:rPr>
          <w:rFonts w:cs="Arial"/>
          <w:szCs w:val="20"/>
        </w:rPr>
      </w:pPr>
      <w:r w:rsidRPr="00150CD2">
        <w:rPr>
          <w:rFonts w:cs="Arial"/>
          <w:szCs w:val="20"/>
        </w:rPr>
        <w:t>Respite (78%), home and community support (3</w:t>
      </w:r>
      <w:r w:rsidR="00AE4EC3" w:rsidRPr="00150CD2">
        <w:rPr>
          <w:rFonts w:cs="Arial"/>
          <w:szCs w:val="20"/>
        </w:rPr>
        <w:t>9</w:t>
      </w:r>
      <w:r w:rsidRPr="00150CD2">
        <w:rPr>
          <w:rFonts w:cs="Arial"/>
          <w:szCs w:val="20"/>
        </w:rPr>
        <w:t>%), supported living (1</w:t>
      </w:r>
      <w:r w:rsidR="00AE4EC3" w:rsidRPr="00150CD2">
        <w:rPr>
          <w:rFonts w:cs="Arial"/>
          <w:szCs w:val="20"/>
        </w:rPr>
        <w:t>3</w:t>
      </w:r>
      <w:r w:rsidRPr="00150CD2">
        <w:rPr>
          <w:rFonts w:cs="Arial"/>
          <w:szCs w:val="20"/>
        </w:rPr>
        <w:t>%), residential services (1</w:t>
      </w:r>
      <w:r w:rsidR="00AE4EC3" w:rsidRPr="00150CD2">
        <w:rPr>
          <w:rFonts w:cs="Arial"/>
          <w:szCs w:val="20"/>
        </w:rPr>
        <w:t>3</w:t>
      </w:r>
      <w:r w:rsidRPr="00150CD2">
        <w:rPr>
          <w:rFonts w:cs="Arial"/>
          <w:szCs w:val="20"/>
        </w:rPr>
        <w:t>%) and behavioural (1</w:t>
      </w:r>
      <w:r w:rsidR="00AE4EC3" w:rsidRPr="00150CD2">
        <w:rPr>
          <w:rFonts w:cs="Arial"/>
          <w:szCs w:val="20"/>
        </w:rPr>
        <w:t>0</w:t>
      </w:r>
      <w:r w:rsidRPr="00150CD2">
        <w:rPr>
          <w:rFonts w:cs="Arial"/>
          <w:szCs w:val="20"/>
        </w:rPr>
        <w:t xml:space="preserve">%) support services were key </w:t>
      </w:r>
      <w:r w:rsidR="00C16547" w:rsidRPr="00150CD2">
        <w:rPr>
          <w:rFonts w:cs="Arial"/>
          <w:szCs w:val="20"/>
        </w:rPr>
        <w:t>services</w:t>
      </w:r>
      <w:r w:rsidRPr="00150CD2">
        <w:rPr>
          <w:rFonts w:cs="Arial"/>
          <w:szCs w:val="20"/>
        </w:rPr>
        <w:t xml:space="preserve"> allocated by the NASC. </w:t>
      </w:r>
    </w:p>
    <w:p w14:paraId="5CAAFCC1" w14:textId="14E41F4E" w:rsidR="00D52403" w:rsidRPr="00150CD2" w:rsidRDefault="00D52403" w:rsidP="00D52403">
      <w:pPr>
        <w:pStyle w:val="EYBulletedText1"/>
        <w:rPr>
          <w:rFonts w:cs="Arial"/>
          <w:szCs w:val="20"/>
        </w:rPr>
      </w:pPr>
      <w:r w:rsidRPr="00150CD2">
        <w:rPr>
          <w:rFonts w:cs="Arial"/>
          <w:szCs w:val="20"/>
        </w:rPr>
        <w:t>Apart from those in residential services (1</w:t>
      </w:r>
      <w:r w:rsidR="00AE4EC3" w:rsidRPr="00150CD2">
        <w:rPr>
          <w:rFonts w:cs="Arial"/>
          <w:szCs w:val="20"/>
        </w:rPr>
        <w:t>3</w:t>
      </w:r>
      <w:r w:rsidRPr="00150CD2">
        <w:rPr>
          <w:rFonts w:cs="Arial"/>
          <w:szCs w:val="20"/>
        </w:rPr>
        <w:t>%), family members living with the young person are likely to be the main carer for most of the remaining group (as suggested by responses from DSS clients aged 15-2</w:t>
      </w:r>
      <w:r w:rsidR="00AE4EC3" w:rsidRPr="00150CD2">
        <w:rPr>
          <w:rFonts w:cs="Arial"/>
          <w:szCs w:val="20"/>
        </w:rPr>
        <w:t>4</w:t>
      </w:r>
      <w:r w:rsidRPr="00150CD2">
        <w:rPr>
          <w:rFonts w:cs="Arial"/>
          <w:szCs w:val="20"/>
        </w:rPr>
        <w:t xml:space="preserve"> to the 2013 Disability Survey). </w:t>
      </w:r>
    </w:p>
    <w:p w14:paraId="26AF4F42" w14:textId="23F86BC1" w:rsidR="00D52403" w:rsidRPr="00150CD2" w:rsidRDefault="00D52403" w:rsidP="00D52403">
      <w:pPr>
        <w:pStyle w:val="EYBulletedText1"/>
        <w:rPr>
          <w:rFonts w:cs="Arial"/>
          <w:szCs w:val="20"/>
        </w:rPr>
      </w:pPr>
      <w:r w:rsidRPr="00150CD2">
        <w:rPr>
          <w:rFonts w:cs="Arial"/>
          <w:szCs w:val="20"/>
        </w:rPr>
        <w:t>12% live in the 20% least deprived areas of NZ while 33% live in the 20% most deprived areas.</w:t>
      </w:r>
      <w:r w:rsidR="00727B7B" w:rsidRPr="00150CD2">
        <w:rPr>
          <w:rFonts w:cs="Arial"/>
          <w:szCs w:val="20"/>
        </w:rPr>
        <w:br/>
      </w:r>
      <w:r w:rsidR="00727B7B" w:rsidRPr="00150CD2">
        <w:rPr>
          <w:rFonts w:cs="Arial"/>
          <w:lang w:eastAsia="en-AU"/>
        </w:rPr>
        <w:t>MidCentral DSS young people are more likely to live in areas with deprivation, compared to DSS young people in other regions (where 25% live in the 20% most deprived areas) and non-DSS young people in MidCentral (where 26% live in the 20% most deprived areas).</w:t>
      </w:r>
    </w:p>
    <w:p w14:paraId="54D4D69D" w14:textId="69C99C90" w:rsidR="00D52403" w:rsidRPr="00150CD2" w:rsidRDefault="00D52403" w:rsidP="00D52403">
      <w:pPr>
        <w:pStyle w:val="EYBodytextwithparaspace"/>
        <w:rPr>
          <w:rFonts w:cs="Arial"/>
          <w:lang w:eastAsia="en-AU"/>
        </w:rPr>
      </w:pPr>
      <w:r w:rsidRPr="00150CD2">
        <w:rPr>
          <w:rFonts w:cs="Arial"/>
          <w:lang w:eastAsia="en-AU"/>
        </w:rPr>
        <w:t>This section summarises some of the lifecourse outcomes and service contact indicators observed over the 3 year period to 30 June 2018</w:t>
      </w:r>
      <w:r w:rsidRPr="00150CD2">
        <w:rPr>
          <w:rStyle w:val="FootnoteReference"/>
          <w:rFonts w:ascii="Arial" w:hAnsi="Arial" w:cs="Arial"/>
          <w:lang w:eastAsia="en-AU"/>
        </w:rPr>
        <w:footnoteReference w:id="26"/>
      </w:r>
      <w:r w:rsidRPr="00150CD2">
        <w:rPr>
          <w:rFonts w:cs="Arial"/>
          <w:lang w:eastAsia="en-AU"/>
        </w:rPr>
        <w:t xml:space="preserve"> for MidCentral young people who were allocated DSS over the 2018 year and were aged 15-24 at the start of the 3 year period. Note that for some young people this will include time prior to them receiving DSS funding.</w:t>
      </w:r>
    </w:p>
    <w:p w14:paraId="76882A55" w14:textId="583AE8E3" w:rsidR="00D52403" w:rsidRPr="00150CD2" w:rsidRDefault="00D52403">
      <w:pPr>
        <w:autoSpaceDE/>
        <w:autoSpaceDN/>
        <w:adjustRightInd/>
        <w:rPr>
          <w:rFonts w:cs="Arial"/>
          <w:lang w:eastAsia="en-AU"/>
        </w:rPr>
      </w:pPr>
      <w:r w:rsidRPr="00150CD2">
        <w:rPr>
          <w:rFonts w:cs="Arial"/>
          <w:lang w:eastAsia="en-AU"/>
        </w:rPr>
        <w:br w:type="page"/>
      </w:r>
    </w:p>
    <w:p w14:paraId="67404B1F" w14:textId="33A0CF16" w:rsidR="00554243" w:rsidRPr="00150CD2" w:rsidRDefault="00A229FD" w:rsidP="00A229FD">
      <w:pPr>
        <w:pStyle w:val="Caption"/>
        <w:rPr>
          <w:rFonts w:cs="Arial"/>
        </w:rPr>
      </w:pPr>
      <w:r w:rsidRPr="00150CD2">
        <w:rPr>
          <w:rFonts w:cs="Arial"/>
        </w:rPr>
        <w:t xml:space="preserve">Figure </w:t>
      </w:r>
      <w:r w:rsidRPr="00150CD2">
        <w:rPr>
          <w:rFonts w:cs="Arial"/>
        </w:rPr>
        <w:fldChar w:fldCharType="begin"/>
      </w:r>
      <w:r w:rsidRPr="00150CD2">
        <w:rPr>
          <w:rFonts w:cs="Arial"/>
        </w:rPr>
        <w:instrText xml:space="preserve"> SEQ Figure \* ARABIC </w:instrText>
      </w:r>
      <w:r w:rsidRPr="00150CD2">
        <w:rPr>
          <w:rFonts w:cs="Arial"/>
        </w:rPr>
        <w:fldChar w:fldCharType="separate"/>
      </w:r>
      <w:r w:rsidR="00053D9A" w:rsidRPr="00150CD2">
        <w:rPr>
          <w:rFonts w:cs="Arial"/>
          <w:noProof/>
        </w:rPr>
        <w:t>5</w:t>
      </w:r>
      <w:r w:rsidRPr="00150CD2">
        <w:rPr>
          <w:rFonts w:cs="Arial"/>
        </w:rPr>
        <w:fldChar w:fldCharType="end"/>
      </w:r>
      <w:r w:rsidRPr="00150CD2">
        <w:rPr>
          <w:rFonts w:cs="Arial"/>
        </w:rPr>
        <w:t xml:space="preserve">: </w:t>
      </w:r>
      <w:r w:rsidR="00554243" w:rsidRPr="00150CD2">
        <w:rPr>
          <w:rFonts w:cs="Arial"/>
        </w:rPr>
        <w:t xml:space="preserve">Comparison of key indicators over </w:t>
      </w:r>
      <w:r w:rsidR="00EF6077" w:rsidRPr="00150CD2">
        <w:rPr>
          <w:rFonts w:cs="Arial"/>
        </w:rPr>
        <w:t>the</w:t>
      </w:r>
      <w:r w:rsidR="00554243" w:rsidRPr="00150CD2">
        <w:rPr>
          <w:rFonts w:cs="Arial"/>
        </w:rPr>
        <w:t xml:space="preserve"> 3 year period</w:t>
      </w:r>
      <w:r w:rsidR="00ED3E14" w:rsidRPr="00150CD2">
        <w:rPr>
          <w:rFonts w:cs="Arial"/>
        </w:rPr>
        <w:t xml:space="preserve"> to 30 June 2018</w:t>
      </w:r>
      <w:r w:rsidR="00554243" w:rsidRPr="00150CD2">
        <w:rPr>
          <w:rFonts w:cs="Arial"/>
        </w:rPr>
        <w:t>, for young people aged 1</w:t>
      </w:r>
      <w:r w:rsidR="00ED3E14" w:rsidRPr="00150CD2">
        <w:rPr>
          <w:rFonts w:cs="Arial"/>
        </w:rPr>
        <w:t>5</w:t>
      </w:r>
      <w:r w:rsidR="00554243" w:rsidRPr="00150CD2">
        <w:rPr>
          <w:rFonts w:cs="Arial"/>
        </w:rPr>
        <w:t>-2</w:t>
      </w:r>
      <w:r w:rsidR="00ED3E14" w:rsidRPr="00150CD2">
        <w:rPr>
          <w:rFonts w:cs="Arial"/>
        </w:rPr>
        <w:t>4</w:t>
      </w:r>
      <w:r w:rsidR="00ED3E14" w:rsidRPr="00150CD2">
        <w:rPr>
          <w:rStyle w:val="FootnoteReference"/>
          <w:rFonts w:ascii="Arial" w:hAnsi="Arial" w:cs="Arial"/>
        </w:rPr>
        <w:footnoteReference w:id="27"/>
      </w:r>
      <w:r w:rsidR="00554243" w:rsidRPr="00150CD2">
        <w:rPr>
          <w:rFonts w:cs="Arial"/>
        </w:rPr>
        <w:t xml:space="preserve"> allocated DSS and in the MidCentral population – incl. confidence intervals at the 95th percentile level</w:t>
      </w:r>
    </w:p>
    <w:tbl>
      <w:tblPr>
        <w:tblW w:w="10368" w:type="dxa"/>
        <w:tblInd w:w="576" w:type="dxa"/>
        <w:tblCellMar>
          <w:left w:w="43" w:type="dxa"/>
          <w:right w:w="43" w:type="dxa"/>
        </w:tblCellMar>
        <w:tblLook w:val="04A0" w:firstRow="1" w:lastRow="0" w:firstColumn="1" w:lastColumn="0" w:noHBand="0" w:noVBand="1"/>
      </w:tblPr>
      <w:tblGrid>
        <w:gridCol w:w="288"/>
        <w:gridCol w:w="3168"/>
        <w:gridCol w:w="288"/>
        <w:gridCol w:w="2880"/>
        <w:gridCol w:w="288"/>
        <w:gridCol w:w="3456"/>
      </w:tblGrid>
      <w:tr w:rsidR="00EF0057" w:rsidRPr="00150CD2" w14:paraId="6FA0F9F5" w14:textId="77777777" w:rsidTr="00B262C7">
        <w:tc>
          <w:tcPr>
            <w:tcW w:w="288" w:type="dxa"/>
            <w:shd w:val="clear" w:color="auto" w:fill="188CE5" w:themeFill="accent3"/>
            <w:noWrap/>
            <w:vAlign w:val="bottom"/>
            <w:hideMark/>
          </w:tcPr>
          <w:p w14:paraId="334C17CA" w14:textId="77777777" w:rsidR="00EF0057" w:rsidRPr="00150CD2" w:rsidRDefault="00EF0057" w:rsidP="00EF0057">
            <w:pPr>
              <w:pStyle w:val="EYTableText"/>
              <w:rPr>
                <w:rFonts w:cs="Arial"/>
                <w:sz w:val="20"/>
                <w:szCs w:val="32"/>
              </w:rPr>
            </w:pPr>
            <w:r w:rsidRPr="00150CD2">
              <w:rPr>
                <w:rFonts w:cs="Arial"/>
                <w:sz w:val="20"/>
                <w:szCs w:val="32"/>
              </w:rPr>
              <w:t> </w:t>
            </w:r>
          </w:p>
        </w:tc>
        <w:tc>
          <w:tcPr>
            <w:tcW w:w="3168" w:type="dxa"/>
            <w:tcBorders>
              <w:top w:val="nil"/>
              <w:left w:val="nil"/>
              <w:bottom w:val="nil"/>
              <w:right w:val="single" w:sz="4" w:space="0" w:color="FF9A4F"/>
            </w:tcBorders>
            <w:shd w:val="clear" w:color="auto" w:fill="auto"/>
            <w:noWrap/>
            <w:hideMark/>
          </w:tcPr>
          <w:p w14:paraId="09397A9A" w14:textId="402A8F03" w:rsidR="00EF0057" w:rsidRPr="00150CD2" w:rsidRDefault="00EF0057" w:rsidP="00EF0057">
            <w:pPr>
              <w:pStyle w:val="EYTableText"/>
              <w:rPr>
                <w:rFonts w:cs="Arial"/>
                <w:sz w:val="20"/>
                <w:szCs w:val="32"/>
              </w:rPr>
            </w:pPr>
            <w:r w:rsidRPr="00150CD2">
              <w:rPr>
                <w:rFonts w:cs="Arial"/>
                <w:sz w:val="20"/>
                <w:szCs w:val="32"/>
              </w:rPr>
              <w:t>MidCentral DSS young people</w:t>
            </w:r>
          </w:p>
        </w:tc>
        <w:tc>
          <w:tcPr>
            <w:tcW w:w="288" w:type="dxa"/>
            <w:tcBorders>
              <w:top w:val="single" w:sz="4" w:space="0" w:color="FF9A4F"/>
              <w:left w:val="single" w:sz="4" w:space="0" w:color="FF9A4F"/>
              <w:bottom w:val="single" w:sz="4" w:space="0" w:color="FF9A4F"/>
              <w:right w:val="single" w:sz="4" w:space="0" w:color="FF9A4F"/>
            </w:tcBorders>
            <w:shd w:val="diagStripe" w:color="FFFFFF" w:themeColor="background1" w:fill="FF9A4F"/>
          </w:tcPr>
          <w:p w14:paraId="7D210DBB" w14:textId="77777777" w:rsidR="00EF0057" w:rsidRPr="00150CD2" w:rsidRDefault="00EF0057" w:rsidP="00EF0057">
            <w:pPr>
              <w:pStyle w:val="EYTableText"/>
              <w:rPr>
                <w:rFonts w:cs="Arial"/>
                <w:sz w:val="20"/>
                <w:szCs w:val="32"/>
              </w:rPr>
            </w:pPr>
          </w:p>
        </w:tc>
        <w:tc>
          <w:tcPr>
            <w:tcW w:w="2880" w:type="dxa"/>
            <w:tcBorders>
              <w:top w:val="nil"/>
              <w:left w:val="single" w:sz="4" w:space="0" w:color="FF9A4F"/>
              <w:bottom w:val="nil"/>
              <w:right w:val="nil"/>
            </w:tcBorders>
            <w:shd w:val="clear" w:color="auto" w:fill="auto"/>
          </w:tcPr>
          <w:p w14:paraId="7818AA14" w14:textId="69FF262F" w:rsidR="00EF0057" w:rsidRPr="00150CD2" w:rsidRDefault="00EF0057" w:rsidP="00EF0057">
            <w:pPr>
              <w:pStyle w:val="EYTableText"/>
              <w:rPr>
                <w:rFonts w:cs="Arial"/>
                <w:sz w:val="20"/>
                <w:szCs w:val="32"/>
              </w:rPr>
            </w:pPr>
            <w:r w:rsidRPr="00150CD2">
              <w:rPr>
                <w:rFonts w:cs="Arial"/>
                <w:sz w:val="20"/>
                <w:szCs w:val="32"/>
              </w:rPr>
              <w:t>Other DSS young people</w:t>
            </w:r>
          </w:p>
        </w:tc>
        <w:tc>
          <w:tcPr>
            <w:tcW w:w="288" w:type="dxa"/>
            <w:tcBorders>
              <w:top w:val="nil"/>
              <w:left w:val="nil"/>
              <w:bottom w:val="nil"/>
              <w:right w:val="nil"/>
            </w:tcBorders>
            <w:shd w:val="clear" w:color="auto" w:fill="808080" w:themeFill="background1" w:themeFillShade="80"/>
          </w:tcPr>
          <w:p w14:paraId="6541B7E0" w14:textId="77777777" w:rsidR="00EF0057" w:rsidRPr="00150CD2" w:rsidRDefault="00EF0057" w:rsidP="00EF0057">
            <w:pPr>
              <w:pStyle w:val="EYTableText"/>
              <w:rPr>
                <w:rFonts w:cs="Arial"/>
                <w:sz w:val="20"/>
                <w:szCs w:val="32"/>
              </w:rPr>
            </w:pPr>
          </w:p>
        </w:tc>
        <w:tc>
          <w:tcPr>
            <w:tcW w:w="3456" w:type="dxa"/>
            <w:tcBorders>
              <w:top w:val="nil"/>
              <w:left w:val="nil"/>
              <w:bottom w:val="nil"/>
              <w:right w:val="nil"/>
            </w:tcBorders>
          </w:tcPr>
          <w:p w14:paraId="2537FAE5" w14:textId="67CCB5D1" w:rsidR="00EF0057" w:rsidRPr="00150CD2" w:rsidRDefault="00EF0057" w:rsidP="00EF0057">
            <w:pPr>
              <w:pStyle w:val="EYTableText"/>
              <w:rPr>
                <w:rFonts w:cs="Arial"/>
                <w:sz w:val="20"/>
                <w:szCs w:val="32"/>
              </w:rPr>
            </w:pPr>
            <w:r w:rsidRPr="00150CD2">
              <w:rPr>
                <w:rFonts w:cs="Arial"/>
                <w:sz w:val="20"/>
                <w:szCs w:val="32"/>
              </w:rPr>
              <w:t>Other MidCentral young people</w:t>
            </w:r>
          </w:p>
        </w:tc>
      </w:tr>
    </w:tbl>
    <w:p w14:paraId="5BB2DD3A" w14:textId="0E91BB7F" w:rsidR="00717203" w:rsidRPr="00150CD2" w:rsidRDefault="00B92410" w:rsidP="00717203">
      <w:pPr>
        <w:rPr>
          <w:rFonts w:cs="Arial"/>
        </w:rPr>
      </w:pPr>
      <w:r w:rsidRPr="00150CD2">
        <w:rPr>
          <w:rFonts w:cs="Arial"/>
          <w:noProof/>
          <w:shd w:val="clear" w:color="auto" w:fill="FF9A4F"/>
        </w:rPr>
        <w:drawing>
          <wp:inline distT="0" distB="0" distL="0" distR="0" wp14:anchorId="0B923E8E" wp14:editId="32FB1EA5">
            <wp:extent cx="8860790" cy="3465576"/>
            <wp:effectExtent l="0" t="0" r="0" b="1905"/>
            <wp:docPr id="9" name="Chart 9" descr="Figure 5 chart highlights differences in selected wellbeing and outcome indicators over the 3 year period to 30 June 2018, for MidCentral DSS young people, other DSS young people outside MidCentral and other MidCentral young people aged 15-24 at the start of the period. Indicators graphed include: &#10;• % young people with Ambulatory Sensitive Hospitalisations &#10;• % young people with injury-related emergency department contact &#10;• % young people with mental health related hospital or community provider service contact&#10;• % young people with NCEA Level 2 or above at ages 17-24&#10;• % young people with full driver licenses at ages 20-24&#10;• % young people with employment income over $5,000 over a year&#10;• % young people supported by main benefit &#10;• % young people who transitioned into residential services (DSS only)&#10;&#10;The rest of this section describes the key differences observed for each indicator.">
              <a:extLst xmlns:a="http://schemas.openxmlformats.org/drawingml/2006/main">
                <a:ext uri="{FF2B5EF4-FFF2-40B4-BE49-F238E27FC236}">
                  <a16:creationId xmlns:a16="http://schemas.microsoft.com/office/drawing/2014/main" id="{E93DF543-ABFF-4D17-BCAD-1572205A80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13590" w:type="dxa"/>
        <w:tblInd w:w="540" w:type="dxa"/>
        <w:tblLayout w:type="fixed"/>
        <w:tblLook w:val="04A0" w:firstRow="1" w:lastRow="0" w:firstColumn="1" w:lastColumn="0" w:noHBand="0" w:noVBand="1"/>
      </w:tblPr>
      <w:tblGrid>
        <w:gridCol w:w="1714"/>
        <w:gridCol w:w="1714"/>
        <w:gridCol w:w="1728"/>
        <w:gridCol w:w="1714"/>
        <w:gridCol w:w="1714"/>
        <w:gridCol w:w="1714"/>
        <w:gridCol w:w="1714"/>
        <w:gridCol w:w="1578"/>
      </w:tblGrid>
      <w:tr w:rsidR="00EF6077" w:rsidRPr="00150CD2" w14:paraId="4494CD78" w14:textId="77777777" w:rsidTr="00336432">
        <w:trPr>
          <w:trHeight w:val="300"/>
        </w:trPr>
        <w:tc>
          <w:tcPr>
            <w:tcW w:w="1714" w:type="dxa"/>
            <w:tcBorders>
              <w:top w:val="nil"/>
              <w:left w:val="nil"/>
              <w:bottom w:val="nil"/>
              <w:right w:val="nil"/>
            </w:tcBorders>
          </w:tcPr>
          <w:p w14:paraId="3FA20A7D" w14:textId="734922EB" w:rsidR="00EF6077" w:rsidRPr="00150CD2" w:rsidRDefault="00EF6077" w:rsidP="00B92410">
            <w:pPr>
              <w:pStyle w:val="EYTableText"/>
              <w:jc w:val="center"/>
              <w:rPr>
                <w:rFonts w:cs="Arial"/>
                <w:color w:val="404040" w:themeColor="background2" w:themeTint="BF"/>
                <w:sz w:val="20"/>
                <w:szCs w:val="20"/>
              </w:rPr>
            </w:pPr>
            <w:bookmarkStart w:id="93" w:name="_Hlk47211652"/>
            <w:r w:rsidRPr="00150CD2">
              <w:rPr>
                <w:rFonts w:cs="Arial"/>
                <w:sz w:val="20"/>
                <w:szCs w:val="20"/>
              </w:rPr>
              <w:t>% young people with Ambulatory Sensitive Hospitalisations over a 3 year period</w:t>
            </w:r>
          </w:p>
        </w:tc>
        <w:tc>
          <w:tcPr>
            <w:tcW w:w="1714" w:type="dxa"/>
            <w:tcBorders>
              <w:top w:val="nil"/>
              <w:left w:val="nil"/>
              <w:bottom w:val="nil"/>
              <w:right w:val="nil"/>
            </w:tcBorders>
            <w:shd w:val="clear" w:color="auto" w:fill="auto"/>
            <w:noWrap/>
            <w:hideMark/>
          </w:tcPr>
          <w:p w14:paraId="467946C2" w14:textId="3AEC66ED" w:rsidR="00EF6077" w:rsidRPr="00150CD2" w:rsidRDefault="00EF6077" w:rsidP="00B92410">
            <w:pPr>
              <w:pStyle w:val="EYTableText"/>
              <w:jc w:val="center"/>
              <w:rPr>
                <w:rFonts w:cs="Arial"/>
                <w:color w:val="404040" w:themeColor="background2" w:themeTint="BF"/>
                <w:sz w:val="20"/>
                <w:szCs w:val="20"/>
              </w:rPr>
            </w:pPr>
            <w:r w:rsidRPr="00150CD2">
              <w:rPr>
                <w:rFonts w:cs="Arial"/>
                <w:sz w:val="20"/>
                <w:szCs w:val="20"/>
              </w:rPr>
              <w:t xml:space="preserve">% young people with injury-related </w:t>
            </w:r>
            <w:r w:rsidR="00363BEF" w:rsidRPr="00150CD2">
              <w:rPr>
                <w:rFonts w:cs="Arial"/>
                <w:sz w:val="20"/>
                <w:szCs w:val="20"/>
              </w:rPr>
              <w:t>emergency department</w:t>
            </w:r>
            <w:r w:rsidRPr="00150CD2">
              <w:rPr>
                <w:rFonts w:cs="Arial"/>
                <w:sz w:val="20"/>
                <w:szCs w:val="20"/>
              </w:rPr>
              <w:t xml:space="preserve"> contact over a 3 year period</w:t>
            </w:r>
          </w:p>
        </w:tc>
        <w:tc>
          <w:tcPr>
            <w:tcW w:w="1728" w:type="dxa"/>
            <w:tcBorders>
              <w:top w:val="nil"/>
              <w:left w:val="nil"/>
              <w:bottom w:val="nil"/>
              <w:right w:val="nil"/>
            </w:tcBorders>
          </w:tcPr>
          <w:p w14:paraId="11AE6BDC" w14:textId="5587886F" w:rsidR="00EF6077" w:rsidRPr="00150CD2" w:rsidRDefault="00EF6077" w:rsidP="00B92410">
            <w:pPr>
              <w:pStyle w:val="EYTableText"/>
              <w:jc w:val="center"/>
              <w:rPr>
                <w:rFonts w:cs="Arial"/>
                <w:sz w:val="20"/>
                <w:szCs w:val="20"/>
              </w:rPr>
            </w:pPr>
            <w:r w:rsidRPr="00150CD2">
              <w:rPr>
                <w:rFonts w:cs="Arial"/>
                <w:sz w:val="20"/>
                <w:szCs w:val="20"/>
              </w:rPr>
              <w:t xml:space="preserve">% young people with mental </w:t>
            </w:r>
            <w:r w:rsidR="0056224C" w:rsidRPr="00150CD2">
              <w:rPr>
                <w:rFonts w:cs="Arial"/>
                <w:sz w:val="20"/>
                <w:szCs w:val="20"/>
              </w:rPr>
              <w:t>health</w:t>
            </w:r>
            <w:r w:rsidRPr="00150CD2">
              <w:rPr>
                <w:rFonts w:cs="Arial"/>
                <w:sz w:val="20"/>
                <w:szCs w:val="20"/>
              </w:rPr>
              <w:t xml:space="preserve"> related hospital or community provider service contact</w:t>
            </w:r>
            <w:r w:rsidR="00431D41" w:rsidRPr="00150CD2">
              <w:rPr>
                <w:rFonts w:cs="Arial"/>
                <w:sz w:val="20"/>
                <w:szCs w:val="20"/>
              </w:rPr>
              <w:t xml:space="preserve"> over a 3 year period</w:t>
            </w:r>
          </w:p>
        </w:tc>
        <w:tc>
          <w:tcPr>
            <w:tcW w:w="1714" w:type="dxa"/>
            <w:tcBorders>
              <w:top w:val="nil"/>
              <w:left w:val="nil"/>
              <w:bottom w:val="nil"/>
              <w:right w:val="nil"/>
            </w:tcBorders>
            <w:shd w:val="clear" w:color="auto" w:fill="auto"/>
            <w:noWrap/>
            <w:hideMark/>
          </w:tcPr>
          <w:p w14:paraId="359C6927" w14:textId="565EE61B" w:rsidR="00EF6077" w:rsidRPr="00150CD2" w:rsidRDefault="00EF6077" w:rsidP="00B92410">
            <w:pPr>
              <w:pStyle w:val="EYTableText"/>
              <w:jc w:val="center"/>
              <w:rPr>
                <w:rFonts w:cs="Arial"/>
                <w:color w:val="404040" w:themeColor="background2" w:themeTint="BF"/>
                <w:sz w:val="20"/>
                <w:szCs w:val="20"/>
              </w:rPr>
            </w:pPr>
            <w:r w:rsidRPr="00150CD2">
              <w:rPr>
                <w:rFonts w:cs="Arial"/>
                <w:sz w:val="20"/>
                <w:szCs w:val="20"/>
              </w:rPr>
              <w:t>% young people with NCEA Level 2 or above at ages 17-24</w:t>
            </w:r>
          </w:p>
        </w:tc>
        <w:tc>
          <w:tcPr>
            <w:tcW w:w="1714" w:type="dxa"/>
            <w:tcBorders>
              <w:top w:val="nil"/>
              <w:left w:val="nil"/>
              <w:bottom w:val="nil"/>
              <w:right w:val="nil"/>
            </w:tcBorders>
            <w:shd w:val="clear" w:color="auto" w:fill="auto"/>
            <w:noWrap/>
            <w:hideMark/>
          </w:tcPr>
          <w:p w14:paraId="4C7ACD7E" w14:textId="6AA92B46" w:rsidR="00EF6077" w:rsidRPr="00150CD2" w:rsidRDefault="00EF6077" w:rsidP="00B92410">
            <w:pPr>
              <w:pStyle w:val="EYTableText"/>
              <w:jc w:val="center"/>
              <w:rPr>
                <w:rFonts w:cs="Arial"/>
                <w:color w:val="404040" w:themeColor="background2" w:themeTint="BF"/>
                <w:sz w:val="20"/>
                <w:szCs w:val="20"/>
              </w:rPr>
            </w:pPr>
            <w:r w:rsidRPr="00150CD2">
              <w:rPr>
                <w:rFonts w:cs="Arial"/>
                <w:sz w:val="20"/>
                <w:szCs w:val="20"/>
              </w:rPr>
              <w:t>% young people with full driver licen</w:t>
            </w:r>
            <w:r w:rsidR="00B60DAB" w:rsidRPr="00150CD2">
              <w:rPr>
                <w:rFonts w:cs="Arial"/>
                <w:sz w:val="20"/>
                <w:szCs w:val="20"/>
              </w:rPr>
              <w:t>c</w:t>
            </w:r>
            <w:r w:rsidRPr="00150CD2">
              <w:rPr>
                <w:rFonts w:cs="Arial"/>
                <w:sz w:val="20"/>
                <w:szCs w:val="20"/>
              </w:rPr>
              <w:t>es at ages 20-24</w:t>
            </w:r>
          </w:p>
        </w:tc>
        <w:tc>
          <w:tcPr>
            <w:tcW w:w="1714" w:type="dxa"/>
            <w:tcBorders>
              <w:top w:val="nil"/>
              <w:left w:val="nil"/>
              <w:bottom w:val="nil"/>
              <w:right w:val="nil"/>
            </w:tcBorders>
            <w:shd w:val="clear" w:color="auto" w:fill="auto"/>
            <w:noWrap/>
            <w:hideMark/>
          </w:tcPr>
          <w:p w14:paraId="1E2A29D3" w14:textId="5246DD60" w:rsidR="00EF6077" w:rsidRPr="00150CD2" w:rsidRDefault="00EF6077" w:rsidP="00B92410">
            <w:pPr>
              <w:pStyle w:val="EYTableText"/>
              <w:jc w:val="center"/>
              <w:rPr>
                <w:rFonts w:cs="Arial"/>
                <w:color w:val="404040" w:themeColor="background2" w:themeTint="BF"/>
                <w:sz w:val="20"/>
                <w:szCs w:val="20"/>
              </w:rPr>
            </w:pPr>
            <w:r w:rsidRPr="00150CD2">
              <w:rPr>
                <w:rFonts w:cs="Arial"/>
                <w:sz w:val="20"/>
                <w:szCs w:val="20"/>
              </w:rPr>
              <w:t>% young people with employment income over $5k for at least one year over a 3 year period</w:t>
            </w:r>
          </w:p>
        </w:tc>
        <w:tc>
          <w:tcPr>
            <w:tcW w:w="1714" w:type="dxa"/>
            <w:tcBorders>
              <w:top w:val="nil"/>
              <w:left w:val="nil"/>
              <w:bottom w:val="nil"/>
              <w:right w:val="nil"/>
            </w:tcBorders>
            <w:shd w:val="clear" w:color="auto" w:fill="auto"/>
            <w:noWrap/>
            <w:hideMark/>
          </w:tcPr>
          <w:p w14:paraId="52934F54" w14:textId="4F035528" w:rsidR="00EF6077" w:rsidRPr="00150CD2" w:rsidRDefault="00EF6077" w:rsidP="00B92410">
            <w:pPr>
              <w:pStyle w:val="EYTableText"/>
              <w:jc w:val="center"/>
              <w:rPr>
                <w:rFonts w:cs="Arial"/>
                <w:color w:val="404040" w:themeColor="background2" w:themeTint="BF"/>
                <w:sz w:val="20"/>
                <w:szCs w:val="20"/>
              </w:rPr>
            </w:pPr>
            <w:r w:rsidRPr="00150CD2">
              <w:rPr>
                <w:rFonts w:cs="Arial"/>
                <w:sz w:val="20"/>
                <w:szCs w:val="20"/>
              </w:rPr>
              <w:t>% young people supported by main benefit for some/all of a 3 year period</w:t>
            </w:r>
          </w:p>
        </w:tc>
        <w:tc>
          <w:tcPr>
            <w:tcW w:w="1578" w:type="dxa"/>
            <w:tcBorders>
              <w:top w:val="nil"/>
              <w:left w:val="nil"/>
              <w:bottom w:val="nil"/>
              <w:right w:val="nil"/>
            </w:tcBorders>
            <w:shd w:val="clear" w:color="auto" w:fill="auto"/>
            <w:noWrap/>
            <w:hideMark/>
          </w:tcPr>
          <w:p w14:paraId="6F9C7393" w14:textId="0EC284A1" w:rsidR="00EF6077" w:rsidRPr="00150CD2" w:rsidRDefault="00EF6077" w:rsidP="00B92410">
            <w:pPr>
              <w:pStyle w:val="EYTableText"/>
              <w:jc w:val="center"/>
              <w:rPr>
                <w:rFonts w:cs="Arial"/>
                <w:sz w:val="20"/>
                <w:szCs w:val="20"/>
              </w:rPr>
            </w:pPr>
            <w:r w:rsidRPr="00150CD2">
              <w:rPr>
                <w:rFonts w:cs="Arial"/>
                <w:sz w:val="20"/>
                <w:szCs w:val="20"/>
              </w:rPr>
              <w:t xml:space="preserve">% young people who transitioned into residential </w:t>
            </w:r>
            <w:r w:rsidR="00EF4009" w:rsidRPr="00150CD2">
              <w:rPr>
                <w:rFonts w:cs="Arial"/>
                <w:sz w:val="20"/>
                <w:szCs w:val="20"/>
              </w:rPr>
              <w:t xml:space="preserve">services </w:t>
            </w:r>
            <w:r w:rsidRPr="00150CD2">
              <w:rPr>
                <w:rFonts w:cs="Arial"/>
                <w:sz w:val="20"/>
                <w:szCs w:val="20"/>
              </w:rPr>
              <w:t>over a 3 year period</w:t>
            </w:r>
          </w:p>
          <w:p w14:paraId="785734E2" w14:textId="62FA3AA3" w:rsidR="001D193A" w:rsidRPr="00150CD2" w:rsidRDefault="001D193A" w:rsidP="00B92410">
            <w:pPr>
              <w:pStyle w:val="EYTableText"/>
              <w:jc w:val="center"/>
              <w:rPr>
                <w:rFonts w:cs="Arial"/>
                <w:color w:val="404040" w:themeColor="background2" w:themeTint="BF"/>
                <w:sz w:val="20"/>
                <w:szCs w:val="20"/>
              </w:rPr>
            </w:pPr>
            <w:r w:rsidRPr="00150CD2">
              <w:rPr>
                <w:rFonts w:cs="Arial"/>
                <w:sz w:val="20"/>
                <w:szCs w:val="20"/>
              </w:rPr>
              <w:t>(DSS only)</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115" w:type="dxa"/>
        </w:tblCellMar>
        <w:tblLook w:val="04A0" w:firstRow="1" w:lastRow="0" w:firstColumn="1" w:lastColumn="0" w:noHBand="0" w:noVBand="1"/>
      </w:tblPr>
      <w:tblGrid>
        <w:gridCol w:w="7124"/>
        <w:gridCol w:w="6830"/>
      </w:tblGrid>
      <w:tr w:rsidR="00E70BF0" w:rsidRPr="00150CD2" w14:paraId="3AFE23C6" w14:textId="77777777" w:rsidTr="00E70BF0">
        <w:tc>
          <w:tcPr>
            <w:tcW w:w="7124" w:type="dxa"/>
            <w:tcBorders>
              <w:right w:val="single" w:sz="4" w:space="0" w:color="auto"/>
            </w:tcBorders>
            <w:tcMar>
              <w:right w:w="158" w:type="dxa"/>
            </w:tcMar>
          </w:tcPr>
          <w:bookmarkEnd w:id="93"/>
          <w:p w14:paraId="672627EA" w14:textId="401B3A67" w:rsidR="00E70BF0" w:rsidRPr="00150CD2" w:rsidRDefault="00E70BF0" w:rsidP="004345EF">
            <w:pPr>
              <w:pStyle w:val="EYBodytextwithparaspace"/>
              <w:rPr>
                <w:rFonts w:cs="Arial"/>
                <w:szCs w:val="24"/>
                <w:lang w:eastAsia="en-AU"/>
              </w:rPr>
            </w:pPr>
            <w:r w:rsidRPr="00150CD2">
              <w:rPr>
                <w:rFonts w:cs="Arial"/>
                <w:szCs w:val="24"/>
                <w:lang w:eastAsia="en-AU"/>
              </w:rPr>
              <w:fldChar w:fldCharType="begin"/>
            </w:r>
            <w:r w:rsidRPr="00150CD2">
              <w:rPr>
                <w:rFonts w:cs="Arial"/>
                <w:szCs w:val="24"/>
                <w:lang w:eastAsia="en-AU"/>
              </w:rPr>
              <w:instrText xml:space="preserve"> REF _Ref40547586 \h  \* MERGEFORMAT </w:instrText>
            </w:r>
            <w:r w:rsidRPr="00150CD2">
              <w:rPr>
                <w:rFonts w:cs="Arial"/>
                <w:szCs w:val="24"/>
                <w:lang w:eastAsia="en-AU"/>
              </w:rPr>
            </w:r>
            <w:r w:rsidRPr="00150CD2">
              <w:rPr>
                <w:rFonts w:cs="Arial"/>
                <w:szCs w:val="24"/>
                <w:lang w:eastAsia="en-AU"/>
              </w:rPr>
              <w:fldChar w:fldCharType="separate"/>
            </w:r>
            <w:r w:rsidRPr="00150CD2">
              <w:rPr>
                <w:rFonts w:cs="Arial"/>
                <w:szCs w:val="24"/>
              </w:rPr>
              <w:t xml:space="preserve">Figure </w:t>
            </w:r>
            <w:r w:rsidRPr="00150CD2">
              <w:rPr>
                <w:rFonts w:cs="Arial"/>
                <w:noProof/>
                <w:szCs w:val="24"/>
              </w:rPr>
              <w:t>6</w:t>
            </w:r>
            <w:r w:rsidRPr="00150CD2">
              <w:rPr>
                <w:rFonts w:cs="Arial"/>
                <w:szCs w:val="24"/>
                <w:lang w:eastAsia="en-AU"/>
              </w:rPr>
              <w:fldChar w:fldCharType="end"/>
            </w:r>
            <w:r w:rsidRPr="00150CD2">
              <w:rPr>
                <w:rFonts w:cs="Arial"/>
                <w:szCs w:val="24"/>
                <w:lang w:eastAsia="en-AU"/>
              </w:rPr>
              <w:t xml:space="preserve"> illustrates </w:t>
            </w:r>
            <w:bookmarkStart w:id="94" w:name="_Hlk47222050"/>
            <w:r w:rsidRPr="00150CD2">
              <w:rPr>
                <w:rFonts w:cs="Arial"/>
                <w:szCs w:val="24"/>
                <w:lang w:eastAsia="en-AU"/>
              </w:rPr>
              <w:t>the proportion of MidCentral DSS young people in education, employment and receiving income support at various ages over the period 1 July 2014 to 30 June 2017</w:t>
            </w:r>
            <w:bookmarkEnd w:id="94"/>
            <w:r w:rsidRPr="00150CD2">
              <w:rPr>
                <w:rFonts w:cs="Arial"/>
                <w:szCs w:val="24"/>
                <w:lang w:eastAsia="en-AU"/>
              </w:rPr>
              <w:t xml:space="preserve">. </w:t>
            </w:r>
          </w:p>
          <w:p w14:paraId="5637D172" w14:textId="5B8FF18F" w:rsidR="00E70BF0" w:rsidRPr="00150CD2" w:rsidRDefault="00E70BF0" w:rsidP="00D52403">
            <w:pPr>
              <w:pStyle w:val="EYBodytextwithparaspace"/>
              <w:rPr>
                <w:rFonts w:cs="Arial"/>
                <w:szCs w:val="24"/>
                <w:lang w:eastAsia="en-AU"/>
              </w:rPr>
            </w:pPr>
            <w:r w:rsidRPr="00150CD2">
              <w:rPr>
                <w:rFonts w:cs="Arial"/>
                <w:b/>
                <w:bCs/>
                <w:szCs w:val="24"/>
                <w:lang w:eastAsia="en-AU"/>
              </w:rPr>
              <w:t xml:space="preserve">The majority of MidCentral DSS young people aged 16-20 are engaged in education or employment, with most enrolled in school or tertiary courses. </w:t>
            </w:r>
            <w:r w:rsidRPr="00150CD2">
              <w:rPr>
                <w:rFonts w:cs="Arial"/>
                <w:szCs w:val="24"/>
                <w:lang w:eastAsia="en-AU"/>
              </w:rPr>
              <w:t xml:space="preserve">This proportion decreases to around 20% in education or with employment by age 25. </w:t>
            </w:r>
          </w:p>
          <w:p w14:paraId="27AB1FC3" w14:textId="03734E16" w:rsidR="00E70BF0" w:rsidRPr="00150CD2" w:rsidRDefault="00E70BF0" w:rsidP="00C919D6">
            <w:pPr>
              <w:pStyle w:val="EYBulletedText1"/>
              <w:spacing w:after="120"/>
              <w:ind w:left="432" w:hanging="432"/>
              <w:rPr>
                <w:rFonts w:cs="Arial"/>
              </w:rPr>
            </w:pPr>
            <w:r w:rsidRPr="00150CD2">
              <w:rPr>
                <w:rFonts w:cs="Arial"/>
              </w:rPr>
              <w:t>Young people in MidCentral allocated DSS are more likely to remain enrolled in school for longer than their non-DSS counterparts, and complete on average an extra 1.5 years of school.</w:t>
            </w:r>
          </w:p>
          <w:p w14:paraId="532A6B9B" w14:textId="4F08E482" w:rsidR="00E70BF0" w:rsidRPr="00150CD2" w:rsidRDefault="00E70BF0" w:rsidP="00C919D6">
            <w:pPr>
              <w:pStyle w:val="EYBulletedText2"/>
              <w:ind w:left="864" w:hanging="432"/>
              <w:contextualSpacing/>
              <w:rPr>
                <w:rFonts w:cs="Arial"/>
              </w:rPr>
            </w:pPr>
            <w:r w:rsidRPr="00150CD2">
              <w:rPr>
                <w:rFonts w:cs="Arial"/>
              </w:rPr>
              <w:t>At age 16, around 90% of DSS young people are enrolled in school.</w:t>
            </w:r>
          </w:p>
          <w:p w14:paraId="3B65B638" w14:textId="09CC7D79" w:rsidR="00E70BF0" w:rsidRPr="00150CD2" w:rsidRDefault="00E70BF0" w:rsidP="00C919D6">
            <w:pPr>
              <w:pStyle w:val="EYBulletedText2"/>
              <w:ind w:left="864" w:hanging="432"/>
              <w:contextualSpacing/>
              <w:rPr>
                <w:rFonts w:cs="Arial"/>
              </w:rPr>
            </w:pPr>
            <w:r w:rsidRPr="00150CD2">
              <w:rPr>
                <w:rFonts w:cs="Arial"/>
              </w:rPr>
              <w:t>By age 19, around 45% of DSS young people remain enrolled in school. This reduces to 31% of 20 year old and 21% of 21 year old DSS young people, with students finishing by age 22.</w:t>
            </w:r>
          </w:p>
          <w:p w14:paraId="3339DE0B" w14:textId="3C0215BB" w:rsidR="00E70BF0" w:rsidRPr="00150CD2" w:rsidRDefault="00E70BF0" w:rsidP="00C919D6">
            <w:pPr>
              <w:pStyle w:val="EYBulletedText1"/>
              <w:spacing w:after="120"/>
              <w:ind w:left="432" w:hanging="432"/>
              <w:rPr>
                <w:rFonts w:cs="Arial"/>
              </w:rPr>
            </w:pPr>
            <w:r w:rsidRPr="00150CD2">
              <w:rPr>
                <w:rFonts w:cs="Arial"/>
              </w:rPr>
              <w:t>Around 25% of MidCentral DSS young people aged 15-19 enrolled in tertiary education for some or all of the 3 year period, e.g. colleges, polytechnics and universities. Most enrolments related to courses classed as NZQA level 1, 2 or 3, with enrolments reducing as people entered their 20s. (Note that students can enrol in some tertiary courses while attending school.)</w:t>
            </w:r>
          </w:p>
          <w:p w14:paraId="4E0820F7" w14:textId="370886C5" w:rsidR="00E70BF0" w:rsidRPr="00150CD2" w:rsidRDefault="00E70BF0" w:rsidP="00C919D6">
            <w:pPr>
              <w:pStyle w:val="EYBulletedText1"/>
              <w:spacing w:after="120"/>
              <w:ind w:left="432" w:hanging="432"/>
              <w:rPr>
                <w:rFonts w:cs="Arial"/>
              </w:rPr>
            </w:pPr>
            <w:r w:rsidRPr="00150CD2">
              <w:rPr>
                <w:rFonts w:cs="Arial"/>
              </w:rPr>
              <w:t>Most MidCentral DSS young people were partially or wholly reliant on income support once 18 years or older and able to receive adult benefit payments. Around 1 in 4 (24%) of MidCentral DSS young people aged 15-24 reported employment income for some or all of the 3 year period, however in most cases these were relatively small amounts. A smaller number (less than 10%) reported employment income of more than $5,000 over a year.</w:t>
            </w:r>
          </w:p>
          <w:p w14:paraId="3B2DBC6B" w14:textId="14B6FC37" w:rsidR="00E70BF0" w:rsidRPr="00150CD2" w:rsidRDefault="00E70BF0" w:rsidP="009575A2">
            <w:pPr>
              <w:pStyle w:val="EYBodytextwithparaspace"/>
              <w:rPr>
                <w:rFonts w:cs="Arial"/>
                <w:szCs w:val="24"/>
              </w:rPr>
            </w:pPr>
            <w:r w:rsidRPr="00150CD2">
              <w:rPr>
                <w:rFonts w:cs="Arial"/>
                <w:szCs w:val="24"/>
                <w:lang w:eastAsia="en-AU"/>
              </w:rPr>
              <w:t>Further information is described in the section below.</w:t>
            </w:r>
          </w:p>
        </w:tc>
        <w:tc>
          <w:tcPr>
            <w:tcW w:w="6830" w:type="dxa"/>
            <w:tcBorders>
              <w:left w:val="single" w:sz="4" w:space="0" w:color="auto"/>
            </w:tcBorders>
            <w:tcMar>
              <w:left w:w="115" w:type="dxa"/>
            </w:tcMar>
          </w:tcPr>
          <w:p w14:paraId="3C774325" w14:textId="77777777" w:rsidR="00E70BF0" w:rsidRPr="00150CD2" w:rsidRDefault="00E70BF0" w:rsidP="00A01006">
            <w:pPr>
              <w:pStyle w:val="Caption"/>
              <w:rPr>
                <w:rFonts w:cs="Arial"/>
                <w:szCs w:val="20"/>
              </w:rPr>
            </w:pPr>
            <w:bookmarkStart w:id="95" w:name="_Ref40547586"/>
            <w:bookmarkStart w:id="96" w:name="_Ref40547577"/>
            <w:r w:rsidRPr="00150CD2">
              <w:rPr>
                <w:rFonts w:cs="Arial"/>
                <w:szCs w:val="20"/>
              </w:rPr>
              <w:t xml:space="preserve">Figure </w:t>
            </w:r>
            <w:r w:rsidRPr="00150CD2">
              <w:rPr>
                <w:rFonts w:cs="Arial"/>
                <w:szCs w:val="20"/>
              </w:rPr>
              <w:fldChar w:fldCharType="begin"/>
            </w:r>
            <w:r w:rsidRPr="00150CD2">
              <w:rPr>
                <w:rFonts w:cs="Arial"/>
                <w:szCs w:val="20"/>
              </w:rPr>
              <w:instrText xml:space="preserve"> SEQ Figure \* ARABIC </w:instrText>
            </w:r>
            <w:r w:rsidRPr="00150CD2">
              <w:rPr>
                <w:rFonts w:cs="Arial"/>
                <w:szCs w:val="20"/>
              </w:rPr>
              <w:fldChar w:fldCharType="separate"/>
            </w:r>
            <w:r w:rsidRPr="00150CD2">
              <w:rPr>
                <w:rFonts w:cs="Arial"/>
                <w:noProof/>
                <w:szCs w:val="20"/>
              </w:rPr>
              <w:t>6</w:t>
            </w:r>
            <w:r w:rsidRPr="00150CD2">
              <w:rPr>
                <w:rFonts w:cs="Arial"/>
                <w:szCs w:val="20"/>
              </w:rPr>
              <w:fldChar w:fldCharType="end"/>
            </w:r>
            <w:bookmarkEnd w:id="95"/>
            <w:r w:rsidRPr="00150CD2">
              <w:rPr>
                <w:rFonts w:cs="Arial"/>
                <w:szCs w:val="20"/>
              </w:rPr>
              <w:t xml:space="preserve">: </w:t>
            </w:r>
            <w:bookmarkStart w:id="97" w:name="_Ref40547582"/>
            <w:r w:rsidRPr="00150CD2">
              <w:rPr>
                <w:rFonts w:cs="Arial"/>
                <w:szCs w:val="20"/>
              </w:rPr>
              <w:t>Proportion of MidCentral DSS young people in education, employment and supported by benefit, by age, over the years ending 30 June 2015, 30 June 2016 and 30 June 2017</w:t>
            </w:r>
            <w:bookmarkEnd w:id="96"/>
            <w:bookmarkEnd w:id="97"/>
            <w:r w:rsidRPr="00150CD2">
              <w:rPr>
                <w:rStyle w:val="FootnoteReference"/>
                <w:rFonts w:ascii="Arial" w:hAnsi="Arial" w:cs="Arial"/>
              </w:rPr>
              <w:footnoteReference w:id="28"/>
            </w:r>
            <w:r w:rsidRPr="00150CD2">
              <w:rPr>
                <w:rFonts w:cs="Arial"/>
                <w:szCs w:val="20"/>
              </w:rPr>
              <w:t xml:space="preserve"> </w:t>
            </w:r>
            <w:r w:rsidRPr="00150CD2">
              <w:rPr>
                <w:rStyle w:val="FootnoteReference"/>
                <w:rFonts w:ascii="Arial" w:hAnsi="Arial" w:cs="Arial"/>
              </w:rPr>
              <w:footnoteReference w:id="29"/>
            </w:r>
          </w:p>
          <w:p w14:paraId="64A221F8" w14:textId="4657BBAE" w:rsidR="00E70BF0" w:rsidRPr="00150CD2" w:rsidRDefault="00E70BF0" w:rsidP="00A01006">
            <w:pPr>
              <w:pStyle w:val="EYTableText"/>
              <w:rPr>
                <w:rFonts w:cs="Arial"/>
                <w:sz w:val="20"/>
                <w:szCs w:val="20"/>
              </w:rPr>
            </w:pPr>
            <w:r w:rsidRPr="00150CD2">
              <w:rPr>
                <w:rFonts w:cs="Arial"/>
                <w:noProof/>
                <w:sz w:val="24"/>
              </w:rPr>
              <w:drawing>
                <wp:inline distT="0" distB="0" distL="0" distR="0" wp14:anchorId="2EC7E8DD" wp14:editId="6A724DE3">
                  <wp:extent cx="4187825" cy="4389120"/>
                  <wp:effectExtent l="0" t="0" r="3175" b="11430"/>
                  <wp:docPr id="11" name="Chart 11" descr="Figure 6 shows the proportion of MidCentral DSS young people in education, employment and receiving income support at various ages over the period 1 July 2014 to 30 June 2017. Key trends by age are described in the text to the left and in the remainder of this section.">
                    <a:extLst xmlns:a="http://schemas.openxmlformats.org/drawingml/2006/main">
                      <a:ext uri="{FF2B5EF4-FFF2-40B4-BE49-F238E27FC236}">
                        <a16:creationId xmlns:a16="http://schemas.microsoft.com/office/drawing/2014/main" id="{430DF7CF-7E04-4921-B742-BA465C32EC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6B74F0A7" w14:textId="4A28894B" w:rsidR="00823BE6" w:rsidRPr="00150CD2" w:rsidRDefault="00823BE6" w:rsidP="00717203">
      <w:pPr>
        <w:pStyle w:val="Caption"/>
        <w:rPr>
          <w:rFonts w:cs="Arial"/>
        </w:rPr>
      </w:pPr>
    </w:p>
    <w:p w14:paraId="3A78DFA5" w14:textId="540A718F" w:rsidR="00717203" w:rsidRPr="00150CD2" w:rsidRDefault="00823BE6" w:rsidP="00823BE6">
      <w:pPr>
        <w:autoSpaceDE/>
        <w:autoSpaceDN/>
        <w:adjustRightInd/>
        <w:rPr>
          <w:rFonts w:cs="Arial"/>
          <w:b/>
          <w:bCs/>
          <w:color w:val="808080"/>
          <w:szCs w:val="18"/>
        </w:rPr>
      </w:pPr>
      <w:r w:rsidRPr="00150CD2">
        <w:rPr>
          <w:rFonts w:cs="Arial"/>
        </w:rPr>
        <w:br w:type="page"/>
      </w:r>
    </w:p>
    <w:tbl>
      <w:tblPr>
        <w:tblStyle w:val="TableGrid"/>
        <w:tblW w:w="0" w:type="auto"/>
        <w:tblCellMar>
          <w:top w:w="28" w:type="dxa"/>
          <w:left w:w="86" w:type="dxa"/>
          <w:bottom w:w="28" w:type="dxa"/>
          <w:right w:w="86" w:type="dxa"/>
        </w:tblCellMar>
        <w:tblLook w:val="04A0" w:firstRow="1" w:lastRow="0" w:firstColumn="1" w:lastColumn="0" w:noHBand="0" w:noVBand="1"/>
      </w:tblPr>
      <w:tblGrid>
        <w:gridCol w:w="1520"/>
        <w:gridCol w:w="1947"/>
        <w:gridCol w:w="10477"/>
      </w:tblGrid>
      <w:tr w:rsidR="005F6775" w:rsidRPr="00150CD2" w14:paraId="4E691479" w14:textId="77777777" w:rsidTr="00336432">
        <w:trPr>
          <w:tblHeader/>
        </w:trPr>
        <w:tc>
          <w:tcPr>
            <w:tcW w:w="1323" w:type="dxa"/>
            <w:tcBorders>
              <w:bottom w:val="single" w:sz="4" w:space="0" w:color="auto"/>
            </w:tcBorders>
            <w:shd w:val="clear" w:color="auto" w:fill="F2F2F2" w:themeFill="background1" w:themeFillShade="F2"/>
          </w:tcPr>
          <w:p w14:paraId="7E965192" w14:textId="77777777" w:rsidR="005F6775" w:rsidRPr="00150CD2" w:rsidRDefault="005F6775" w:rsidP="00F36A4D">
            <w:pPr>
              <w:pStyle w:val="EYTableHeading"/>
              <w:rPr>
                <w:rFonts w:cs="Arial"/>
                <w:sz w:val="24"/>
              </w:rPr>
            </w:pPr>
            <w:r w:rsidRPr="00150CD2">
              <w:rPr>
                <w:rFonts w:cs="Arial"/>
                <w:sz w:val="24"/>
              </w:rPr>
              <w:t>Perspective</w:t>
            </w:r>
          </w:p>
        </w:tc>
        <w:tc>
          <w:tcPr>
            <w:tcW w:w="1872" w:type="dxa"/>
            <w:shd w:val="clear" w:color="auto" w:fill="F2F2F2" w:themeFill="background1" w:themeFillShade="F2"/>
          </w:tcPr>
          <w:p w14:paraId="67C44194" w14:textId="77777777" w:rsidR="005F6775" w:rsidRPr="00150CD2" w:rsidRDefault="005F6775" w:rsidP="00F36A4D">
            <w:pPr>
              <w:pStyle w:val="EYTableHeading"/>
              <w:rPr>
                <w:rFonts w:cs="Arial"/>
                <w:sz w:val="24"/>
              </w:rPr>
            </w:pPr>
            <w:r w:rsidRPr="00150CD2">
              <w:rPr>
                <w:rFonts w:cs="Arial"/>
                <w:sz w:val="24"/>
              </w:rPr>
              <w:t>Indicators</w:t>
            </w:r>
          </w:p>
        </w:tc>
        <w:tc>
          <w:tcPr>
            <w:tcW w:w="10699" w:type="dxa"/>
            <w:shd w:val="clear" w:color="auto" w:fill="F2F2F2" w:themeFill="background1" w:themeFillShade="F2"/>
          </w:tcPr>
          <w:p w14:paraId="068599C7" w14:textId="30FD5F6F" w:rsidR="006C4B51" w:rsidRPr="00150CD2" w:rsidRDefault="005573DD" w:rsidP="00F36A4D">
            <w:pPr>
              <w:pStyle w:val="EYTableHeading"/>
              <w:rPr>
                <w:rFonts w:cs="Arial"/>
                <w:sz w:val="24"/>
              </w:rPr>
            </w:pPr>
            <w:r w:rsidRPr="00150CD2">
              <w:rPr>
                <w:rFonts w:cs="Arial"/>
                <w:sz w:val="24"/>
              </w:rPr>
              <w:t>Insights for young people aged 1</w:t>
            </w:r>
            <w:r w:rsidR="006C4B51" w:rsidRPr="00150CD2">
              <w:rPr>
                <w:rFonts w:cs="Arial"/>
                <w:sz w:val="24"/>
              </w:rPr>
              <w:t>5</w:t>
            </w:r>
            <w:r w:rsidRPr="00150CD2">
              <w:rPr>
                <w:rFonts w:cs="Arial"/>
                <w:sz w:val="24"/>
              </w:rPr>
              <w:t>-2</w:t>
            </w:r>
            <w:r w:rsidR="006C4B51" w:rsidRPr="00150CD2">
              <w:rPr>
                <w:rFonts w:cs="Arial"/>
                <w:sz w:val="24"/>
              </w:rPr>
              <w:t>4</w:t>
            </w:r>
            <w:r w:rsidRPr="00150CD2">
              <w:rPr>
                <w:rFonts w:cs="Arial"/>
                <w:sz w:val="24"/>
              </w:rPr>
              <w:t xml:space="preserve"> allocated DSS </w:t>
            </w:r>
            <w:r w:rsidR="00D143A9" w:rsidRPr="00150CD2">
              <w:rPr>
                <w:rFonts w:cs="Arial"/>
                <w:sz w:val="24"/>
              </w:rPr>
              <w:t xml:space="preserve">over the year to June 2018 </w:t>
            </w:r>
            <w:r w:rsidRPr="00150CD2">
              <w:rPr>
                <w:rFonts w:cs="Arial"/>
                <w:sz w:val="24"/>
              </w:rPr>
              <w:t xml:space="preserve">in MidCentral, compared to other young people in MidCentral and other DSS young people outside MidCentral – outcomes and service contact indicators over </w:t>
            </w:r>
            <w:r w:rsidR="006C4B51" w:rsidRPr="00150CD2">
              <w:rPr>
                <w:rFonts w:cs="Arial"/>
                <w:sz w:val="24"/>
              </w:rPr>
              <w:t>the</w:t>
            </w:r>
            <w:r w:rsidRPr="00150CD2">
              <w:rPr>
                <w:rFonts w:cs="Arial"/>
                <w:sz w:val="24"/>
              </w:rPr>
              <w:t xml:space="preserve"> 3 year period </w:t>
            </w:r>
            <w:r w:rsidR="006C4B51" w:rsidRPr="00150CD2">
              <w:rPr>
                <w:rFonts w:cs="Arial"/>
                <w:sz w:val="24"/>
              </w:rPr>
              <w:t xml:space="preserve">to 30 June 2018 </w:t>
            </w:r>
            <w:r w:rsidRPr="00150CD2">
              <w:rPr>
                <w:rFonts w:cs="Arial"/>
                <w:sz w:val="24"/>
              </w:rPr>
              <w:t>and lifetime educational outcomes</w:t>
            </w:r>
          </w:p>
        </w:tc>
      </w:tr>
      <w:tr w:rsidR="002F4E67" w:rsidRPr="00150CD2" w14:paraId="06332CC5" w14:textId="77777777" w:rsidTr="00336432">
        <w:tc>
          <w:tcPr>
            <w:tcW w:w="1323" w:type="dxa"/>
            <w:tcBorders>
              <w:bottom w:val="nil"/>
            </w:tcBorders>
          </w:tcPr>
          <w:p w14:paraId="3043541A" w14:textId="717C672D" w:rsidR="002F4E67" w:rsidRPr="00150CD2" w:rsidRDefault="002F4E67" w:rsidP="00254F21">
            <w:pPr>
              <w:pStyle w:val="EYTableText"/>
              <w:rPr>
                <w:rFonts w:cs="Arial"/>
                <w:sz w:val="24"/>
              </w:rPr>
            </w:pPr>
            <w:r w:rsidRPr="00150CD2">
              <w:rPr>
                <w:rFonts w:cs="Arial"/>
                <w:sz w:val="24"/>
              </w:rPr>
              <w:t>Young people</w:t>
            </w:r>
          </w:p>
        </w:tc>
        <w:tc>
          <w:tcPr>
            <w:tcW w:w="1872" w:type="dxa"/>
          </w:tcPr>
          <w:p w14:paraId="21FE43BC" w14:textId="2C9D732F" w:rsidR="002F4E67" w:rsidRPr="00150CD2" w:rsidRDefault="002F4E67" w:rsidP="00254F21">
            <w:pPr>
              <w:pStyle w:val="EYTableText"/>
              <w:rPr>
                <w:rFonts w:cs="Arial"/>
                <w:sz w:val="24"/>
              </w:rPr>
            </w:pPr>
            <w:r w:rsidRPr="00150CD2">
              <w:rPr>
                <w:rFonts w:cs="Arial"/>
                <w:sz w:val="24"/>
              </w:rPr>
              <w:t>School enrolment and school leaving qualifications</w:t>
            </w:r>
          </w:p>
        </w:tc>
        <w:tc>
          <w:tcPr>
            <w:tcW w:w="10699" w:type="dxa"/>
          </w:tcPr>
          <w:p w14:paraId="37BAA1CD" w14:textId="1BDE1FF5" w:rsidR="002F4E67" w:rsidRPr="00150CD2" w:rsidRDefault="002F4E67" w:rsidP="00D143A9">
            <w:pPr>
              <w:pStyle w:val="EYTablebullet1"/>
              <w:spacing w:before="0" w:after="120"/>
              <w:ind w:left="288" w:hanging="288"/>
              <w:rPr>
                <w:rFonts w:cs="Arial"/>
                <w:sz w:val="24"/>
              </w:rPr>
            </w:pPr>
            <w:r w:rsidRPr="00150CD2">
              <w:rPr>
                <w:rFonts w:cs="Arial"/>
                <w:sz w:val="24"/>
              </w:rPr>
              <w:t xml:space="preserve">Young people in MidCentral allocated DSS are more likely to remain enrolled in school for longer than their non-DSS counterparts, and complete on average an extra 1.5 years of school. </w:t>
            </w:r>
            <w:r w:rsidR="001D52A5" w:rsidRPr="00150CD2">
              <w:rPr>
                <w:rFonts w:cs="Arial"/>
                <w:sz w:val="24"/>
              </w:rPr>
              <w:fldChar w:fldCharType="begin"/>
            </w:r>
            <w:r w:rsidR="001D52A5" w:rsidRPr="00150CD2">
              <w:rPr>
                <w:rFonts w:cs="Arial"/>
                <w:sz w:val="24"/>
              </w:rPr>
              <w:instrText xml:space="preserve"> REF _Ref40547586 \h  \* MERGEFORMAT </w:instrText>
            </w:r>
            <w:r w:rsidR="001D52A5" w:rsidRPr="00150CD2">
              <w:rPr>
                <w:rFonts w:cs="Arial"/>
                <w:sz w:val="24"/>
              </w:rPr>
            </w:r>
            <w:r w:rsidR="001D52A5" w:rsidRPr="00150CD2">
              <w:rPr>
                <w:rFonts w:cs="Arial"/>
                <w:sz w:val="24"/>
              </w:rPr>
              <w:fldChar w:fldCharType="separate"/>
            </w:r>
            <w:r w:rsidR="00053D9A" w:rsidRPr="00150CD2">
              <w:rPr>
                <w:rFonts w:cs="Arial"/>
                <w:sz w:val="24"/>
              </w:rPr>
              <w:t>Figure 6</w:t>
            </w:r>
            <w:r w:rsidR="001D52A5" w:rsidRPr="00150CD2">
              <w:rPr>
                <w:rFonts w:cs="Arial"/>
                <w:sz w:val="24"/>
              </w:rPr>
              <w:fldChar w:fldCharType="end"/>
            </w:r>
            <w:r w:rsidR="001D52A5" w:rsidRPr="00150CD2">
              <w:rPr>
                <w:rFonts w:cs="Arial"/>
                <w:sz w:val="24"/>
              </w:rPr>
              <w:t xml:space="preserve"> </w:t>
            </w:r>
            <w:r w:rsidRPr="00150CD2">
              <w:rPr>
                <w:rFonts w:cs="Arial"/>
                <w:sz w:val="24"/>
              </w:rPr>
              <w:t xml:space="preserve">shows the proportion of MidCentral </w:t>
            </w:r>
            <w:r w:rsidR="000968D7" w:rsidRPr="00150CD2">
              <w:rPr>
                <w:rFonts w:cs="Arial"/>
                <w:sz w:val="24"/>
              </w:rPr>
              <w:t xml:space="preserve">DSS </w:t>
            </w:r>
            <w:r w:rsidRPr="00150CD2">
              <w:rPr>
                <w:rFonts w:cs="Arial"/>
                <w:sz w:val="24"/>
              </w:rPr>
              <w:t>young people enrolled in school for each age at 30 June</w:t>
            </w:r>
            <w:r w:rsidR="006C4B51" w:rsidRPr="00150CD2">
              <w:rPr>
                <w:rFonts w:cs="Arial"/>
                <w:sz w:val="24"/>
              </w:rPr>
              <w:t xml:space="preserve"> 2017</w:t>
            </w:r>
            <w:r w:rsidRPr="00150CD2">
              <w:rPr>
                <w:rFonts w:cs="Arial"/>
                <w:sz w:val="24"/>
              </w:rPr>
              <w:t>:</w:t>
            </w:r>
          </w:p>
          <w:p w14:paraId="0DDE0619" w14:textId="5CC063CA" w:rsidR="002F4E67" w:rsidRPr="00150CD2" w:rsidRDefault="002F4E67" w:rsidP="005573DD">
            <w:pPr>
              <w:pStyle w:val="EYTablebullet2"/>
              <w:rPr>
                <w:rFonts w:cs="Arial"/>
                <w:sz w:val="24"/>
              </w:rPr>
            </w:pPr>
            <w:r w:rsidRPr="00150CD2">
              <w:rPr>
                <w:rFonts w:cs="Arial"/>
                <w:sz w:val="24"/>
              </w:rPr>
              <w:t>At age 1</w:t>
            </w:r>
            <w:r w:rsidR="00BF2E8C" w:rsidRPr="00150CD2">
              <w:rPr>
                <w:rFonts w:cs="Arial"/>
                <w:sz w:val="24"/>
              </w:rPr>
              <w:t>6</w:t>
            </w:r>
            <w:r w:rsidRPr="00150CD2">
              <w:rPr>
                <w:rFonts w:cs="Arial"/>
                <w:sz w:val="24"/>
              </w:rPr>
              <w:t xml:space="preserve">, </w:t>
            </w:r>
            <w:r w:rsidR="00BB066E" w:rsidRPr="00150CD2">
              <w:rPr>
                <w:rFonts w:cs="Arial"/>
                <w:sz w:val="24"/>
              </w:rPr>
              <w:t>around 90%</w:t>
            </w:r>
            <w:r w:rsidR="001E7188" w:rsidRPr="00150CD2">
              <w:rPr>
                <w:rFonts w:cs="Arial"/>
                <w:sz w:val="24"/>
              </w:rPr>
              <w:t xml:space="preserve"> </w:t>
            </w:r>
            <w:r w:rsidR="00BB066E" w:rsidRPr="00150CD2">
              <w:rPr>
                <w:rFonts w:cs="Arial"/>
                <w:sz w:val="24"/>
              </w:rPr>
              <w:t>of</w:t>
            </w:r>
            <w:r w:rsidR="001E7188" w:rsidRPr="00150CD2">
              <w:rPr>
                <w:rFonts w:cs="Arial"/>
                <w:sz w:val="24"/>
              </w:rPr>
              <w:t xml:space="preserve"> all</w:t>
            </w:r>
            <w:r w:rsidRPr="00150CD2">
              <w:rPr>
                <w:rFonts w:cs="Arial"/>
                <w:sz w:val="24"/>
              </w:rPr>
              <w:t xml:space="preserve"> DSS and non-DSS </w:t>
            </w:r>
            <w:r w:rsidR="00A01006" w:rsidRPr="00150CD2">
              <w:rPr>
                <w:rFonts w:cs="Arial"/>
                <w:sz w:val="24"/>
              </w:rPr>
              <w:t xml:space="preserve">young people </w:t>
            </w:r>
            <w:r w:rsidRPr="00150CD2">
              <w:rPr>
                <w:rFonts w:cs="Arial"/>
                <w:sz w:val="24"/>
              </w:rPr>
              <w:t>are enrolled in school.</w:t>
            </w:r>
          </w:p>
          <w:p w14:paraId="199CB1A5" w14:textId="0C0567A5" w:rsidR="002F4E67" w:rsidRPr="00150CD2" w:rsidRDefault="002F4E67" w:rsidP="005573DD">
            <w:pPr>
              <w:pStyle w:val="EYTablebullet2"/>
              <w:rPr>
                <w:rFonts w:cs="Arial"/>
                <w:sz w:val="24"/>
              </w:rPr>
            </w:pPr>
            <w:r w:rsidRPr="00150CD2">
              <w:rPr>
                <w:rFonts w:cs="Arial"/>
                <w:sz w:val="24"/>
              </w:rPr>
              <w:t xml:space="preserve">After age 18 the majority of non-DSS </w:t>
            </w:r>
            <w:r w:rsidR="000968D7" w:rsidRPr="00150CD2">
              <w:rPr>
                <w:rFonts w:cs="Arial"/>
                <w:sz w:val="24"/>
              </w:rPr>
              <w:t xml:space="preserve">young people </w:t>
            </w:r>
            <w:r w:rsidRPr="00150CD2">
              <w:rPr>
                <w:rFonts w:cs="Arial"/>
                <w:sz w:val="24"/>
              </w:rPr>
              <w:t xml:space="preserve">have left school (around </w:t>
            </w:r>
            <w:r w:rsidR="000968D7" w:rsidRPr="00150CD2">
              <w:rPr>
                <w:rFonts w:cs="Arial"/>
                <w:sz w:val="24"/>
              </w:rPr>
              <w:t>4</w:t>
            </w:r>
            <w:r w:rsidRPr="00150CD2">
              <w:rPr>
                <w:rFonts w:cs="Arial"/>
                <w:sz w:val="24"/>
              </w:rPr>
              <w:t xml:space="preserve">% </w:t>
            </w:r>
            <w:r w:rsidR="008A5CE9" w:rsidRPr="00150CD2">
              <w:rPr>
                <w:rFonts w:cs="Arial"/>
                <w:sz w:val="24"/>
              </w:rPr>
              <w:t>remain at</w:t>
            </w:r>
            <w:r w:rsidR="00305DCC" w:rsidRPr="00150CD2">
              <w:rPr>
                <w:rFonts w:cs="Arial"/>
                <w:sz w:val="24"/>
              </w:rPr>
              <w:t xml:space="preserve"> age 19</w:t>
            </w:r>
            <w:r w:rsidRPr="00150CD2">
              <w:rPr>
                <w:rFonts w:cs="Arial"/>
                <w:sz w:val="24"/>
              </w:rPr>
              <w:t xml:space="preserve">), while just under half of DSS </w:t>
            </w:r>
            <w:r w:rsidR="000968D7" w:rsidRPr="00150CD2">
              <w:rPr>
                <w:rFonts w:cs="Arial"/>
                <w:sz w:val="24"/>
              </w:rPr>
              <w:t xml:space="preserve">young people </w:t>
            </w:r>
            <w:r w:rsidRPr="00150CD2">
              <w:rPr>
                <w:rFonts w:cs="Arial"/>
                <w:sz w:val="24"/>
              </w:rPr>
              <w:t>remain enrolled in school. This reduces to 3</w:t>
            </w:r>
            <w:r w:rsidR="00BB066E" w:rsidRPr="00150CD2">
              <w:rPr>
                <w:rFonts w:cs="Arial"/>
                <w:sz w:val="24"/>
              </w:rPr>
              <w:t>1</w:t>
            </w:r>
            <w:r w:rsidRPr="00150CD2">
              <w:rPr>
                <w:rFonts w:cs="Arial"/>
                <w:sz w:val="24"/>
              </w:rPr>
              <w:t xml:space="preserve">% of </w:t>
            </w:r>
            <w:r w:rsidR="00BF2E8C" w:rsidRPr="00150CD2">
              <w:rPr>
                <w:rFonts w:cs="Arial"/>
                <w:sz w:val="24"/>
              </w:rPr>
              <w:t>20</w:t>
            </w:r>
            <w:r w:rsidRPr="00150CD2">
              <w:rPr>
                <w:rFonts w:cs="Arial"/>
                <w:sz w:val="24"/>
              </w:rPr>
              <w:t xml:space="preserve"> year old and 2</w:t>
            </w:r>
            <w:r w:rsidR="00BB066E" w:rsidRPr="00150CD2">
              <w:rPr>
                <w:rFonts w:cs="Arial"/>
                <w:sz w:val="24"/>
              </w:rPr>
              <w:t>1</w:t>
            </w:r>
            <w:r w:rsidRPr="00150CD2">
              <w:rPr>
                <w:rFonts w:cs="Arial"/>
                <w:sz w:val="24"/>
              </w:rPr>
              <w:t>% of 2</w:t>
            </w:r>
            <w:r w:rsidR="00BF2E8C" w:rsidRPr="00150CD2">
              <w:rPr>
                <w:rFonts w:cs="Arial"/>
                <w:sz w:val="24"/>
              </w:rPr>
              <w:t>1</w:t>
            </w:r>
            <w:r w:rsidRPr="00150CD2">
              <w:rPr>
                <w:rFonts w:cs="Arial"/>
                <w:sz w:val="24"/>
              </w:rPr>
              <w:t xml:space="preserve"> year old</w:t>
            </w:r>
            <w:r w:rsidR="000968D7" w:rsidRPr="00150CD2">
              <w:rPr>
                <w:rFonts w:cs="Arial"/>
                <w:sz w:val="24"/>
              </w:rPr>
              <w:t xml:space="preserve"> </w:t>
            </w:r>
            <w:r w:rsidR="00BB066E" w:rsidRPr="00150CD2">
              <w:rPr>
                <w:rFonts w:cs="Arial"/>
                <w:sz w:val="24"/>
              </w:rPr>
              <w:t xml:space="preserve">MidCentral </w:t>
            </w:r>
            <w:r w:rsidR="000968D7" w:rsidRPr="00150CD2">
              <w:rPr>
                <w:rFonts w:cs="Arial"/>
                <w:sz w:val="24"/>
              </w:rPr>
              <w:t>DSS young people.</w:t>
            </w:r>
          </w:p>
          <w:p w14:paraId="2B103476" w14:textId="7B74568B" w:rsidR="002F4E67" w:rsidRPr="00150CD2" w:rsidRDefault="002F4E67" w:rsidP="005573DD">
            <w:pPr>
              <w:pStyle w:val="EYTablebullet1"/>
              <w:numPr>
                <w:ilvl w:val="0"/>
                <w:numId w:val="0"/>
              </w:numPr>
              <w:ind w:left="284"/>
              <w:rPr>
                <w:rFonts w:cs="Arial"/>
                <w:sz w:val="24"/>
              </w:rPr>
            </w:pPr>
            <w:r w:rsidRPr="00150CD2">
              <w:rPr>
                <w:rFonts w:cs="Arial"/>
                <w:sz w:val="24"/>
              </w:rPr>
              <w:t xml:space="preserve">MidCentral DSS school enrolment rates are </w:t>
            </w:r>
            <w:r w:rsidR="000968D7" w:rsidRPr="00150CD2">
              <w:rPr>
                <w:rFonts w:cs="Arial"/>
                <w:sz w:val="24"/>
              </w:rPr>
              <w:t xml:space="preserve">similar to </w:t>
            </w:r>
            <w:r w:rsidRPr="00150CD2">
              <w:rPr>
                <w:rFonts w:cs="Arial"/>
                <w:sz w:val="24"/>
              </w:rPr>
              <w:t>those of DSS young people in other regions.</w:t>
            </w:r>
            <w:r w:rsidR="00A64109" w:rsidRPr="00150CD2">
              <w:rPr>
                <w:rFonts w:cs="Arial"/>
                <w:sz w:val="24"/>
              </w:rPr>
              <w:br/>
            </w:r>
          </w:p>
          <w:p w14:paraId="64873770" w14:textId="0054AE32" w:rsidR="00F90B6F" w:rsidRPr="00150CD2" w:rsidRDefault="00F90B6F" w:rsidP="000F425E">
            <w:pPr>
              <w:pStyle w:val="EYTablebullet1"/>
              <w:spacing w:before="0" w:after="120"/>
              <w:ind w:left="288" w:hanging="288"/>
              <w:rPr>
                <w:rFonts w:cs="Arial"/>
                <w:sz w:val="24"/>
              </w:rPr>
            </w:pPr>
            <w:r w:rsidRPr="00150CD2">
              <w:rPr>
                <w:rFonts w:cs="Arial"/>
                <w:sz w:val="24"/>
              </w:rPr>
              <w:t xml:space="preserve">Taking qualifications </w:t>
            </w:r>
            <w:r w:rsidR="00065D96" w:rsidRPr="00150CD2">
              <w:rPr>
                <w:rFonts w:cs="Arial"/>
                <w:sz w:val="24"/>
              </w:rPr>
              <w:t xml:space="preserve">from </w:t>
            </w:r>
            <w:r w:rsidR="000F425E" w:rsidRPr="00150CD2">
              <w:rPr>
                <w:rFonts w:cs="Arial"/>
                <w:sz w:val="24"/>
              </w:rPr>
              <w:t xml:space="preserve">schools and </w:t>
            </w:r>
            <w:r w:rsidR="00633A2A" w:rsidRPr="00150CD2">
              <w:rPr>
                <w:rFonts w:cs="Arial"/>
                <w:sz w:val="24"/>
              </w:rPr>
              <w:t xml:space="preserve">tertiary </w:t>
            </w:r>
            <w:r w:rsidR="00065D96" w:rsidRPr="00150CD2">
              <w:rPr>
                <w:rFonts w:cs="Arial"/>
                <w:sz w:val="24"/>
              </w:rPr>
              <w:t>education providers</w:t>
            </w:r>
            <w:r w:rsidR="00633A2A" w:rsidRPr="00150CD2">
              <w:rPr>
                <w:rFonts w:cs="Arial"/>
                <w:sz w:val="24"/>
              </w:rPr>
              <w:t xml:space="preserve"> (e.g. colleges, polytech</w:t>
            </w:r>
            <w:r w:rsidR="00BF286E" w:rsidRPr="00150CD2">
              <w:rPr>
                <w:rFonts w:cs="Arial"/>
                <w:sz w:val="24"/>
              </w:rPr>
              <w:t>nic</w:t>
            </w:r>
            <w:r w:rsidR="00633A2A" w:rsidRPr="00150CD2">
              <w:rPr>
                <w:rFonts w:cs="Arial"/>
                <w:sz w:val="24"/>
              </w:rPr>
              <w:t>s)</w:t>
            </w:r>
            <w:r w:rsidR="00065D96" w:rsidRPr="00150CD2">
              <w:rPr>
                <w:rFonts w:cs="Arial"/>
                <w:sz w:val="24"/>
              </w:rPr>
              <w:t xml:space="preserve"> </w:t>
            </w:r>
            <w:r w:rsidRPr="00150CD2">
              <w:rPr>
                <w:rFonts w:cs="Arial"/>
                <w:sz w:val="24"/>
              </w:rPr>
              <w:t>into account, around 20% of MidCentral DSS young people aged 20-24 at June 2018 had NCEA level 2 or equivalent qualifications, similar to other DSS young people and significantly lower than non-DSS young people in MidCentral (around 80% had NCEA level 2 or equivalent qualifications).</w:t>
            </w:r>
          </w:p>
          <w:p w14:paraId="5F68C6CA" w14:textId="4171AA57" w:rsidR="00F608C3" w:rsidRPr="00150CD2" w:rsidRDefault="00F608C3" w:rsidP="00D143A9">
            <w:pPr>
              <w:pStyle w:val="EYTablebullet1"/>
              <w:spacing w:before="0" w:after="120"/>
              <w:ind w:left="288" w:hanging="288"/>
              <w:rPr>
                <w:rFonts w:cs="Arial"/>
                <w:sz w:val="24"/>
              </w:rPr>
            </w:pPr>
            <w:r w:rsidRPr="00150CD2">
              <w:rPr>
                <w:rFonts w:cs="Arial"/>
                <w:sz w:val="24"/>
              </w:rPr>
              <w:t xml:space="preserve">It is important to note that there is considerable variation between young people, with </w:t>
            </w:r>
            <w:r w:rsidR="00065D96" w:rsidRPr="00150CD2">
              <w:rPr>
                <w:rFonts w:cs="Arial"/>
                <w:sz w:val="24"/>
              </w:rPr>
              <w:t>disability type</w:t>
            </w:r>
            <w:r w:rsidRPr="00150CD2">
              <w:rPr>
                <w:rFonts w:cs="Arial"/>
                <w:sz w:val="24"/>
              </w:rPr>
              <w:t xml:space="preserve"> and SPA levels </w:t>
            </w:r>
            <w:r w:rsidR="00065D96" w:rsidRPr="00150CD2">
              <w:rPr>
                <w:rFonts w:cs="Arial"/>
                <w:sz w:val="24"/>
              </w:rPr>
              <w:t xml:space="preserve">being two </w:t>
            </w:r>
            <w:r w:rsidRPr="00150CD2">
              <w:rPr>
                <w:rFonts w:cs="Arial"/>
                <w:sz w:val="24"/>
              </w:rPr>
              <w:t xml:space="preserve">factors that are associated with differing levels of </w:t>
            </w:r>
            <w:r w:rsidR="00F90B6F" w:rsidRPr="00150CD2">
              <w:rPr>
                <w:rFonts w:cs="Arial"/>
                <w:sz w:val="24"/>
              </w:rPr>
              <w:t xml:space="preserve">school leaving </w:t>
            </w:r>
            <w:r w:rsidRPr="00150CD2">
              <w:rPr>
                <w:rFonts w:cs="Arial"/>
                <w:sz w:val="24"/>
              </w:rPr>
              <w:t>qualification. For MidCentral DSS young people aged 1</w:t>
            </w:r>
            <w:r w:rsidR="00F90B6F" w:rsidRPr="00150CD2">
              <w:rPr>
                <w:rFonts w:cs="Arial"/>
                <w:sz w:val="24"/>
              </w:rPr>
              <w:t>7-24</w:t>
            </w:r>
            <w:r w:rsidRPr="00150CD2">
              <w:rPr>
                <w:rFonts w:cs="Arial"/>
                <w:sz w:val="24"/>
              </w:rPr>
              <w:t xml:space="preserve"> at June 2018, for example:</w:t>
            </w:r>
          </w:p>
          <w:p w14:paraId="366CBC93" w14:textId="7559E1B3" w:rsidR="002F4E67" w:rsidRPr="00150CD2" w:rsidRDefault="002F4E67" w:rsidP="005573DD">
            <w:pPr>
              <w:pStyle w:val="EYTablebullet2"/>
              <w:rPr>
                <w:rFonts w:cs="Arial"/>
                <w:sz w:val="24"/>
              </w:rPr>
            </w:pPr>
            <w:r w:rsidRPr="00150CD2">
              <w:rPr>
                <w:rFonts w:cs="Arial"/>
                <w:sz w:val="24"/>
              </w:rPr>
              <w:t>1</w:t>
            </w:r>
            <w:r w:rsidR="00F90B6F" w:rsidRPr="00150CD2">
              <w:rPr>
                <w:rFonts w:cs="Arial"/>
                <w:sz w:val="24"/>
              </w:rPr>
              <w:t>3</w:t>
            </w:r>
            <w:r w:rsidRPr="00150CD2">
              <w:rPr>
                <w:rFonts w:cs="Arial"/>
                <w:sz w:val="24"/>
              </w:rPr>
              <w:t xml:space="preserve">% of those with intellectual disability </w:t>
            </w:r>
            <w:r w:rsidR="00F90B6F" w:rsidRPr="00150CD2">
              <w:rPr>
                <w:rFonts w:cs="Arial"/>
                <w:sz w:val="24"/>
              </w:rPr>
              <w:t>had</w:t>
            </w:r>
            <w:r w:rsidRPr="00150CD2">
              <w:rPr>
                <w:rFonts w:cs="Arial"/>
                <w:sz w:val="24"/>
              </w:rPr>
              <w:t xml:space="preserve"> NCEA level 2 or </w:t>
            </w:r>
            <w:r w:rsidR="00F90B6F" w:rsidRPr="00150CD2">
              <w:rPr>
                <w:rFonts w:cs="Arial"/>
                <w:sz w:val="24"/>
              </w:rPr>
              <w:t>equivalent qualifications</w:t>
            </w:r>
            <w:r w:rsidRPr="00150CD2">
              <w:rPr>
                <w:rFonts w:cs="Arial"/>
                <w:sz w:val="24"/>
              </w:rPr>
              <w:t xml:space="preserve">, compared with </w:t>
            </w:r>
            <w:r w:rsidR="00F90B6F" w:rsidRPr="00150CD2">
              <w:rPr>
                <w:rFonts w:cs="Arial"/>
                <w:sz w:val="24"/>
              </w:rPr>
              <w:t>36</w:t>
            </w:r>
            <w:r w:rsidRPr="00150CD2">
              <w:rPr>
                <w:rFonts w:cs="Arial"/>
                <w:sz w:val="24"/>
              </w:rPr>
              <w:t>% of other DSS young people</w:t>
            </w:r>
          </w:p>
          <w:p w14:paraId="23874AD5" w14:textId="7EF5AFB1" w:rsidR="002F4E67" w:rsidRPr="00150CD2" w:rsidRDefault="00F90B6F" w:rsidP="00A00D67">
            <w:pPr>
              <w:pStyle w:val="EYTablebullet2"/>
              <w:spacing w:after="60"/>
              <w:ind w:left="576" w:hanging="288"/>
              <w:rPr>
                <w:rFonts w:cs="Arial"/>
                <w:sz w:val="24"/>
              </w:rPr>
            </w:pPr>
            <w:r w:rsidRPr="00150CD2">
              <w:rPr>
                <w:rFonts w:cs="Arial"/>
                <w:sz w:val="24"/>
              </w:rPr>
              <w:t>15</w:t>
            </w:r>
            <w:r w:rsidR="002F4E67" w:rsidRPr="00150CD2">
              <w:rPr>
                <w:rFonts w:cs="Arial"/>
                <w:sz w:val="24"/>
              </w:rPr>
              <w:t xml:space="preserve">% of those with </w:t>
            </w:r>
            <w:r w:rsidR="00DF5F17" w:rsidRPr="00150CD2">
              <w:rPr>
                <w:rFonts w:cs="Arial"/>
                <w:sz w:val="24"/>
              </w:rPr>
              <w:t>high/very high SPA</w:t>
            </w:r>
            <w:r w:rsidR="002F4E67" w:rsidRPr="00150CD2">
              <w:rPr>
                <w:rFonts w:cs="Arial"/>
                <w:sz w:val="24"/>
              </w:rPr>
              <w:t xml:space="preserve"> levels </w:t>
            </w:r>
            <w:r w:rsidRPr="00150CD2">
              <w:rPr>
                <w:rFonts w:cs="Arial"/>
                <w:sz w:val="24"/>
              </w:rPr>
              <w:t>had NCEA level 2 or equivalent qualifications</w:t>
            </w:r>
            <w:r w:rsidR="002F4E67" w:rsidRPr="00150CD2">
              <w:rPr>
                <w:rFonts w:cs="Arial"/>
                <w:sz w:val="24"/>
              </w:rPr>
              <w:t>, compared with 3</w:t>
            </w:r>
            <w:r w:rsidRPr="00150CD2">
              <w:rPr>
                <w:rFonts w:cs="Arial"/>
                <w:sz w:val="24"/>
              </w:rPr>
              <w:t>6</w:t>
            </w:r>
            <w:r w:rsidR="002F4E67" w:rsidRPr="00150CD2">
              <w:rPr>
                <w:rFonts w:cs="Arial"/>
                <w:sz w:val="24"/>
              </w:rPr>
              <w:t>% for those with low to medium SPA levels</w:t>
            </w:r>
            <w:r w:rsidRPr="00150CD2">
              <w:rPr>
                <w:rFonts w:cs="Arial"/>
                <w:sz w:val="24"/>
              </w:rPr>
              <w:t>.</w:t>
            </w:r>
          </w:p>
          <w:p w14:paraId="29F9BB6D" w14:textId="3F740475" w:rsidR="00FF6973" w:rsidRPr="00150CD2" w:rsidRDefault="00FF6973" w:rsidP="00BF286E">
            <w:pPr>
              <w:pStyle w:val="EYTablebullet1"/>
              <w:numPr>
                <w:ilvl w:val="0"/>
                <w:numId w:val="0"/>
              </w:numPr>
              <w:spacing w:before="0" w:after="120"/>
              <w:ind w:left="288"/>
              <w:rPr>
                <w:rFonts w:cs="Arial"/>
                <w:sz w:val="24"/>
              </w:rPr>
            </w:pPr>
            <w:r w:rsidRPr="00150CD2">
              <w:rPr>
                <w:rFonts w:cs="Arial"/>
                <w:sz w:val="24"/>
              </w:rPr>
              <w:t>Careful consideration needs to be made around whether NCEA</w:t>
            </w:r>
            <w:r w:rsidR="00EF4009" w:rsidRPr="00150CD2">
              <w:rPr>
                <w:rFonts w:cs="Arial"/>
                <w:sz w:val="24"/>
              </w:rPr>
              <w:t xml:space="preserve"> </w:t>
            </w:r>
            <w:r w:rsidR="001572E5" w:rsidRPr="00150CD2">
              <w:rPr>
                <w:rFonts w:cs="Arial"/>
                <w:sz w:val="24"/>
              </w:rPr>
              <w:t>result</w:t>
            </w:r>
            <w:r w:rsidRPr="00150CD2">
              <w:rPr>
                <w:rFonts w:cs="Arial"/>
                <w:sz w:val="24"/>
              </w:rPr>
              <w:t xml:space="preserve">s are appropriate indicators of education achievement for all DSS young people given varying levels of support needs and education enrolment profiles, as well as each young person’s own individual learning goals. </w:t>
            </w:r>
          </w:p>
          <w:p w14:paraId="3B60A8A9" w14:textId="515AF870" w:rsidR="00065D96" w:rsidRPr="00150CD2" w:rsidRDefault="000F425E" w:rsidP="00BF286E">
            <w:pPr>
              <w:pStyle w:val="EYTablebullet1"/>
              <w:spacing w:before="0" w:after="120"/>
              <w:ind w:left="288" w:hanging="288"/>
              <w:rPr>
                <w:rFonts w:cs="Arial"/>
                <w:sz w:val="24"/>
              </w:rPr>
            </w:pPr>
            <w:r w:rsidRPr="00150CD2">
              <w:rPr>
                <w:rFonts w:cs="Arial"/>
                <w:sz w:val="24"/>
              </w:rPr>
              <w:t>More broadly, t</w:t>
            </w:r>
            <w:r w:rsidR="00633A2A" w:rsidRPr="00150CD2">
              <w:rPr>
                <w:rFonts w:cs="Arial"/>
                <w:sz w:val="24"/>
              </w:rPr>
              <w:t xml:space="preserve">he Ministry of Education notes that socioeconomic factors and individual school characteristics also have an impact on education achievement of </w:t>
            </w:r>
            <w:r w:rsidR="00065D96" w:rsidRPr="00150CD2">
              <w:rPr>
                <w:rFonts w:cs="Arial"/>
                <w:sz w:val="24"/>
              </w:rPr>
              <w:t>young people across NZ.</w:t>
            </w:r>
            <w:r w:rsidR="00633A2A" w:rsidRPr="00150CD2">
              <w:rPr>
                <w:rStyle w:val="FootnoteReference"/>
                <w:rFonts w:ascii="Arial" w:hAnsi="Arial" w:cs="Arial"/>
                <w:sz w:val="24"/>
                <w:szCs w:val="24"/>
              </w:rPr>
              <w:footnoteReference w:id="30"/>
            </w:r>
          </w:p>
        </w:tc>
      </w:tr>
      <w:tr w:rsidR="002F4E67" w:rsidRPr="00150CD2" w14:paraId="70E07DA6" w14:textId="77777777" w:rsidTr="00336432">
        <w:tc>
          <w:tcPr>
            <w:tcW w:w="1323" w:type="dxa"/>
            <w:tcBorders>
              <w:top w:val="nil"/>
              <w:bottom w:val="nil"/>
            </w:tcBorders>
          </w:tcPr>
          <w:p w14:paraId="2FCED8CF" w14:textId="77777777" w:rsidR="002F4E67" w:rsidRPr="00150CD2" w:rsidRDefault="002F4E67" w:rsidP="00254F21">
            <w:pPr>
              <w:pStyle w:val="EYTableText"/>
              <w:rPr>
                <w:rFonts w:cs="Arial"/>
                <w:sz w:val="24"/>
              </w:rPr>
            </w:pPr>
          </w:p>
        </w:tc>
        <w:tc>
          <w:tcPr>
            <w:tcW w:w="1872" w:type="dxa"/>
          </w:tcPr>
          <w:p w14:paraId="2D604129" w14:textId="32F48852" w:rsidR="002F4E67" w:rsidRPr="00150CD2" w:rsidRDefault="002F4E67" w:rsidP="00254F21">
            <w:pPr>
              <w:pStyle w:val="EYTableText"/>
              <w:rPr>
                <w:rFonts w:cs="Arial"/>
                <w:sz w:val="24"/>
              </w:rPr>
            </w:pPr>
            <w:r w:rsidRPr="00150CD2">
              <w:rPr>
                <w:rFonts w:cs="Arial"/>
                <w:sz w:val="24"/>
              </w:rPr>
              <w:t>Post school education and training</w:t>
            </w:r>
          </w:p>
        </w:tc>
        <w:tc>
          <w:tcPr>
            <w:tcW w:w="10699" w:type="dxa"/>
          </w:tcPr>
          <w:p w14:paraId="24C68AE8" w14:textId="03E076C6" w:rsidR="002F4E67" w:rsidRPr="00150CD2" w:rsidRDefault="002F4E67" w:rsidP="00D143A9">
            <w:pPr>
              <w:pStyle w:val="EYTablebullet1"/>
              <w:spacing w:before="0" w:after="120"/>
              <w:rPr>
                <w:rFonts w:cs="Arial"/>
                <w:sz w:val="24"/>
              </w:rPr>
            </w:pPr>
            <w:r w:rsidRPr="00150CD2">
              <w:rPr>
                <w:rFonts w:cs="Arial"/>
                <w:sz w:val="24"/>
              </w:rPr>
              <w:t xml:space="preserve">Around </w:t>
            </w:r>
            <w:r w:rsidR="00F90B6F" w:rsidRPr="00150CD2">
              <w:rPr>
                <w:rFonts w:cs="Arial"/>
                <w:sz w:val="24"/>
              </w:rPr>
              <w:t>25</w:t>
            </w:r>
            <w:r w:rsidRPr="00150CD2">
              <w:rPr>
                <w:rFonts w:cs="Arial"/>
                <w:sz w:val="24"/>
              </w:rPr>
              <w:t>% of MidCentral DSS young people aged 1</w:t>
            </w:r>
            <w:r w:rsidR="00F90B6F" w:rsidRPr="00150CD2">
              <w:rPr>
                <w:rFonts w:cs="Arial"/>
                <w:sz w:val="24"/>
              </w:rPr>
              <w:t>5</w:t>
            </w:r>
            <w:r w:rsidRPr="00150CD2">
              <w:rPr>
                <w:rFonts w:cs="Arial"/>
                <w:sz w:val="24"/>
              </w:rPr>
              <w:t>-</w:t>
            </w:r>
            <w:r w:rsidR="00F90B6F" w:rsidRPr="00150CD2">
              <w:rPr>
                <w:rFonts w:cs="Arial"/>
                <w:sz w:val="24"/>
              </w:rPr>
              <w:t>19</w:t>
            </w:r>
            <w:r w:rsidRPr="00150CD2">
              <w:rPr>
                <w:rFonts w:cs="Arial"/>
                <w:sz w:val="24"/>
              </w:rPr>
              <w:t xml:space="preserve"> were enrolled in tertiary education and training for some/all of the three year period</w:t>
            </w:r>
            <w:r w:rsidR="00BF286E" w:rsidRPr="00150CD2">
              <w:rPr>
                <w:rFonts w:cs="Arial"/>
                <w:sz w:val="24"/>
              </w:rPr>
              <w:t>, e.g. colleges, polytechnics and universities</w:t>
            </w:r>
            <w:r w:rsidRPr="00150CD2">
              <w:rPr>
                <w:rFonts w:cs="Arial"/>
                <w:sz w:val="24"/>
              </w:rPr>
              <w:t xml:space="preserve">. </w:t>
            </w:r>
            <w:r w:rsidR="009C6AFE" w:rsidRPr="00150CD2">
              <w:rPr>
                <w:rFonts w:cs="Arial"/>
                <w:sz w:val="24"/>
              </w:rPr>
              <w:t xml:space="preserve">(Note that students can enrol in some tertiary courses while attending school.) </w:t>
            </w:r>
            <w:r w:rsidRPr="00150CD2">
              <w:rPr>
                <w:rFonts w:cs="Arial"/>
                <w:sz w:val="24"/>
              </w:rPr>
              <w:t xml:space="preserve">This reduces as people enter their 20s, with around </w:t>
            </w:r>
            <w:r w:rsidR="00F90B6F" w:rsidRPr="00150CD2">
              <w:rPr>
                <w:rFonts w:cs="Arial"/>
                <w:sz w:val="24"/>
              </w:rPr>
              <w:t>9</w:t>
            </w:r>
            <w:r w:rsidRPr="00150CD2">
              <w:rPr>
                <w:rFonts w:cs="Arial"/>
                <w:sz w:val="24"/>
              </w:rPr>
              <w:t>% of young people aged 2</w:t>
            </w:r>
            <w:r w:rsidR="00F90B6F" w:rsidRPr="00150CD2">
              <w:rPr>
                <w:rFonts w:cs="Arial"/>
                <w:sz w:val="24"/>
              </w:rPr>
              <w:t>0</w:t>
            </w:r>
            <w:r w:rsidRPr="00150CD2">
              <w:rPr>
                <w:rFonts w:cs="Arial"/>
                <w:sz w:val="24"/>
              </w:rPr>
              <w:t>-2</w:t>
            </w:r>
            <w:r w:rsidR="00F90B6F" w:rsidRPr="00150CD2">
              <w:rPr>
                <w:rFonts w:cs="Arial"/>
                <w:sz w:val="24"/>
              </w:rPr>
              <w:t>4</w:t>
            </w:r>
            <w:r w:rsidRPr="00150CD2">
              <w:rPr>
                <w:rFonts w:cs="Arial"/>
                <w:sz w:val="24"/>
              </w:rPr>
              <w:t xml:space="preserve"> enrolled in tertiary education or training at some point over </w:t>
            </w:r>
            <w:r w:rsidR="006A0F89" w:rsidRPr="00150CD2">
              <w:rPr>
                <w:rFonts w:cs="Arial"/>
                <w:sz w:val="24"/>
              </w:rPr>
              <w:t>the</w:t>
            </w:r>
            <w:r w:rsidRPr="00150CD2">
              <w:rPr>
                <w:rFonts w:cs="Arial"/>
                <w:sz w:val="24"/>
              </w:rPr>
              <w:t xml:space="preserve"> 3 year period.</w:t>
            </w:r>
          </w:p>
          <w:p w14:paraId="448D6E53" w14:textId="220D6B04" w:rsidR="006A0F89" w:rsidRPr="00150CD2" w:rsidRDefault="002F4E67" w:rsidP="00D143A9">
            <w:pPr>
              <w:pStyle w:val="EYTablebullet2"/>
              <w:spacing w:before="0" w:after="120"/>
              <w:rPr>
                <w:rFonts w:cs="Arial"/>
                <w:sz w:val="24"/>
              </w:rPr>
            </w:pPr>
            <w:r w:rsidRPr="00150CD2">
              <w:rPr>
                <w:rFonts w:cs="Arial"/>
                <w:sz w:val="24"/>
              </w:rPr>
              <w:t>Most enrolments relate to courses classed as NZQA level 1, 2 or 3 (levels which are covered by NCEA). Approximately 3 out of 4 of the young people who undertook tertiary education enrolled in one of these courses.</w:t>
            </w:r>
          </w:p>
          <w:p w14:paraId="0E45E9E4" w14:textId="32AC2BF6" w:rsidR="002F4E67" w:rsidRPr="00150CD2" w:rsidRDefault="006A0F89" w:rsidP="00D143A9">
            <w:pPr>
              <w:pStyle w:val="EYTablebullet2"/>
              <w:spacing w:before="0" w:after="120"/>
              <w:rPr>
                <w:rFonts w:cs="Arial"/>
                <w:sz w:val="24"/>
              </w:rPr>
            </w:pPr>
            <w:r w:rsidRPr="00150CD2">
              <w:rPr>
                <w:rFonts w:cs="Arial"/>
                <w:sz w:val="24"/>
              </w:rPr>
              <w:t>O</w:t>
            </w:r>
            <w:r w:rsidR="002F4E67" w:rsidRPr="00150CD2">
              <w:rPr>
                <w:rFonts w:cs="Arial"/>
                <w:sz w:val="24"/>
              </w:rPr>
              <w:t xml:space="preserve">verall enrolment rates </w:t>
            </w:r>
            <w:r w:rsidR="00253268" w:rsidRPr="00150CD2">
              <w:rPr>
                <w:rFonts w:cs="Arial"/>
                <w:sz w:val="24"/>
              </w:rPr>
              <w:t>for 1</w:t>
            </w:r>
            <w:r w:rsidRPr="00150CD2">
              <w:rPr>
                <w:rFonts w:cs="Arial"/>
                <w:sz w:val="24"/>
              </w:rPr>
              <w:t>5</w:t>
            </w:r>
            <w:r w:rsidR="00253268" w:rsidRPr="00150CD2">
              <w:rPr>
                <w:rFonts w:cs="Arial"/>
                <w:sz w:val="24"/>
              </w:rPr>
              <w:t>-</w:t>
            </w:r>
            <w:r w:rsidRPr="00150CD2">
              <w:rPr>
                <w:rFonts w:cs="Arial"/>
                <w:sz w:val="24"/>
              </w:rPr>
              <w:t>19</w:t>
            </w:r>
            <w:r w:rsidR="00253268" w:rsidRPr="00150CD2">
              <w:rPr>
                <w:rFonts w:cs="Arial"/>
                <w:sz w:val="24"/>
              </w:rPr>
              <w:t xml:space="preserve"> year olds </w:t>
            </w:r>
            <w:r w:rsidR="002F4E67" w:rsidRPr="00150CD2">
              <w:rPr>
                <w:rFonts w:cs="Arial"/>
                <w:sz w:val="24"/>
              </w:rPr>
              <w:t xml:space="preserve">were </w:t>
            </w:r>
            <w:r w:rsidRPr="00150CD2">
              <w:rPr>
                <w:rFonts w:cs="Arial"/>
                <w:sz w:val="24"/>
              </w:rPr>
              <w:t xml:space="preserve">slightly </w:t>
            </w:r>
            <w:r w:rsidR="002F4E67" w:rsidRPr="00150CD2">
              <w:rPr>
                <w:rFonts w:cs="Arial"/>
                <w:sz w:val="24"/>
              </w:rPr>
              <w:t>lower for women (</w:t>
            </w:r>
            <w:r w:rsidRPr="00150CD2">
              <w:rPr>
                <w:rFonts w:cs="Arial"/>
                <w:sz w:val="24"/>
              </w:rPr>
              <w:t>21</w:t>
            </w:r>
            <w:r w:rsidR="002F4E67" w:rsidRPr="00150CD2">
              <w:rPr>
                <w:rFonts w:cs="Arial"/>
                <w:sz w:val="24"/>
              </w:rPr>
              <w:t xml:space="preserve">%), those with intellectual disability types (21%) and </w:t>
            </w:r>
            <w:r w:rsidR="00DF5F17" w:rsidRPr="00150CD2">
              <w:rPr>
                <w:rFonts w:cs="Arial"/>
                <w:sz w:val="24"/>
              </w:rPr>
              <w:t>high/very high SPA</w:t>
            </w:r>
            <w:r w:rsidR="002F4E67" w:rsidRPr="00150CD2">
              <w:rPr>
                <w:rFonts w:cs="Arial"/>
                <w:sz w:val="24"/>
              </w:rPr>
              <w:t xml:space="preserve"> levels (22%</w:t>
            </w:r>
            <w:r w:rsidR="008A5CE9" w:rsidRPr="00150CD2">
              <w:rPr>
                <w:rFonts w:cs="Arial"/>
                <w:sz w:val="24"/>
              </w:rPr>
              <w:t>) and</w:t>
            </w:r>
            <w:r w:rsidR="002F4E67" w:rsidRPr="00150CD2">
              <w:rPr>
                <w:rFonts w:cs="Arial"/>
                <w:sz w:val="24"/>
              </w:rPr>
              <w:t xml:space="preserve"> were similar between Māori and non-Māori.</w:t>
            </w:r>
          </w:p>
          <w:p w14:paraId="7973CA4F" w14:textId="2D34D5BC" w:rsidR="002F4E67" w:rsidRPr="00150CD2" w:rsidRDefault="002F4E67" w:rsidP="00D143A9">
            <w:pPr>
              <w:pStyle w:val="EYTablebullet1"/>
              <w:spacing w:before="0" w:after="120"/>
              <w:rPr>
                <w:rFonts w:cs="Arial"/>
                <w:sz w:val="24"/>
              </w:rPr>
            </w:pPr>
            <w:r w:rsidRPr="00150CD2">
              <w:rPr>
                <w:rFonts w:cs="Arial"/>
                <w:sz w:val="24"/>
              </w:rPr>
              <w:t xml:space="preserve">MidCentral enrolment rates were lower than for DSS young people in other areas, across all course types. Around </w:t>
            </w:r>
            <w:r w:rsidR="006A0F89" w:rsidRPr="00150CD2">
              <w:rPr>
                <w:rFonts w:cs="Arial"/>
                <w:sz w:val="24"/>
              </w:rPr>
              <w:t>34</w:t>
            </w:r>
            <w:r w:rsidRPr="00150CD2">
              <w:rPr>
                <w:rFonts w:cs="Arial"/>
                <w:sz w:val="24"/>
              </w:rPr>
              <w:t>% of 1</w:t>
            </w:r>
            <w:r w:rsidR="006A0F89" w:rsidRPr="00150CD2">
              <w:rPr>
                <w:rFonts w:cs="Arial"/>
                <w:sz w:val="24"/>
              </w:rPr>
              <w:t>5</w:t>
            </w:r>
            <w:r w:rsidRPr="00150CD2">
              <w:rPr>
                <w:rFonts w:cs="Arial"/>
                <w:sz w:val="24"/>
              </w:rPr>
              <w:t>-</w:t>
            </w:r>
            <w:r w:rsidR="006A0F89" w:rsidRPr="00150CD2">
              <w:rPr>
                <w:rFonts w:cs="Arial"/>
                <w:sz w:val="24"/>
              </w:rPr>
              <w:t>19</w:t>
            </w:r>
            <w:r w:rsidRPr="00150CD2">
              <w:rPr>
                <w:rFonts w:cs="Arial"/>
                <w:sz w:val="24"/>
              </w:rPr>
              <w:t xml:space="preserve"> year old DSS young people outside MidCentral and 2</w:t>
            </w:r>
            <w:r w:rsidR="006A0F89" w:rsidRPr="00150CD2">
              <w:rPr>
                <w:rFonts w:cs="Arial"/>
                <w:sz w:val="24"/>
              </w:rPr>
              <w:t>5</w:t>
            </w:r>
            <w:r w:rsidRPr="00150CD2">
              <w:rPr>
                <w:rFonts w:cs="Arial"/>
                <w:sz w:val="24"/>
              </w:rPr>
              <w:t>% of 2</w:t>
            </w:r>
            <w:r w:rsidR="006A0F89" w:rsidRPr="00150CD2">
              <w:rPr>
                <w:rFonts w:cs="Arial"/>
                <w:sz w:val="24"/>
              </w:rPr>
              <w:t>0</w:t>
            </w:r>
            <w:r w:rsidRPr="00150CD2">
              <w:rPr>
                <w:rFonts w:cs="Arial"/>
                <w:sz w:val="24"/>
              </w:rPr>
              <w:t>-2</w:t>
            </w:r>
            <w:r w:rsidR="006A0F89" w:rsidRPr="00150CD2">
              <w:rPr>
                <w:rFonts w:cs="Arial"/>
                <w:sz w:val="24"/>
              </w:rPr>
              <w:t>4</w:t>
            </w:r>
            <w:r w:rsidRPr="00150CD2">
              <w:rPr>
                <w:rFonts w:cs="Arial"/>
                <w:sz w:val="24"/>
              </w:rPr>
              <w:t xml:space="preserve"> year olds were enrolled in tertiary education</w:t>
            </w:r>
            <w:r w:rsidR="00867F4E" w:rsidRPr="00150CD2">
              <w:rPr>
                <w:rFonts w:cs="Arial"/>
                <w:sz w:val="24"/>
              </w:rPr>
              <w:t xml:space="preserve"> or training </w:t>
            </w:r>
            <w:r w:rsidR="009C6AFE" w:rsidRPr="00150CD2">
              <w:rPr>
                <w:rFonts w:cs="Arial"/>
                <w:sz w:val="24"/>
              </w:rPr>
              <w:t>placements</w:t>
            </w:r>
            <w:r w:rsidRPr="00150CD2">
              <w:rPr>
                <w:rFonts w:cs="Arial"/>
                <w:sz w:val="24"/>
              </w:rPr>
              <w:t xml:space="preserve"> at some point over a 3 year period.</w:t>
            </w:r>
          </w:p>
          <w:p w14:paraId="584B5D9D" w14:textId="2A9CAC35" w:rsidR="002F4E67" w:rsidRPr="00150CD2" w:rsidRDefault="002F4E67" w:rsidP="00D143A9">
            <w:pPr>
              <w:pStyle w:val="EYTablebullet1"/>
              <w:spacing w:before="0" w:after="120"/>
              <w:rPr>
                <w:rFonts w:cs="Arial"/>
                <w:sz w:val="24"/>
              </w:rPr>
            </w:pPr>
            <w:r w:rsidRPr="00150CD2">
              <w:rPr>
                <w:rFonts w:cs="Arial"/>
                <w:sz w:val="24"/>
              </w:rPr>
              <w:t>They were also significantly lower than for non-DSS young people in MidCentral:</w:t>
            </w:r>
          </w:p>
          <w:p w14:paraId="69AAF130" w14:textId="444A72C2" w:rsidR="002F4E67" w:rsidRPr="00150CD2" w:rsidRDefault="002F4E67" w:rsidP="00D143A9">
            <w:pPr>
              <w:pStyle w:val="EYTablebullet2"/>
              <w:spacing w:before="0" w:after="120"/>
              <w:rPr>
                <w:rFonts w:cs="Arial"/>
                <w:sz w:val="24"/>
              </w:rPr>
            </w:pPr>
            <w:r w:rsidRPr="00150CD2">
              <w:rPr>
                <w:rFonts w:cs="Arial"/>
                <w:sz w:val="24"/>
              </w:rPr>
              <w:t>Around 70% of 1</w:t>
            </w:r>
            <w:r w:rsidR="006A0F89" w:rsidRPr="00150CD2">
              <w:rPr>
                <w:rFonts w:cs="Arial"/>
                <w:sz w:val="24"/>
              </w:rPr>
              <w:t>5</w:t>
            </w:r>
            <w:r w:rsidRPr="00150CD2">
              <w:rPr>
                <w:rFonts w:cs="Arial"/>
                <w:sz w:val="24"/>
              </w:rPr>
              <w:t>-</w:t>
            </w:r>
            <w:r w:rsidR="006A0F89" w:rsidRPr="00150CD2">
              <w:rPr>
                <w:rFonts w:cs="Arial"/>
                <w:sz w:val="24"/>
              </w:rPr>
              <w:t>19</w:t>
            </w:r>
            <w:r w:rsidRPr="00150CD2">
              <w:rPr>
                <w:rFonts w:cs="Arial"/>
                <w:sz w:val="24"/>
              </w:rPr>
              <w:t xml:space="preserve"> year olds were enrolled in tertiary education</w:t>
            </w:r>
            <w:r w:rsidR="00B75043" w:rsidRPr="00150CD2">
              <w:rPr>
                <w:rFonts w:cs="Arial"/>
                <w:sz w:val="24"/>
              </w:rPr>
              <w:t xml:space="preserve"> or</w:t>
            </w:r>
            <w:r w:rsidR="003F0740" w:rsidRPr="00150CD2">
              <w:rPr>
                <w:rFonts w:cs="Arial"/>
                <w:sz w:val="24"/>
              </w:rPr>
              <w:t xml:space="preserve"> training</w:t>
            </w:r>
            <w:r w:rsidR="009C6AFE" w:rsidRPr="00150CD2">
              <w:rPr>
                <w:rFonts w:cs="Arial"/>
                <w:sz w:val="24"/>
              </w:rPr>
              <w:t xml:space="preserve"> placements</w:t>
            </w:r>
            <w:r w:rsidR="003F0740" w:rsidRPr="00150CD2">
              <w:rPr>
                <w:rFonts w:cs="Arial"/>
                <w:sz w:val="24"/>
              </w:rPr>
              <w:t xml:space="preserve"> </w:t>
            </w:r>
            <w:r w:rsidRPr="00150CD2">
              <w:rPr>
                <w:rFonts w:cs="Arial"/>
                <w:sz w:val="24"/>
              </w:rPr>
              <w:t>at some point over a 3 year period, including 3</w:t>
            </w:r>
            <w:r w:rsidR="006A0F89" w:rsidRPr="00150CD2">
              <w:rPr>
                <w:rFonts w:cs="Arial"/>
                <w:sz w:val="24"/>
              </w:rPr>
              <w:t>3</w:t>
            </w:r>
            <w:r w:rsidRPr="00150CD2">
              <w:rPr>
                <w:rFonts w:cs="Arial"/>
                <w:sz w:val="24"/>
              </w:rPr>
              <w:t>% in bachelor level courses, 1</w:t>
            </w:r>
            <w:r w:rsidR="006A0F89" w:rsidRPr="00150CD2">
              <w:rPr>
                <w:rFonts w:cs="Arial"/>
                <w:sz w:val="24"/>
              </w:rPr>
              <w:t>4</w:t>
            </w:r>
            <w:r w:rsidRPr="00150CD2">
              <w:rPr>
                <w:rFonts w:cs="Arial"/>
                <w:sz w:val="24"/>
              </w:rPr>
              <w:t xml:space="preserve">% in </w:t>
            </w:r>
            <w:r w:rsidR="004F1AD1" w:rsidRPr="00150CD2">
              <w:rPr>
                <w:rFonts w:cs="Arial"/>
                <w:sz w:val="24"/>
              </w:rPr>
              <w:t>Tertiary Education Commission (</w:t>
            </w:r>
            <w:r w:rsidRPr="00150CD2">
              <w:rPr>
                <w:rFonts w:cs="Arial"/>
                <w:sz w:val="24"/>
              </w:rPr>
              <w:t>TEC</w:t>
            </w:r>
            <w:r w:rsidR="004F1AD1" w:rsidRPr="00150CD2">
              <w:rPr>
                <w:rFonts w:cs="Arial"/>
                <w:sz w:val="24"/>
              </w:rPr>
              <w:t>)</w:t>
            </w:r>
            <w:r w:rsidRPr="00150CD2">
              <w:rPr>
                <w:rFonts w:cs="Arial"/>
                <w:sz w:val="24"/>
              </w:rPr>
              <w:t xml:space="preserve"> industry training </w:t>
            </w:r>
            <w:r w:rsidR="009C6AFE" w:rsidRPr="00150CD2">
              <w:rPr>
                <w:rFonts w:cs="Arial"/>
                <w:sz w:val="24"/>
              </w:rPr>
              <w:t xml:space="preserve">placements </w:t>
            </w:r>
            <w:r w:rsidRPr="00150CD2">
              <w:rPr>
                <w:rFonts w:cs="Arial"/>
                <w:sz w:val="24"/>
              </w:rPr>
              <w:t>and 2</w:t>
            </w:r>
            <w:r w:rsidR="006A0F89" w:rsidRPr="00150CD2">
              <w:rPr>
                <w:rFonts w:cs="Arial"/>
                <w:sz w:val="24"/>
              </w:rPr>
              <w:t>0</w:t>
            </w:r>
            <w:r w:rsidRPr="00150CD2">
              <w:rPr>
                <w:rFonts w:cs="Arial"/>
                <w:sz w:val="24"/>
              </w:rPr>
              <w:t>% in level 4-7 courses.</w:t>
            </w:r>
          </w:p>
          <w:p w14:paraId="60B09211" w14:textId="7A7322A1" w:rsidR="002F4E67" w:rsidRPr="00150CD2" w:rsidRDefault="002F4E67" w:rsidP="00D143A9">
            <w:pPr>
              <w:pStyle w:val="EYTablebullet2"/>
              <w:spacing w:before="0" w:after="120"/>
              <w:rPr>
                <w:rFonts w:cs="Arial"/>
                <w:sz w:val="24"/>
              </w:rPr>
            </w:pPr>
            <w:r w:rsidRPr="00150CD2">
              <w:rPr>
                <w:rFonts w:cs="Arial"/>
                <w:sz w:val="24"/>
              </w:rPr>
              <w:t>Around 5</w:t>
            </w:r>
            <w:r w:rsidR="006A0F89" w:rsidRPr="00150CD2">
              <w:rPr>
                <w:rFonts w:cs="Arial"/>
                <w:sz w:val="24"/>
              </w:rPr>
              <w:t>4</w:t>
            </w:r>
            <w:r w:rsidRPr="00150CD2">
              <w:rPr>
                <w:rFonts w:cs="Arial"/>
                <w:sz w:val="24"/>
              </w:rPr>
              <w:t>% of 2</w:t>
            </w:r>
            <w:r w:rsidR="006A0F89" w:rsidRPr="00150CD2">
              <w:rPr>
                <w:rFonts w:cs="Arial"/>
                <w:sz w:val="24"/>
              </w:rPr>
              <w:t>0</w:t>
            </w:r>
            <w:r w:rsidRPr="00150CD2">
              <w:rPr>
                <w:rFonts w:cs="Arial"/>
                <w:sz w:val="24"/>
              </w:rPr>
              <w:t>-2</w:t>
            </w:r>
            <w:r w:rsidR="006A0F89" w:rsidRPr="00150CD2">
              <w:rPr>
                <w:rFonts w:cs="Arial"/>
                <w:sz w:val="24"/>
              </w:rPr>
              <w:t>4</w:t>
            </w:r>
            <w:r w:rsidRPr="00150CD2">
              <w:rPr>
                <w:rFonts w:cs="Arial"/>
                <w:sz w:val="24"/>
              </w:rPr>
              <w:t xml:space="preserve"> year olds were enrolled in tertiary education at some point over a 3 year period</w:t>
            </w:r>
          </w:p>
        </w:tc>
      </w:tr>
      <w:tr w:rsidR="002F4E67" w:rsidRPr="00150CD2" w14:paraId="1678C0A2" w14:textId="77777777" w:rsidTr="00336432">
        <w:tc>
          <w:tcPr>
            <w:tcW w:w="1323" w:type="dxa"/>
            <w:tcBorders>
              <w:top w:val="nil"/>
              <w:bottom w:val="nil"/>
            </w:tcBorders>
          </w:tcPr>
          <w:p w14:paraId="12FDED5D" w14:textId="77777777" w:rsidR="002F4E67" w:rsidRPr="00150CD2" w:rsidRDefault="002F4E67" w:rsidP="00254F21">
            <w:pPr>
              <w:pStyle w:val="EYTableText"/>
              <w:rPr>
                <w:rFonts w:cs="Arial"/>
                <w:sz w:val="24"/>
              </w:rPr>
            </w:pPr>
          </w:p>
        </w:tc>
        <w:tc>
          <w:tcPr>
            <w:tcW w:w="1872" w:type="dxa"/>
          </w:tcPr>
          <w:p w14:paraId="3287D0B8" w14:textId="02D1B623" w:rsidR="002F4E67" w:rsidRPr="00150CD2" w:rsidRDefault="002F4E67" w:rsidP="00254F21">
            <w:pPr>
              <w:pStyle w:val="EYTableText"/>
              <w:rPr>
                <w:rFonts w:cs="Arial"/>
                <w:sz w:val="24"/>
              </w:rPr>
            </w:pPr>
            <w:r w:rsidRPr="00150CD2">
              <w:rPr>
                <w:rFonts w:cs="Arial"/>
                <w:sz w:val="24"/>
              </w:rPr>
              <w:t>Employment rates</w:t>
            </w:r>
          </w:p>
        </w:tc>
        <w:tc>
          <w:tcPr>
            <w:tcW w:w="10699" w:type="dxa"/>
          </w:tcPr>
          <w:p w14:paraId="2ADB3262" w14:textId="77D538AF" w:rsidR="002F4E67" w:rsidRPr="00150CD2" w:rsidRDefault="002F4E67" w:rsidP="00D143A9">
            <w:pPr>
              <w:pStyle w:val="EYTableText"/>
              <w:spacing w:before="0" w:after="120"/>
              <w:rPr>
                <w:rFonts w:cs="Arial"/>
                <w:sz w:val="24"/>
              </w:rPr>
            </w:pPr>
            <w:r w:rsidRPr="00150CD2">
              <w:rPr>
                <w:rFonts w:cs="Arial"/>
                <w:sz w:val="24"/>
              </w:rPr>
              <w:t>Most MidCentral DSS young people were partially or wholly reliant on benefit income support over a 3 year period</w:t>
            </w:r>
            <w:r w:rsidR="001D193A" w:rsidRPr="00150CD2">
              <w:rPr>
                <w:rFonts w:cs="Arial"/>
                <w:sz w:val="24"/>
              </w:rPr>
              <w:t xml:space="preserve"> once 18 years or older and able to receive benefit support as adults</w:t>
            </w:r>
            <w:r w:rsidRPr="00150CD2">
              <w:rPr>
                <w:rFonts w:cs="Arial"/>
                <w:sz w:val="24"/>
              </w:rPr>
              <w:t>. Some reported employment income, however in most cases these were relatively small amounts.</w:t>
            </w:r>
          </w:p>
          <w:p w14:paraId="21FCB6D2" w14:textId="19DB0B74" w:rsidR="002F4E67" w:rsidRPr="00150CD2" w:rsidRDefault="003635C4" w:rsidP="00D143A9">
            <w:pPr>
              <w:pStyle w:val="EYTablebullet1"/>
              <w:spacing w:before="0" w:after="120"/>
              <w:rPr>
                <w:rFonts w:cs="Arial"/>
                <w:sz w:val="24"/>
              </w:rPr>
            </w:pPr>
            <w:r w:rsidRPr="00150CD2">
              <w:rPr>
                <w:rFonts w:cs="Arial"/>
                <w:sz w:val="24"/>
              </w:rPr>
              <w:t>Around 1 in 4 (</w:t>
            </w:r>
            <w:r w:rsidR="006A0F89" w:rsidRPr="00150CD2">
              <w:rPr>
                <w:rFonts w:cs="Arial"/>
                <w:sz w:val="24"/>
              </w:rPr>
              <w:t>24</w:t>
            </w:r>
            <w:r w:rsidR="002F4E67" w:rsidRPr="00150CD2">
              <w:rPr>
                <w:rFonts w:cs="Arial"/>
                <w:sz w:val="24"/>
              </w:rPr>
              <w:t>%</w:t>
            </w:r>
            <w:r w:rsidRPr="00150CD2">
              <w:rPr>
                <w:rFonts w:cs="Arial"/>
                <w:sz w:val="24"/>
              </w:rPr>
              <w:t>)</w:t>
            </w:r>
            <w:r w:rsidR="002F4E67" w:rsidRPr="00150CD2">
              <w:rPr>
                <w:rFonts w:cs="Arial"/>
                <w:sz w:val="24"/>
              </w:rPr>
              <w:t xml:space="preserve"> of MidCentral DSS young people aged 1</w:t>
            </w:r>
            <w:r w:rsidR="006A0F89" w:rsidRPr="00150CD2">
              <w:rPr>
                <w:rFonts w:cs="Arial"/>
                <w:sz w:val="24"/>
              </w:rPr>
              <w:t>5</w:t>
            </w:r>
            <w:r w:rsidR="002F4E67" w:rsidRPr="00150CD2">
              <w:rPr>
                <w:rFonts w:cs="Arial"/>
                <w:sz w:val="24"/>
              </w:rPr>
              <w:t>-2</w:t>
            </w:r>
            <w:r w:rsidR="006A0F89" w:rsidRPr="00150CD2">
              <w:rPr>
                <w:rFonts w:cs="Arial"/>
                <w:sz w:val="24"/>
              </w:rPr>
              <w:t>4</w:t>
            </w:r>
            <w:r w:rsidR="002F4E67" w:rsidRPr="00150CD2">
              <w:rPr>
                <w:rFonts w:cs="Arial"/>
                <w:sz w:val="24"/>
              </w:rPr>
              <w:t xml:space="preserve"> reported any employment income over a three year period. Most of this group reported relatively small income amounts; a smaller number (</w:t>
            </w:r>
            <w:r w:rsidR="006A0F89" w:rsidRPr="00150CD2">
              <w:rPr>
                <w:rFonts w:cs="Arial"/>
                <w:sz w:val="24"/>
              </w:rPr>
              <w:t>7</w:t>
            </w:r>
            <w:r w:rsidR="002F4E67" w:rsidRPr="00150CD2">
              <w:rPr>
                <w:rFonts w:cs="Arial"/>
                <w:sz w:val="24"/>
              </w:rPr>
              <w:t>%) reported employment income of more than $5,000 over at least one year in the period.</w:t>
            </w:r>
            <w:r w:rsidR="002F4E67" w:rsidRPr="00150CD2">
              <w:rPr>
                <w:rFonts w:cs="Arial"/>
                <w:sz w:val="24"/>
              </w:rPr>
              <w:br/>
              <w:t xml:space="preserve">Employment rates were </w:t>
            </w:r>
            <w:r w:rsidR="006A0F89" w:rsidRPr="00150CD2">
              <w:rPr>
                <w:rFonts w:cs="Arial"/>
                <w:sz w:val="24"/>
              </w:rPr>
              <w:t>lower</w:t>
            </w:r>
            <w:r w:rsidR="002F4E67" w:rsidRPr="00150CD2">
              <w:rPr>
                <w:rFonts w:cs="Arial"/>
                <w:sz w:val="24"/>
              </w:rPr>
              <w:t xml:space="preserve"> for Māori</w:t>
            </w:r>
            <w:r w:rsidR="006A0F89" w:rsidRPr="00150CD2">
              <w:rPr>
                <w:rFonts w:cs="Arial"/>
                <w:sz w:val="24"/>
              </w:rPr>
              <w:t xml:space="preserve">, women and significantly lower for young people with </w:t>
            </w:r>
            <w:r w:rsidR="00DF5F17" w:rsidRPr="00150CD2">
              <w:rPr>
                <w:rFonts w:cs="Arial"/>
                <w:sz w:val="24"/>
              </w:rPr>
              <w:t>high/very high SPA</w:t>
            </w:r>
            <w:r w:rsidR="006A0F89" w:rsidRPr="00150CD2">
              <w:rPr>
                <w:rFonts w:cs="Arial"/>
                <w:sz w:val="24"/>
              </w:rPr>
              <w:t xml:space="preserve"> levels</w:t>
            </w:r>
            <w:r w:rsidR="002F4E67" w:rsidRPr="00150CD2">
              <w:rPr>
                <w:rFonts w:cs="Arial"/>
                <w:sz w:val="24"/>
              </w:rPr>
              <w:t>.</w:t>
            </w:r>
          </w:p>
          <w:p w14:paraId="65EDC6C9" w14:textId="2BC53D46" w:rsidR="002F4E67" w:rsidRPr="00150CD2" w:rsidRDefault="002F4E67" w:rsidP="00D143A9">
            <w:pPr>
              <w:pStyle w:val="EYTablebullet1"/>
              <w:spacing w:before="0" w:after="120"/>
              <w:rPr>
                <w:rFonts w:cs="Arial"/>
                <w:sz w:val="24"/>
              </w:rPr>
            </w:pPr>
            <w:r w:rsidRPr="00150CD2">
              <w:rPr>
                <w:rFonts w:cs="Arial"/>
                <w:sz w:val="24"/>
              </w:rPr>
              <w:t>A similar proportion of DSS 1</w:t>
            </w:r>
            <w:r w:rsidR="00776BAD" w:rsidRPr="00150CD2">
              <w:rPr>
                <w:rFonts w:cs="Arial"/>
                <w:sz w:val="24"/>
              </w:rPr>
              <w:t>5</w:t>
            </w:r>
            <w:r w:rsidRPr="00150CD2">
              <w:rPr>
                <w:rFonts w:cs="Arial"/>
                <w:sz w:val="24"/>
              </w:rPr>
              <w:t>-2</w:t>
            </w:r>
            <w:r w:rsidR="00776BAD" w:rsidRPr="00150CD2">
              <w:rPr>
                <w:rFonts w:cs="Arial"/>
                <w:sz w:val="24"/>
              </w:rPr>
              <w:t>4</w:t>
            </w:r>
            <w:r w:rsidRPr="00150CD2">
              <w:rPr>
                <w:rFonts w:cs="Arial"/>
                <w:sz w:val="24"/>
              </w:rPr>
              <w:t xml:space="preserve"> year olds outside MidCentral reported any employment income, although a higher </w:t>
            </w:r>
            <w:r w:rsidR="00776BAD" w:rsidRPr="00150CD2">
              <w:rPr>
                <w:rFonts w:cs="Arial"/>
                <w:sz w:val="24"/>
              </w:rPr>
              <w:t xml:space="preserve">proportion </w:t>
            </w:r>
            <w:r w:rsidRPr="00150CD2">
              <w:rPr>
                <w:rFonts w:cs="Arial"/>
                <w:sz w:val="24"/>
              </w:rPr>
              <w:t>(1</w:t>
            </w:r>
            <w:r w:rsidR="00776BAD" w:rsidRPr="00150CD2">
              <w:rPr>
                <w:rFonts w:cs="Arial"/>
                <w:sz w:val="24"/>
              </w:rPr>
              <w:t>3</w:t>
            </w:r>
            <w:r w:rsidRPr="00150CD2">
              <w:rPr>
                <w:rFonts w:cs="Arial"/>
                <w:sz w:val="24"/>
              </w:rPr>
              <w:t>%) reported income of more than $5,000 over at least one year in the period.</w:t>
            </w:r>
          </w:p>
          <w:p w14:paraId="1F5EE4B5" w14:textId="2AA38382" w:rsidR="002F4E67" w:rsidRPr="00150CD2" w:rsidRDefault="002F4E67" w:rsidP="00D143A9">
            <w:pPr>
              <w:pStyle w:val="EYTablebullet1"/>
              <w:spacing w:before="0" w:after="120"/>
              <w:rPr>
                <w:rFonts w:cs="Arial"/>
                <w:sz w:val="24"/>
              </w:rPr>
            </w:pPr>
            <w:r w:rsidRPr="00150CD2">
              <w:rPr>
                <w:rFonts w:cs="Arial"/>
                <w:sz w:val="24"/>
              </w:rPr>
              <w:t xml:space="preserve">Employment rates in the broader </w:t>
            </w:r>
            <w:r w:rsidR="003618EB" w:rsidRPr="00150CD2">
              <w:rPr>
                <w:rFonts w:cs="Arial"/>
                <w:sz w:val="24"/>
              </w:rPr>
              <w:t xml:space="preserve">non-DSS </w:t>
            </w:r>
            <w:r w:rsidRPr="00150CD2">
              <w:rPr>
                <w:rFonts w:cs="Arial"/>
                <w:sz w:val="24"/>
              </w:rPr>
              <w:t>population were substantially higher; in MidCentral, 8</w:t>
            </w:r>
            <w:r w:rsidR="003C4BAF" w:rsidRPr="00150CD2">
              <w:rPr>
                <w:rFonts w:cs="Arial"/>
                <w:sz w:val="24"/>
              </w:rPr>
              <w:t>7</w:t>
            </w:r>
            <w:r w:rsidRPr="00150CD2">
              <w:rPr>
                <w:rFonts w:cs="Arial"/>
                <w:sz w:val="24"/>
              </w:rPr>
              <w:t>% of 1</w:t>
            </w:r>
            <w:r w:rsidR="00776BAD" w:rsidRPr="00150CD2">
              <w:rPr>
                <w:rFonts w:cs="Arial"/>
                <w:sz w:val="24"/>
              </w:rPr>
              <w:t>5</w:t>
            </w:r>
            <w:r w:rsidRPr="00150CD2">
              <w:rPr>
                <w:rFonts w:cs="Arial"/>
                <w:sz w:val="24"/>
              </w:rPr>
              <w:t>-2</w:t>
            </w:r>
            <w:r w:rsidR="00776BAD" w:rsidRPr="00150CD2">
              <w:rPr>
                <w:rFonts w:cs="Arial"/>
                <w:sz w:val="24"/>
              </w:rPr>
              <w:t>4</w:t>
            </w:r>
            <w:r w:rsidRPr="00150CD2">
              <w:rPr>
                <w:rFonts w:cs="Arial"/>
                <w:sz w:val="24"/>
              </w:rPr>
              <w:t xml:space="preserve"> year olds reported any income and </w:t>
            </w:r>
            <w:r w:rsidR="00776BAD" w:rsidRPr="00150CD2">
              <w:rPr>
                <w:rFonts w:cs="Arial"/>
                <w:sz w:val="24"/>
              </w:rPr>
              <w:t>82</w:t>
            </w:r>
            <w:r w:rsidRPr="00150CD2">
              <w:rPr>
                <w:rFonts w:cs="Arial"/>
                <w:sz w:val="24"/>
              </w:rPr>
              <w:t>% reported income of more than $5,000 over at least one year over a 3 year period.</w:t>
            </w:r>
          </w:p>
        </w:tc>
      </w:tr>
      <w:tr w:rsidR="002F4E67" w:rsidRPr="00150CD2" w14:paraId="1D865208" w14:textId="77777777" w:rsidTr="00336432">
        <w:tc>
          <w:tcPr>
            <w:tcW w:w="1323" w:type="dxa"/>
            <w:tcBorders>
              <w:top w:val="nil"/>
              <w:bottom w:val="nil"/>
            </w:tcBorders>
          </w:tcPr>
          <w:p w14:paraId="679E0E80" w14:textId="77777777" w:rsidR="002F4E67" w:rsidRPr="00150CD2" w:rsidRDefault="002F4E67" w:rsidP="00254F21">
            <w:pPr>
              <w:pStyle w:val="EYTableText"/>
              <w:rPr>
                <w:rFonts w:cs="Arial"/>
                <w:sz w:val="24"/>
              </w:rPr>
            </w:pPr>
          </w:p>
        </w:tc>
        <w:tc>
          <w:tcPr>
            <w:tcW w:w="1872" w:type="dxa"/>
          </w:tcPr>
          <w:p w14:paraId="359F2130" w14:textId="3785A926" w:rsidR="002F4E67" w:rsidRPr="00150CD2" w:rsidRDefault="002F4E67" w:rsidP="00254F21">
            <w:pPr>
              <w:pStyle w:val="EYTableText"/>
              <w:rPr>
                <w:rFonts w:cs="Arial"/>
                <w:sz w:val="24"/>
              </w:rPr>
            </w:pPr>
            <w:r w:rsidRPr="00150CD2">
              <w:rPr>
                <w:rFonts w:cs="Arial"/>
                <w:sz w:val="24"/>
              </w:rPr>
              <w:t>Driver licences</w:t>
            </w:r>
          </w:p>
        </w:tc>
        <w:tc>
          <w:tcPr>
            <w:tcW w:w="10699" w:type="dxa"/>
          </w:tcPr>
          <w:p w14:paraId="34C8FC5D" w14:textId="1CB4729B" w:rsidR="002F4E67" w:rsidRPr="00150CD2" w:rsidRDefault="00776BAD" w:rsidP="00D143A9">
            <w:pPr>
              <w:pStyle w:val="EYTablebullet1"/>
              <w:spacing w:before="0" w:after="120"/>
              <w:rPr>
                <w:rFonts w:cs="Arial"/>
                <w:sz w:val="24"/>
              </w:rPr>
            </w:pPr>
            <w:r w:rsidRPr="00150CD2">
              <w:rPr>
                <w:rFonts w:cs="Arial"/>
                <w:sz w:val="24"/>
              </w:rPr>
              <w:t xml:space="preserve">A small number (6%) </w:t>
            </w:r>
            <w:r w:rsidR="002F4E67" w:rsidRPr="00150CD2">
              <w:rPr>
                <w:rFonts w:cs="Arial"/>
                <w:sz w:val="24"/>
              </w:rPr>
              <w:t>of DSS young people aged 2</w:t>
            </w:r>
            <w:r w:rsidRPr="00150CD2">
              <w:rPr>
                <w:rFonts w:cs="Arial"/>
                <w:sz w:val="24"/>
              </w:rPr>
              <w:t>0</w:t>
            </w:r>
            <w:r w:rsidR="002F4E67" w:rsidRPr="00150CD2">
              <w:rPr>
                <w:rFonts w:cs="Arial"/>
                <w:sz w:val="24"/>
              </w:rPr>
              <w:t>-2</w:t>
            </w:r>
            <w:r w:rsidRPr="00150CD2">
              <w:rPr>
                <w:rFonts w:cs="Arial"/>
                <w:sz w:val="24"/>
              </w:rPr>
              <w:t>4</w:t>
            </w:r>
            <w:r w:rsidR="002F4E67" w:rsidRPr="00150CD2">
              <w:rPr>
                <w:rFonts w:cs="Arial"/>
                <w:sz w:val="24"/>
              </w:rPr>
              <w:t xml:space="preserve"> in MidCentral had their full driver licence at June 2018. This compares to </w:t>
            </w:r>
            <w:r w:rsidR="001D193A" w:rsidRPr="00150CD2">
              <w:rPr>
                <w:rFonts w:cs="Arial"/>
                <w:sz w:val="24"/>
              </w:rPr>
              <w:t>5</w:t>
            </w:r>
            <w:r w:rsidR="002F4E67" w:rsidRPr="00150CD2">
              <w:rPr>
                <w:rFonts w:cs="Arial"/>
                <w:sz w:val="24"/>
              </w:rPr>
              <w:t>% of similarly aged DSS young people outside MidCentral and is considerably lower than for non-DSS young people in MidCentral (</w:t>
            </w:r>
            <w:r w:rsidRPr="00150CD2">
              <w:rPr>
                <w:rFonts w:cs="Arial"/>
                <w:sz w:val="24"/>
              </w:rPr>
              <w:t>44</w:t>
            </w:r>
            <w:r w:rsidR="002F4E67" w:rsidRPr="00150CD2">
              <w:rPr>
                <w:rFonts w:cs="Arial"/>
                <w:sz w:val="24"/>
              </w:rPr>
              <w:t>% have a current full licence).</w:t>
            </w:r>
          </w:p>
        </w:tc>
      </w:tr>
      <w:tr w:rsidR="002F4E67" w:rsidRPr="00150CD2" w14:paraId="1E3EF8B0" w14:textId="77777777" w:rsidTr="00336432">
        <w:tc>
          <w:tcPr>
            <w:tcW w:w="1323" w:type="dxa"/>
            <w:tcBorders>
              <w:top w:val="nil"/>
              <w:bottom w:val="nil"/>
            </w:tcBorders>
          </w:tcPr>
          <w:p w14:paraId="07E2D345" w14:textId="77777777" w:rsidR="002F4E67" w:rsidRPr="00150CD2" w:rsidRDefault="002F4E67" w:rsidP="00254F21">
            <w:pPr>
              <w:pStyle w:val="EYTableText"/>
              <w:rPr>
                <w:rFonts w:cs="Arial"/>
                <w:sz w:val="24"/>
                <w:highlight w:val="yellow"/>
              </w:rPr>
            </w:pPr>
          </w:p>
        </w:tc>
        <w:tc>
          <w:tcPr>
            <w:tcW w:w="1872" w:type="dxa"/>
          </w:tcPr>
          <w:p w14:paraId="23CFC314" w14:textId="7A7AD042" w:rsidR="002F4E67" w:rsidRPr="00150CD2" w:rsidRDefault="009C6FAD" w:rsidP="00254F21">
            <w:pPr>
              <w:pStyle w:val="EYTableText"/>
              <w:rPr>
                <w:rFonts w:cs="Arial"/>
                <w:sz w:val="24"/>
              </w:rPr>
            </w:pPr>
            <w:r w:rsidRPr="00150CD2">
              <w:rPr>
                <w:rFonts w:cs="Arial"/>
                <w:sz w:val="24"/>
              </w:rPr>
              <w:t>Ambulatory sensitive hospitalisations</w:t>
            </w:r>
            <w:r w:rsidR="000B12E6" w:rsidRPr="00150CD2">
              <w:rPr>
                <w:rFonts w:cs="Arial"/>
                <w:sz w:val="24"/>
              </w:rPr>
              <w:t>, ED contacts and injury related hospitalisations</w:t>
            </w:r>
          </w:p>
        </w:tc>
        <w:tc>
          <w:tcPr>
            <w:tcW w:w="10699" w:type="dxa"/>
          </w:tcPr>
          <w:p w14:paraId="2D9FA9A6" w14:textId="0404CB2D" w:rsidR="002F4E67" w:rsidRPr="00150CD2" w:rsidRDefault="009C6FAD" w:rsidP="00D143A9">
            <w:pPr>
              <w:pStyle w:val="EYTablebullet1"/>
              <w:spacing w:before="0" w:after="120"/>
              <w:rPr>
                <w:rFonts w:cs="Arial"/>
                <w:sz w:val="24"/>
              </w:rPr>
            </w:pPr>
            <w:r w:rsidRPr="00150CD2">
              <w:rPr>
                <w:rFonts w:cs="Arial"/>
                <w:sz w:val="24"/>
              </w:rPr>
              <w:t xml:space="preserve">Around </w:t>
            </w:r>
            <w:r w:rsidR="00EA6930" w:rsidRPr="00150CD2">
              <w:rPr>
                <w:rFonts w:cs="Arial"/>
                <w:sz w:val="24"/>
              </w:rPr>
              <w:t>1 in 4 (</w:t>
            </w:r>
            <w:r w:rsidR="00776BAD" w:rsidRPr="00150CD2">
              <w:rPr>
                <w:rFonts w:cs="Arial"/>
                <w:sz w:val="24"/>
              </w:rPr>
              <w:t>24</w:t>
            </w:r>
            <w:r w:rsidRPr="00150CD2">
              <w:rPr>
                <w:rFonts w:cs="Arial"/>
                <w:sz w:val="24"/>
              </w:rPr>
              <w:t>%</w:t>
            </w:r>
            <w:r w:rsidR="00EA6930" w:rsidRPr="00150CD2">
              <w:rPr>
                <w:rFonts w:cs="Arial"/>
                <w:sz w:val="24"/>
              </w:rPr>
              <w:t>)</w:t>
            </w:r>
            <w:r w:rsidRPr="00150CD2">
              <w:rPr>
                <w:rFonts w:cs="Arial"/>
                <w:sz w:val="24"/>
              </w:rPr>
              <w:t xml:space="preserve"> </w:t>
            </w:r>
            <w:r w:rsidR="002F4E67" w:rsidRPr="00150CD2">
              <w:rPr>
                <w:rFonts w:cs="Arial"/>
                <w:sz w:val="24"/>
              </w:rPr>
              <w:t xml:space="preserve">of </w:t>
            </w:r>
            <w:r w:rsidRPr="00150CD2">
              <w:rPr>
                <w:rFonts w:cs="Arial"/>
                <w:sz w:val="24"/>
              </w:rPr>
              <w:t>MidCentral DSS young people had ambulatory sensitive hospitalisations</w:t>
            </w:r>
            <w:r w:rsidR="00776BAD" w:rsidRPr="00150CD2">
              <w:rPr>
                <w:rFonts w:cs="Arial"/>
                <w:sz w:val="24"/>
              </w:rPr>
              <w:t xml:space="preserve"> </w:t>
            </w:r>
            <w:r w:rsidR="006F43AB" w:rsidRPr="00150CD2">
              <w:rPr>
                <w:rFonts w:cs="Arial"/>
                <w:sz w:val="24"/>
              </w:rPr>
              <w:t>(ASH)</w:t>
            </w:r>
            <w:r w:rsidRPr="00150CD2">
              <w:rPr>
                <w:rFonts w:cs="Arial"/>
                <w:sz w:val="24"/>
              </w:rPr>
              <w:t xml:space="preserve"> over a 3 year period, around 1.</w:t>
            </w:r>
            <w:r w:rsidR="00776BAD" w:rsidRPr="00150CD2">
              <w:rPr>
                <w:rFonts w:cs="Arial"/>
                <w:sz w:val="24"/>
              </w:rPr>
              <w:t>9</w:t>
            </w:r>
            <w:r w:rsidR="00CA4326" w:rsidRPr="00150CD2">
              <w:rPr>
                <w:rFonts w:cs="Arial"/>
                <w:sz w:val="24"/>
              </w:rPr>
              <w:t xml:space="preserve"> times </w:t>
            </w:r>
            <w:r w:rsidRPr="00150CD2">
              <w:rPr>
                <w:rFonts w:cs="Arial"/>
                <w:sz w:val="24"/>
              </w:rPr>
              <w:t>more likely than for other DSS young people outside MidCentral (1</w:t>
            </w:r>
            <w:r w:rsidR="00776BAD" w:rsidRPr="00150CD2">
              <w:rPr>
                <w:rFonts w:cs="Arial"/>
                <w:sz w:val="24"/>
              </w:rPr>
              <w:t>4</w:t>
            </w:r>
            <w:r w:rsidRPr="00150CD2">
              <w:rPr>
                <w:rFonts w:cs="Arial"/>
                <w:sz w:val="24"/>
              </w:rPr>
              <w:t xml:space="preserve">%) and </w:t>
            </w:r>
            <w:r w:rsidR="00776BAD" w:rsidRPr="00150CD2">
              <w:rPr>
                <w:rFonts w:cs="Arial"/>
                <w:sz w:val="24"/>
              </w:rPr>
              <w:t>12</w:t>
            </w:r>
            <w:r w:rsidR="00CA4326" w:rsidRPr="00150CD2">
              <w:rPr>
                <w:rFonts w:cs="Arial"/>
                <w:sz w:val="24"/>
              </w:rPr>
              <w:t xml:space="preserve"> times </w:t>
            </w:r>
            <w:r w:rsidRPr="00150CD2">
              <w:rPr>
                <w:rFonts w:cs="Arial"/>
                <w:sz w:val="24"/>
              </w:rPr>
              <w:t>more likely than for non-DSS MidCentral young people (</w:t>
            </w:r>
            <w:r w:rsidR="00776BAD" w:rsidRPr="00150CD2">
              <w:rPr>
                <w:rFonts w:cs="Arial"/>
                <w:sz w:val="24"/>
              </w:rPr>
              <w:t>2</w:t>
            </w:r>
            <w:r w:rsidRPr="00150CD2">
              <w:rPr>
                <w:rFonts w:cs="Arial"/>
                <w:sz w:val="24"/>
              </w:rPr>
              <w:t>%).</w:t>
            </w:r>
            <w:r w:rsidR="002F4E67" w:rsidRPr="00150CD2">
              <w:rPr>
                <w:rFonts w:cs="Arial"/>
                <w:sz w:val="24"/>
              </w:rPr>
              <w:t xml:space="preserve"> </w:t>
            </w:r>
          </w:p>
          <w:p w14:paraId="3DD80076" w14:textId="70709D93" w:rsidR="000B12E6" w:rsidRPr="00150CD2" w:rsidRDefault="002F4E67" w:rsidP="00D143A9">
            <w:pPr>
              <w:pStyle w:val="EYTablebullet1"/>
              <w:spacing w:before="0" w:after="120"/>
              <w:rPr>
                <w:rFonts w:cs="Arial"/>
                <w:sz w:val="24"/>
              </w:rPr>
            </w:pPr>
            <w:r w:rsidRPr="00150CD2">
              <w:rPr>
                <w:rFonts w:cs="Arial"/>
                <w:sz w:val="24"/>
              </w:rPr>
              <w:t>ASH rates were higher for young people with an intellectual disability or high/very high SPA level (</w:t>
            </w:r>
            <w:r w:rsidR="00CA4326" w:rsidRPr="00150CD2">
              <w:rPr>
                <w:rFonts w:cs="Arial"/>
                <w:sz w:val="24"/>
              </w:rPr>
              <w:t xml:space="preserve">around </w:t>
            </w:r>
            <w:r w:rsidRPr="00150CD2">
              <w:rPr>
                <w:rFonts w:cs="Arial"/>
                <w:sz w:val="24"/>
              </w:rPr>
              <w:t>2-2.5</w:t>
            </w:r>
            <w:r w:rsidR="00CA4326" w:rsidRPr="00150CD2">
              <w:rPr>
                <w:rFonts w:cs="Arial"/>
                <w:sz w:val="24"/>
              </w:rPr>
              <w:t xml:space="preserve"> times </w:t>
            </w:r>
            <w:r w:rsidR="00412DDC" w:rsidRPr="00150CD2">
              <w:rPr>
                <w:rFonts w:cs="Arial"/>
                <w:sz w:val="24"/>
              </w:rPr>
              <w:t xml:space="preserve">than </w:t>
            </w:r>
            <w:r w:rsidRPr="00150CD2">
              <w:rPr>
                <w:rFonts w:cs="Arial"/>
                <w:sz w:val="24"/>
              </w:rPr>
              <w:t>of those without an intellectual disability or medium SPA level).</w:t>
            </w:r>
          </w:p>
          <w:p w14:paraId="7B3AEA64" w14:textId="1BBBE300" w:rsidR="000B12E6" w:rsidRPr="00150CD2" w:rsidRDefault="000B12E6" w:rsidP="00D143A9">
            <w:pPr>
              <w:pStyle w:val="EYTablebullet1"/>
              <w:spacing w:before="0" w:after="120"/>
              <w:rPr>
                <w:rFonts w:cs="Arial"/>
                <w:sz w:val="24"/>
              </w:rPr>
            </w:pPr>
            <w:r w:rsidRPr="00150CD2">
              <w:rPr>
                <w:rFonts w:cs="Arial"/>
                <w:sz w:val="24"/>
              </w:rPr>
              <w:t>ED contact and injury related hospitalisation rates were broadly similar to those in the DSS and MidCentral populations.</w:t>
            </w:r>
          </w:p>
        </w:tc>
      </w:tr>
      <w:tr w:rsidR="009C6FAD" w:rsidRPr="00150CD2" w14:paraId="4B33C9A9" w14:textId="77777777" w:rsidTr="00336432">
        <w:tc>
          <w:tcPr>
            <w:tcW w:w="1323" w:type="dxa"/>
            <w:tcBorders>
              <w:top w:val="nil"/>
              <w:bottom w:val="nil"/>
            </w:tcBorders>
          </w:tcPr>
          <w:p w14:paraId="713AA97C" w14:textId="77777777" w:rsidR="009C6FAD" w:rsidRPr="00150CD2" w:rsidRDefault="009C6FAD" w:rsidP="00254F21">
            <w:pPr>
              <w:pStyle w:val="EYTableText"/>
              <w:rPr>
                <w:rFonts w:cs="Arial"/>
                <w:sz w:val="24"/>
                <w:highlight w:val="yellow"/>
              </w:rPr>
            </w:pPr>
          </w:p>
        </w:tc>
        <w:tc>
          <w:tcPr>
            <w:tcW w:w="1872" w:type="dxa"/>
          </w:tcPr>
          <w:p w14:paraId="7284F719" w14:textId="7E259738" w:rsidR="009C6FAD" w:rsidRPr="00150CD2" w:rsidRDefault="009C6FAD" w:rsidP="00254F21">
            <w:pPr>
              <w:pStyle w:val="EYTableText"/>
              <w:rPr>
                <w:rFonts w:cs="Arial"/>
                <w:sz w:val="24"/>
              </w:rPr>
            </w:pPr>
            <w:r w:rsidRPr="00150CD2">
              <w:rPr>
                <w:rFonts w:cs="Arial"/>
                <w:sz w:val="24"/>
              </w:rPr>
              <w:t xml:space="preserve">Mental health </w:t>
            </w:r>
            <w:r w:rsidR="002931C6" w:rsidRPr="00150CD2">
              <w:rPr>
                <w:rFonts w:cs="Arial"/>
                <w:sz w:val="24"/>
              </w:rPr>
              <w:t xml:space="preserve">service contact and </w:t>
            </w:r>
            <w:r w:rsidRPr="00150CD2">
              <w:rPr>
                <w:rFonts w:cs="Arial"/>
                <w:sz w:val="24"/>
              </w:rPr>
              <w:t>treatment</w:t>
            </w:r>
          </w:p>
        </w:tc>
        <w:tc>
          <w:tcPr>
            <w:tcW w:w="10699" w:type="dxa"/>
          </w:tcPr>
          <w:p w14:paraId="33985D6E" w14:textId="2B46BE2D" w:rsidR="002931C6" w:rsidRPr="00150CD2" w:rsidRDefault="002931C6" w:rsidP="00D143A9">
            <w:pPr>
              <w:pStyle w:val="EYTablebullet1"/>
              <w:spacing w:before="0" w:after="120"/>
              <w:rPr>
                <w:rFonts w:cs="Arial"/>
                <w:sz w:val="24"/>
              </w:rPr>
            </w:pPr>
            <w:r w:rsidRPr="00150CD2">
              <w:rPr>
                <w:rFonts w:cs="Arial"/>
                <w:sz w:val="24"/>
              </w:rPr>
              <w:t xml:space="preserve">Just under 1 in 3 </w:t>
            </w:r>
            <w:r w:rsidR="00D647E8" w:rsidRPr="00150CD2">
              <w:rPr>
                <w:rFonts w:cs="Arial"/>
                <w:sz w:val="24"/>
              </w:rPr>
              <w:t>MC DSS</w:t>
            </w:r>
            <w:r w:rsidR="009734A2" w:rsidRPr="00150CD2">
              <w:rPr>
                <w:rFonts w:cs="Arial"/>
                <w:sz w:val="24"/>
              </w:rPr>
              <w:t xml:space="preserve"> </w:t>
            </w:r>
            <w:r w:rsidRPr="00150CD2">
              <w:rPr>
                <w:rFonts w:cs="Arial"/>
                <w:sz w:val="24"/>
              </w:rPr>
              <w:t xml:space="preserve">young people (28%) had contact with mental health services from community providers or hospitals over the three year period. </w:t>
            </w:r>
            <w:r w:rsidR="00284B33" w:rsidRPr="00150CD2">
              <w:rPr>
                <w:rFonts w:cs="Arial"/>
                <w:sz w:val="24"/>
              </w:rPr>
              <w:t xml:space="preserve">Mental health service </w:t>
            </w:r>
            <w:r w:rsidRPr="00150CD2">
              <w:rPr>
                <w:rFonts w:cs="Arial"/>
                <w:sz w:val="24"/>
              </w:rPr>
              <w:t xml:space="preserve">contact </w:t>
            </w:r>
            <w:r w:rsidR="009E4F58" w:rsidRPr="00150CD2">
              <w:rPr>
                <w:rFonts w:cs="Arial"/>
                <w:sz w:val="24"/>
              </w:rPr>
              <w:t xml:space="preserve">rates </w:t>
            </w:r>
            <w:r w:rsidRPr="00150CD2">
              <w:rPr>
                <w:rFonts w:cs="Arial"/>
                <w:sz w:val="24"/>
              </w:rPr>
              <w:t xml:space="preserve">are similar to those of other DSS young people outside MidCentral (30%). </w:t>
            </w:r>
            <w:r w:rsidR="00B109E3" w:rsidRPr="00150CD2">
              <w:rPr>
                <w:rFonts w:cs="Arial"/>
                <w:sz w:val="24"/>
              </w:rPr>
              <w:t>Mental health service provider contact for non-DSS young people in MidCentral is less frequent</w:t>
            </w:r>
            <w:r w:rsidR="00D647E8" w:rsidRPr="00150CD2">
              <w:rPr>
                <w:rFonts w:cs="Arial"/>
                <w:sz w:val="24"/>
              </w:rPr>
              <w:t xml:space="preserve"> </w:t>
            </w:r>
            <w:r w:rsidR="00B109E3" w:rsidRPr="00150CD2">
              <w:rPr>
                <w:rFonts w:cs="Arial"/>
                <w:sz w:val="24"/>
              </w:rPr>
              <w:t>with 10% having at least 1 contact over the same three year period.</w:t>
            </w:r>
            <w:r w:rsidR="00B109E3" w:rsidRPr="00150CD2" w:rsidDel="00B109E3">
              <w:rPr>
                <w:rFonts w:cs="Arial"/>
                <w:sz w:val="24"/>
              </w:rPr>
              <w:t xml:space="preserve"> </w:t>
            </w:r>
            <w:r w:rsidRPr="00150CD2">
              <w:rPr>
                <w:rFonts w:cs="Arial"/>
                <w:sz w:val="24"/>
              </w:rPr>
              <w:br/>
              <w:t xml:space="preserve">Note that this includes some </w:t>
            </w:r>
            <w:r w:rsidR="001C6F74" w:rsidRPr="00150CD2">
              <w:rPr>
                <w:rFonts w:cs="Arial"/>
                <w:sz w:val="24"/>
              </w:rPr>
              <w:t>disability-specific health services</w:t>
            </w:r>
            <w:r w:rsidRPr="00150CD2">
              <w:rPr>
                <w:rFonts w:cs="Arial"/>
                <w:sz w:val="24"/>
              </w:rPr>
              <w:t xml:space="preserve"> as well as other mental health services, as the data does not explicitly identify which contacts </w:t>
            </w:r>
            <w:r w:rsidR="001C6F74" w:rsidRPr="00150CD2">
              <w:rPr>
                <w:rFonts w:cs="Arial"/>
                <w:sz w:val="24"/>
              </w:rPr>
              <w:t>are specifically related to disability</w:t>
            </w:r>
            <w:r w:rsidRPr="00150CD2">
              <w:rPr>
                <w:rFonts w:cs="Arial"/>
                <w:sz w:val="24"/>
              </w:rPr>
              <w:t xml:space="preserve">. The exception is Intellectual Disability teams which has been excluded from the above figures. </w:t>
            </w:r>
          </w:p>
          <w:p w14:paraId="406D3DD2" w14:textId="77777777" w:rsidR="00EA6930" w:rsidRPr="00150CD2" w:rsidRDefault="002931C6" w:rsidP="00D143A9">
            <w:pPr>
              <w:pStyle w:val="EYTablebullet1"/>
              <w:spacing w:before="0" w:after="120"/>
              <w:rPr>
                <w:rFonts w:cs="Arial"/>
                <w:sz w:val="24"/>
              </w:rPr>
            </w:pPr>
            <w:r w:rsidRPr="00150CD2">
              <w:rPr>
                <w:rFonts w:cs="Arial"/>
                <w:sz w:val="24"/>
              </w:rPr>
              <w:t xml:space="preserve">Within the MidCentral DSS 15-24 year old group, service contact rates were broadly similar across Māori / non-Māori and by gender, disability type and SPA level. </w:t>
            </w:r>
          </w:p>
          <w:p w14:paraId="7208806D" w14:textId="314A5C36" w:rsidR="009C6FAD" w:rsidRPr="00150CD2" w:rsidRDefault="00EA6930" w:rsidP="001C6F74">
            <w:pPr>
              <w:pStyle w:val="EYTablebullet1"/>
              <w:spacing w:before="0" w:after="120"/>
              <w:rPr>
                <w:rFonts w:cs="Arial"/>
                <w:sz w:val="24"/>
              </w:rPr>
            </w:pPr>
            <w:r w:rsidRPr="00150CD2">
              <w:rPr>
                <w:rFonts w:cs="Arial"/>
                <w:sz w:val="24"/>
              </w:rPr>
              <w:t xml:space="preserve">A higher proportion of young people with ASD and </w:t>
            </w:r>
            <w:r w:rsidR="00DF5F17" w:rsidRPr="00150CD2">
              <w:rPr>
                <w:rFonts w:cs="Arial"/>
                <w:sz w:val="24"/>
              </w:rPr>
              <w:t>high/very high SPA</w:t>
            </w:r>
            <w:r w:rsidRPr="00150CD2">
              <w:rPr>
                <w:rFonts w:cs="Arial"/>
                <w:sz w:val="24"/>
              </w:rPr>
              <w:t xml:space="preserve"> levels had m</w:t>
            </w:r>
            <w:r w:rsidR="002931C6" w:rsidRPr="00150CD2">
              <w:rPr>
                <w:rFonts w:cs="Arial"/>
                <w:sz w:val="24"/>
              </w:rPr>
              <w:t>ental health related pharmaceutical</w:t>
            </w:r>
            <w:r w:rsidRPr="00150CD2">
              <w:rPr>
                <w:rFonts w:cs="Arial"/>
                <w:sz w:val="24"/>
              </w:rPr>
              <w:t xml:space="preserve"> treatment over the period (46% and 43% respectively, compared with 38% of young people with intellectual disability and 28% of those with low/medium SPA levels).</w:t>
            </w:r>
          </w:p>
        </w:tc>
      </w:tr>
      <w:tr w:rsidR="001C6F74" w:rsidRPr="00150CD2" w14:paraId="53FEB529" w14:textId="77777777" w:rsidTr="00336432">
        <w:tc>
          <w:tcPr>
            <w:tcW w:w="1323" w:type="dxa"/>
            <w:tcBorders>
              <w:top w:val="nil"/>
              <w:bottom w:val="nil"/>
            </w:tcBorders>
          </w:tcPr>
          <w:p w14:paraId="690067B0" w14:textId="77777777" w:rsidR="001C6F74" w:rsidRPr="00150CD2" w:rsidRDefault="001C6F74" w:rsidP="00254F21">
            <w:pPr>
              <w:pStyle w:val="EYTableText"/>
              <w:rPr>
                <w:rFonts w:cs="Arial"/>
                <w:sz w:val="24"/>
                <w:highlight w:val="yellow"/>
              </w:rPr>
            </w:pPr>
          </w:p>
        </w:tc>
        <w:tc>
          <w:tcPr>
            <w:tcW w:w="1872" w:type="dxa"/>
          </w:tcPr>
          <w:p w14:paraId="4F96B483" w14:textId="5EAAEBE8" w:rsidR="001C6F74" w:rsidRPr="00150CD2" w:rsidRDefault="001C6F74" w:rsidP="00254F21">
            <w:pPr>
              <w:pStyle w:val="EYTableText"/>
              <w:rPr>
                <w:rFonts w:cs="Arial"/>
                <w:sz w:val="24"/>
              </w:rPr>
            </w:pPr>
            <w:r w:rsidRPr="00150CD2">
              <w:rPr>
                <w:rFonts w:cs="Arial"/>
                <w:sz w:val="24"/>
              </w:rPr>
              <w:t>Pharmaceuticals</w:t>
            </w:r>
          </w:p>
        </w:tc>
        <w:tc>
          <w:tcPr>
            <w:tcW w:w="10699" w:type="dxa"/>
          </w:tcPr>
          <w:p w14:paraId="6397DCCE" w14:textId="70CED8F6" w:rsidR="001C6F74" w:rsidRPr="00150CD2" w:rsidRDefault="001C6F74" w:rsidP="00D143A9">
            <w:pPr>
              <w:pStyle w:val="EYTablebullet1"/>
              <w:spacing w:before="0" w:after="120"/>
              <w:rPr>
                <w:rFonts w:cs="Arial"/>
                <w:sz w:val="24"/>
              </w:rPr>
            </w:pPr>
            <w:r w:rsidRPr="00150CD2">
              <w:rPr>
                <w:rFonts w:cs="Arial"/>
                <w:sz w:val="24"/>
              </w:rPr>
              <w:t xml:space="preserve">DSS young people received treatment from a wider range of pharmaceutical types than other young people, with an average of 4.6 pharmaceutical products </w:t>
            </w:r>
            <w:r w:rsidR="00B3056C" w:rsidRPr="00150CD2">
              <w:rPr>
                <w:rFonts w:cs="Arial"/>
                <w:sz w:val="24"/>
              </w:rPr>
              <w:t>dispensed</w:t>
            </w:r>
            <w:r w:rsidRPr="00150CD2">
              <w:rPr>
                <w:rFonts w:cs="Arial"/>
                <w:sz w:val="24"/>
              </w:rPr>
              <w:t xml:space="preserve"> compared with 2.7 for non-DSS young people over the year to 30 June 2017.</w:t>
            </w:r>
          </w:p>
        </w:tc>
      </w:tr>
      <w:tr w:rsidR="002F4E67" w:rsidRPr="00150CD2" w14:paraId="5B698ADC" w14:textId="77777777" w:rsidTr="00336432">
        <w:tc>
          <w:tcPr>
            <w:tcW w:w="1323" w:type="dxa"/>
            <w:tcBorders>
              <w:top w:val="nil"/>
              <w:bottom w:val="nil"/>
            </w:tcBorders>
          </w:tcPr>
          <w:p w14:paraId="059289F6" w14:textId="77777777" w:rsidR="002F4E67" w:rsidRPr="00150CD2" w:rsidRDefault="002F4E67" w:rsidP="00254F21">
            <w:pPr>
              <w:pStyle w:val="EYTableText"/>
              <w:rPr>
                <w:rFonts w:cs="Arial"/>
                <w:sz w:val="24"/>
                <w:highlight w:val="yellow"/>
              </w:rPr>
            </w:pPr>
          </w:p>
        </w:tc>
        <w:tc>
          <w:tcPr>
            <w:tcW w:w="1872" w:type="dxa"/>
          </w:tcPr>
          <w:p w14:paraId="61C35D1C" w14:textId="2961DF71" w:rsidR="002F4E67" w:rsidRPr="00150CD2" w:rsidRDefault="002F4E67" w:rsidP="00254F21">
            <w:pPr>
              <w:pStyle w:val="EYTableText"/>
              <w:rPr>
                <w:rFonts w:cs="Arial"/>
                <w:sz w:val="24"/>
              </w:rPr>
            </w:pPr>
            <w:r w:rsidRPr="00150CD2">
              <w:rPr>
                <w:rFonts w:cs="Arial"/>
                <w:sz w:val="24"/>
              </w:rPr>
              <w:t>Offences</w:t>
            </w:r>
          </w:p>
        </w:tc>
        <w:tc>
          <w:tcPr>
            <w:tcW w:w="10699" w:type="dxa"/>
          </w:tcPr>
          <w:p w14:paraId="6D4453C6" w14:textId="68CA2898" w:rsidR="002F4E67" w:rsidRPr="00150CD2" w:rsidRDefault="002F4E67" w:rsidP="00D143A9">
            <w:pPr>
              <w:pStyle w:val="EYTablebullet1"/>
              <w:spacing w:before="0" w:after="120"/>
              <w:rPr>
                <w:rFonts w:cs="Arial"/>
                <w:sz w:val="24"/>
              </w:rPr>
            </w:pPr>
            <w:r w:rsidRPr="00150CD2">
              <w:rPr>
                <w:rFonts w:cs="Arial"/>
                <w:sz w:val="24"/>
              </w:rPr>
              <w:t xml:space="preserve">Around </w:t>
            </w:r>
            <w:r w:rsidR="003635C4" w:rsidRPr="00150CD2">
              <w:rPr>
                <w:rFonts w:cs="Arial"/>
                <w:sz w:val="24"/>
              </w:rPr>
              <w:t>10</w:t>
            </w:r>
            <w:r w:rsidRPr="00150CD2">
              <w:rPr>
                <w:rFonts w:cs="Arial"/>
                <w:sz w:val="24"/>
              </w:rPr>
              <w:t>% of 1</w:t>
            </w:r>
            <w:r w:rsidR="003635C4" w:rsidRPr="00150CD2">
              <w:rPr>
                <w:rFonts w:cs="Arial"/>
                <w:sz w:val="24"/>
              </w:rPr>
              <w:t>5</w:t>
            </w:r>
            <w:r w:rsidRPr="00150CD2">
              <w:rPr>
                <w:rFonts w:cs="Arial"/>
                <w:sz w:val="24"/>
              </w:rPr>
              <w:t>-2</w:t>
            </w:r>
            <w:r w:rsidR="003635C4" w:rsidRPr="00150CD2">
              <w:rPr>
                <w:rFonts w:cs="Arial"/>
                <w:sz w:val="24"/>
              </w:rPr>
              <w:t>4</w:t>
            </w:r>
            <w:r w:rsidRPr="00150CD2">
              <w:rPr>
                <w:rFonts w:cs="Arial"/>
                <w:sz w:val="24"/>
              </w:rPr>
              <w:t xml:space="preserve"> year old MidCentral DSS young people were involved in Police recorded offences over a 3 year period, mostly low</w:t>
            </w:r>
            <w:r w:rsidR="00302B8D" w:rsidRPr="00150CD2">
              <w:rPr>
                <w:rFonts w:cs="Arial"/>
                <w:sz w:val="24"/>
              </w:rPr>
              <w:t>-</w:t>
            </w:r>
            <w:r w:rsidRPr="00150CD2">
              <w:rPr>
                <w:rFonts w:cs="Arial"/>
                <w:sz w:val="24"/>
              </w:rPr>
              <w:t>seriousness offending</w:t>
            </w:r>
            <w:r w:rsidR="008C7B3C" w:rsidRPr="00150CD2">
              <w:rPr>
                <w:rStyle w:val="FootnoteReference"/>
                <w:rFonts w:ascii="Arial" w:hAnsi="Arial" w:cs="Arial"/>
              </w:rPr>
              <w:footnoteReference w:id="31"/>
            </w:r>
            <w:r w:rsidRPr="00150CD2">
              <w:rPr>
                <w:rFonts w:cs="Arial"/>
                <w:sz w:val="24"/>
              </w:rPr>
              <w:t xml:space="preserve">. In contrast to under 15s, offending rates were similar to other DSS and non-DSS MidCentral young people. </w:t>
            </w:r>
          </w:p>
          <w:p w14:paraId="1ED7E499" w14:textId="6E72363A" w:rsidR="002F4E67" w:rsidRPr="00150CD2" w:rsidRDefault="002F4E67" w:rsidP="00D143A9">
            <w:pPr>
              <w:pStyle w:val="EYTablebullet1"/>
              <w:spacing w:before="0" w:after="120"/>
              <w:rPr>
                <w:rFonts w:cs="Arial"/>
                <w:sz w:val="24"/>
              </w:rPr>
            </w:pPr>
            <w:r w:rsidRPr="00150CD2">
              <w:rPr>
                <w:rFonts w:cs="Arial"/>
                <w:sz w:val="24"/>
              </w:rPr>
              <w:t xml:space="preserve">Offending rates </w:t>
            </w:r>
            <w:r w:rsidR="009C6FAD" w:rsidRPr="00150CD2">
              <w:rPr>
                <w:rFonts w:cs="Arial"/>
                <w:sz w:val="24"/>
              </w:rPr>
              <w:t xml:space="preserve">were </w:t>
            </w:r>
            <w:r w:rsidRPr="00150CD2">
              <w:rPr>
                <w:rFonts w:cs="Arial"/>
                <w:sz w:val="24"/>
              </w:rPr>
              <w:t>2-3</w:t>
            </w:r>
            <w:r w:rsidR="00CA4326" w:rsidRPr="00150CD2">
              <w:rPr>
                <w:rFonts w:cs="Arial"/>
                <w:sz w:val="24"/>
              </w:rPr>
              <w:t xml:space="preserve"> times </w:t>
            </w:r>
            <w:r w:rsidRPr="00150CD2">
              <w:rPr>
                <w:rFonts w:cs="Arial"/>
                <w:sz w:val="24"/>
              </w:rPr>
              <w:t xml:space="preserve">higher for </w:t>
            </w:r>
            <w:r w:rsidR="009C6FAD" w:rsidRPr="00150CD2">
              <w:rPr>
                <w:rFonts w:cs="Arial"/>
                <w:sz w:val="24"/>
              </w:rPr>
              <w:t xml:space="preserve">young men, </w:t>
            </w:r>
            <w:r w:rsidRPr="00150CD2">
              <w:rPr>
                <w:rFonts w:cs="Arial"/>
                <w:sz w:val="24"/>
              </w:rPr>
              <w:t xml:space="preserve">Māori </w:t>
            </w:r>
            <w:r w:rsidR="009C6FAD" w:rsidRPr="00150CD2">
              <w:rPr>
                <w:rFonts w:cs="Arial"/>
                <w:sz w:val="24"/>
              </w:rPr>
              <w:t>young people</w:t>
            </w:r>
            <w:r w:rsidR="003635C4" w:rsidRPr="00150CD2">
              <w:rPr>
                <w:rFonts w:cs="Arial"/>
                <w:sz w:val="24"/>
              </w:rPr>
              <w:t>,</w:t>
            </w:r>
            <w:r w:rsidR="009C6FAD" w:rsidRPr="00150CD2">
              <w:rPr>
                <w:rFonts w:cs="Arial"/>
                <w:sz w:val="24"/>
              </w:rPr>
              <w:t xml:space="preserve"> those with intellectual disability</w:t>
            </w:r>
            <w:r w:rsidR="003635C4" w:rsidRPr="00150CD2">
              <w:rPr>
                <w:rFonts w:cs="Arial"/>
                <w:sz w:val="24"/>
              </w:rPr>
              <w:t xml:space="preserve"> and low/medium SPA levels.</w:t>
            </w:r>
          </w:p>
        </w:tc>
      </w:tr>
      <w:tr w:rsidR="002F4E67" w:rsidRPr="00150CD2" w14:paraId="643542B8" w14:textId="77777777" w:rsidTr="00336432">
        <w:tc>
          <w:tcPr>
            <w:tcW w:w="1323" w:type="dxa"/>
            <w:tcBorders>
              <w:top w:val="nil"/>
              <w:bottom w:val="single" w:sz="4" w:space="0" w:color="auto"/>
            </w:tcBorders>
          </w:tcPr>
          <w:p w14:paraId="6EB288DA" w14:textId="77777777" w:rsidR="002F4E67" w:rsidRPr="00150CD2" w:rsidRDefault="002F4E67" w:rsidP="00254F21">
            <w:pPr>
              <w:pStyle w:val="EYTableText"/>
              <w:rPr>
                <w:rFonts w:cs="Arial"/>
                <w:sz w:val="24"/>
                <w:highlight w:val="yellow"/>
              </w:rPr>
            </w:pPr>
          </w:p>
        </w:tc>
        <w:tc>
          <w:tcPr>
            <w:tcW w:w="1872" w:type="dxa"/>
          </w:tcPr>
          <w:p w14:paraId="5238F760" w14:textId="6FA57FC5" w:rsidR="002F4E67" w:rsidRPr="00150CD2" w:rsidRDefault="002F4E67" w:rsidP="00254F21">
            <w:pPr>
              <w:pStyle w:val="EYTableText"/>
              <w:rPr>
                <w:rFonts w:cs="Arial"/>
                <w:sz w:val="24"/>
              </w:rPr>
            </w:pPr>
            <w:r w:rsidRPr="00150CD2">
              <w:rPr>
                <w:rFonts w:cs="Arial"/>
                <w:sz w:val="24"/>
              </w:rPr>
              <w:t>Safety – victimisation</w:t>
            </w:r>
          </w:p>
        </w:tc>
        <w:tc>
          <w:tcPr>
            <w:tcW w:w="10699" w:type="dxa"/>
          </w:tcPr>
          <w:p w14:paraId="6E76F22B" w14:textId="4DB900B2" w:rsidR="002F4E67" w:rsidRPr="00150CD2" w:rsidRDefault="002F4E67" w:rsidP="00D143A9">
            <w:pPr>
              <w:pStyle w:val="EYTablebullet1"/>
              <w:spacing w:before="0" w:after="120"/>
              <w:rPr>
                <w:rFonts w:cs="Arial"/>
                <w:sz w:val="24"/>
              </w:rPr>
            </w:pPr>
            <w:r w:rsidRPr="00150CD2">
              <w:rPr>
                <w:rFonts w:cs="Arial"/>
                <w:sz w:val="24"/>
              </w:rPr>
              <w:t>1</w:t>
            </w:r>
            <w:r w:rsidR="003635C4" w:rsidRPr="00150CD2">
              <w:rPr>
                <w:rFonts w:cs="Arial"/>
                <w:sz w:val="24"/>
              </w:rPr>
              <w:t>2</w:t>
            </w:r>
            <w:r w:rsidRPr="00150CD2">
              <w:rPr>
                <w:rFonts w:cs="Arial"/>
                <w:sz w:val="24"/>
              </w:rPr>
              <w:t xml:space="preserve">% of MidCentral DSS young people were recorded by Police as </w:t>
            </w:r>
            <w:r w:rsidR="00212776" w:rsidRPr="00150CD2">
              <w:rPr>
                <w:rFonts w:cs="Arial"/>
                <w:sz w:val="24"/>
              </w:rPr>
              <w:t>being a victim of crime</w:t>
            </w:r>
            <w:r w:rsidRPr="00150CD2">
              <w:rPr>
                <w:rFonts w:cs="Arial"/>
                <w:sz w:val="24"/>
              </w:rPr>
              <w:t xml:space="preserve"> over the</w:t>
            </w:r>
            <w:r w:rsidR="003635C4" w:rsidRPr="00150CD2">
              <w:rPr>
                <w:rFonts w:cs="Arial"/>
                <w:sz w:val="24"/>
              </w:rPr>
              <w:t xml:space="preserve"> 3 year period</w:t>
            </w:r>
            <w:r w:rsidRPr="00150CD2">
              <w:rPr>
                <w:rFonts w:cs="Arial"/>
                <w:sz w:val="24"/>
              </w:rPr>
              <w:t>. This rate was similar to other MidCentral young people and DSS young people in other areas.</w:t>
            </w:r>
          </w:p>
        </w:tc>
      </w:tr>
      <w:tr w:rsidR="002F4E67" w:rsidRPr="00150CD2" w14:paraId="587EF410" w14:textId="77777777" w:rsidTr="00336432">
        <w:tc>
          <w:tcPr>
            <w:tcW w:w="1323" w:type="dxa"/>
            <w:tcBorders>
              <w:bottom w:val="nil"/>
            </w:tcBorders>
          </w:tcPr>
          <w:p w14:paraId="33841A76" w14:textId="13558D53" w:rsidR="002F4E67" w:rsidRPr="00150CD2" w:rsidRDefault="002F4E67" w:rsidP="00E14313">
            <w:pPr>
              <w:pStyle w:val="EYTableText"/>
              <w:rPr>
                <w:rFonts w:cs="Arial"/>
                <w:sz w:val="24"/>
              </w:rPr>
            </w:pPr>
            <w:r w:rsidRPr="00150CD2">
              <w:rPr>
                <w:rFonts w:cs="Arial"/>
                <w:sz w:val="24"/>
              </w:rPr>
              <w:t>Family / whānau and household</w:t>
            </w:r>
          </w:p>
        </w:tc>
        <w:tc>
          <w:tcPr>
            <w:tcW w:w="1872" w:type="dxa"/>
          </w:tcPr>
          <w:p w14:paraId="6DF7F695" w14:textId="2F9904DA" w:rsidR="002F4E67" w:rsidRPr="00150CD2" w:rsidRDefault="002F4E67" w:rsidP="00E14313">
            <w:pPr>
              <w:pStyle w:val="EYTableText"/>
              <w:rPr>
                <w:rFonts w:cs="Arial"/>
                <w:sz w:val="24"/>
              </w:rPr>
            </w:pPr>
            <w:r w:rsidRPr="00150CD2">
              <w:rPr>
                <w:rFonts w:cs="Arial"/>
                <w:sz w:val="24"/>
              </w:rPr>
              <w:t>Family units</w:t>
            </w:r>
            <w:r w:rsidR="00161131" w:rsidRPr="00150CD2">
              <w:rPr>
                <w:rFonts w:cs="Arial"/>
                <w:sz w:val="24"/>
              </w:rPr>
              <w:t xml:space="preserve">, </w:t>
            </w:r>
            <w:r w:rsidRPr="00150CD2">
              <w:rPr>
                <w:rFonts w:cs="Arial"/>
                <w:sz w:val="24"/>
              </w:rPr>
              <w:t>parental employment</w:t>
            </w:r>
            <w:r w:rsidR="00161131" w:rsidRPr="00150CD2">
              <w:rPr>
                <w:rFonts w:cs="Arial"/>
                <w:sz w:val="24"/>
              </w:rPr>
              <w:t xml:space="preserve"> and relationships</w:t>
            </w:r>
          </w:p>
        </w:tc>
        <w:tc>
          <w:tcPr>
            <w:tcW w:w="10699" w:type="dxa"/>
          </w:tcPr>
          <w:p w14:paraId="30981B75" w14:textId="5317C256" w:rsidR="00DB314F" w:rsidRPr="00150CD2" w:rsidRDefault="00DB314F" w:rsidP="00DB314F">
            <w:pPr>
              <w:pStyle w:val="EYTableText"/>
              <w:spacing w:before="0" w:after="120"/>
              <w:rPr>
                <w:rFonts w:cs="Arial"/>
                <w:i/>
                <w:iCs/>
                <w:sz w:val="24"/>
              </w:rPr>
            </w:pPr>
            <w:r w:rsidRPr="00150CD2">
              <w:rPr>
                <w:rFonts w:cs="Arial"/>
                <w:i/>
                <w:iCs/>
                <w:sz w:val="24"/>
              </w:rPr>
              <w:t xml:space="preserve">The following observations around family units should be treated as estimates and care taken in interpretation, due to limitations around the coverage of relationship records in administrative data. Refer to </w:t>
            </w:r>
            <w:r w:rsidRPr="00150CD2">
              <w:rPr>
                <w:rFonts w:cs="Arial"/>
                <w:i/>
                <w:iCs/>
                <w:sz w:val="24"/>
              </w:rPr>
              <w:fldChar w:fldCharType="begin"/>
            </w:r>
            <w:r w:rsidRPr="00150CD2">
              <w:rPr>
                <w:rFonts w:cs="Arial"/>
                <w:i/>
                <w:iCs/>
                <w:sz w:val="24"/>
              </w:rPr>
              <w:instrText xml:space="preserve"> REF _Ref44353599 \r \h  \* MERGEFORMAT </w:instrText>
            </w:r>
            <w:r w:rsidRPr="00150CD2">
              <w:rPr>
                <w:rFonts w:cs="Arial"/>
                <w:i/>
                <w:iCs/>
                <w:sz w:val="24"/>
              </w:rPr>
            </w:r>
            <w:r w:rsidRPr="00150CD2">
              <w:rPr>
                <w:rFonts w:cs="Arial"/>
                <w:i/>
                <w:iCs/>
                <w:sz w:val="24"/>
              </w:rPr>
              <w:fldChar w:fldCharType="separate"/>
            </w:r>
            <w:r w:rsidR="00053D9A" w:rsidRPr="00150CD2">
              <w:rPr>
                <w:rFonts w:cs="Arial"/>
                <w:i/>
                <w:iCs/>
                <w:sz w:val="24"/>
              </w:rPr>
              <w:t>Appendix D</w:t>
            </w:r>
            <w:r w:rsidRPr="00150CD2">
              <w:rPr>
                <w:rFonts w:cs="Arial"/>
                <w:i/>
                <w:iCs/>
                <w:sz w:val="24"/>
              </w:rPr>
              <w:fldChar w:fldCharType="end"/>
            </w:r>
            <w:r w:rsidRPr="00150CD2">
              <w:rPr>
                <w:rFonts w:cs="Arial"/>
                <w:i/>
                <w:iCs/>
                <w:sz w:val="24"/>
              </w:rPr>
              <w:t xml:space="preserve"> for further information.</w:t>
            </w:r>
          </w:p>
          <w:p w14:paraId="4E2DEBF6" w14:textId="2D9DE0D8" w:rsidR="002F4E67" w:rsidRPr="00150CD2" w:rsidRDefault="005B5CC5" w:rsidP="00D143A9">
            <w:pPr>
              <w:pStyle w:val="EYTableText"/>
              <w:spacing w:before="0" w:after="120"/>
              <w:rPr>
                <w:rFonts w:cs="Arial"/>
                <w:sz w:val="24"/>
              </w:rPr>
            </w:pPr>
            <w:r w:rsidRPr="00150CD2">
              <w:rPr>
                <w:rFonts w:cs="Arial"/>
                <w:sz w:val="24"/>
              </w:rPr>
              <w:t>MidCentral DSS y</w:t>
            </w:r>
            <w:r w:rsidR="002F4E67" w:rsidRPr="00150CD2">
              <w:rPr>
                <w:rFonts w:cs="Arial"/>
                <w:sz w:val="24"/>
              </w:rPr>
              <w:t>oung people for whom we have information on parent links (ages 1</w:t>
            </w:r>
            <w:r w:rsidR="00CD34CF" w:rsidRPr="00150CD2">
              <w:rPr>
                <w:rFonts w:cs="Arial"/>
                <w:sz w:val="24"/>
              </w:rPr>
              <w:t>5</w:t>
            </w:r>
            <w:r w:rsidR="002F4E67" w:rsidRPr="00150CD2">
              <w:rPr>
                <w:rFonts w:cs="Arial"/>
                <w:sz w:val="24"/>
              </w:rPr>
              <w:t xml:space="preserve">-17) had similar household profiles to that of </w:t>
            </w:r>
            <w:r w:rsidRPr="00150CD2">
              <w:rPr>
                <w:rFonts w:cs="Arial"/>
                <w:sz w:val="24"/>
              </w:rPr>
              <w:t>younger</w:t>
            </w:r>
            <w:r w:rsidR="002F4E67" w:rsidRPr="00150CD2">
              <w:rPr>
                <w:rFonts w:cs="Arial"/>
                <w:sz w:val="24"/>
              </w:rPr>
              <w:t xml:space="preserve"> </w:t>
            </w:r>
            <w:r w:rsidR="00A837F1" w:rsidRPr="00150CD2">
              <w:rPr>
                <w:rFonts w:cs="Arial"/>
                <w:sz w:val="24"/>
              </w:rPr>
              <w:t xml:space="preserve">MidCentral DSS </w:t>
            </w:r>
            <w:r w:rsidR="002F4E67" w:rsidRPr="00150CD2">
              <w:rPr>
                <w:rFonts w:cs="Arial"/>
                <w:sz w:val="24"/>
              </w:rPr>
              <w:t xml:space="preserve">children: </w:t>
            </w:r>
          </w:p>
          <w:p w14:paraId="52C223EB" w14:textId="1F26063E" w:rsidR="002F4E67" w:rsidRPr="00150CD2" w:rsidRDefault="00CD34CF" w:rsidP="00D143A9">
            <w:pPr>
              <w:pStyle w:val="EYTablebullet1"/>
              <w:spacing w:before="0" w:after="120"/>
              <w:rPr>
                <w:rFonts w:cs="Arial"/>
                <w:sz w:val="24"/>
              </w:rPr>
            </w:pPr>
            <w:r w:rsidRPr="00150CD2">
              <w:rPr>
                <w:rFonts w:cs="Arial"/>
                <w:sz w:val="24"/>
              </w:rPr>
              <w:t>57%</w:t>
            </w:r>
            <w:r w:rsidR="002F4E67" w:rsidRPr="00150CD2">
              <w:rPr>
                <w:rFonts w:cs="Arial"/>
                <w:sz w:val="24"/>
              </w:rPr>
              <w:t xml:space="preserve"> lived with sole </w:t>
            </w:r>
            <w:r w:rsidR="008A5CE9" w:rsidRPr="00150CD2">
              <w:rPr>
                <w:rFonts w:cs="Arial"/>
                <w:sz w:val="24"/>
              </w:rPr>
              <w:t>parents and</w:t>
            </w:r>
            <w:r w:rsidR="002F4E67" w:rsidRPr="00150CD2">
              <w:rPr>
                <w:rFonts w:cs="Arial"/>
                <w:sz w:val="24"/>
              </w:rPr>
              <w:t xml:space="preserve"> were much more likely to require some level of income support.</w:t>
            </w:r>
          </w:p>
          <w:p w14:paraId="01E610BD" w14:textId="4F7F2C8F" w:rsidR="002F4E67" w:rsidRPr="00150CD2" w:rsidRDefault="00CD34CF" w:rsidP="00D143A9">
            <w:pPr>
              <w:pStyle w:val="EYTablebullet1"/>
              <w:spacing w:before="0" w:after="120"/>
              <w:rPr>
                <w:rFonts w:cs="Arial"/>
                <w:sz w:val="24"/>
              </w:rPr>
            </w:pPr>
            <w:r w:rsidRPr="00150CD2">
              <w:rPr>
                <w:rFonts w:cs="Arial"/>
                <w:sz w:val="24"/>
              </w:rPr>
              <w:t>17</w:t>
            </w:r>
            <w:r w:rsidR="002F4E67" w:rsidRPr="00150CD2">
              <w:rPr>
                <w:rFonts w:cs="Arial"/>
                <w:sz w:val="24"/>
              </w:rPr>
              <w:t>% had two parents/caregivers with employment income, 3</w:t>
            </w:r>
            <w:r w:rsidRPr="00150CD2">
              <w:rPr>
                <w:rFonts w:cs="Arial"/>
                <w:sz w:val="24"/>
              </w:rPr>
              <w:t>6</w:t>
            </w:r>
            <w:r w:rsidR="002F4E67" w:rsidRPr="00150CD2">
              <w:rPr>
                <w:rFonts w:cs="Arial"/>
                <w:sz w:val="24"/>
              </w:rPr>
              <w:t xml:space="preserve">% had one parent with employment income and </w:t>
            </w:r>
            <w:r w:rsidRPr="00150CD2">
              <w:rPr>
                <w:rFonts w:cs="Arial"/>
                <w:sz w:val="24"/>
              </w:rPr>
              <w:t>48</w:t>
            </w:r>
            <w:r w:rsidR="002F4E67" w:rsidRPr="00150CD2">
              <w:rPr>
                <w:rFonts w:cs="Arial"/>
                <w:sz w:val="24"/>
              </w:rPr>
              <w:t>% had no parents with employment income.</w:t>
            </w:r>
          </w:p>
          <w:p w14:paraId="643F3391" w14:textId="1DE5DCE6" w:rsidR="002F4E67" w:rsidRPr="00150CD2" w:rsidRDefault="002F4E67" w:rsidP="00D143A9">
            <w:pPr>
              <w:pStyle w:val="EYTableText"/>
              <w:spacing w:before="0" w:after="120"/>
              <w:rPr>
                <w:rFonts w:cs="Arial"/>
                <w:sz w:val="24"/>
              </w:rPr>
            </w:pPr>
            <w:r w:rsidRPr="00150CD2">
              <w:rPr>
                <w:rFonts w:cs="Arial"/>
                <w:sz w:val="24"/>
              </w:rPr>
              <w:t xml:space="preserve">A </w:t>
            </w:r>
            <w:r w:rsidR="00CD34CF" w:rsidRPr="00150CD2">
              <w:rPr>
                <w:rFonts w:cs="Arial"/>
                <w:sz w:val="24"/>
              </w:rPr>
              <w:t xml:space="preserve">very </w:t>
            </w:r>
            <w:r w:rsidRPr="00150CD2">
              <w:rPr>
                <w:rFonts w:cs="Arial"/>
                <w:sz w:val="24"/>
              </w:rPr>
              <w:t xml:space="preserve">small proportion of MidCentral DSS young people </w:t>
            </w:r>
            <w:r w:rsidR="00A837F1" w:rsidRPr="00150CD2">
              <w:rPr>
                <w:rFonts w:cs="Arial"/>
                <w:sz w:val="24"/>
              </w:rPr>
              <w:t>aged 20-24</w:t>
            </w:r>
            <w:r w:rsidRPr="00150CD2">
              <w:rPr>
                <w:rFonts w:cs="Arial"/>
                <w:sz w:val="24"/>
              </w:rPr>
              <w:t xml:space="preserve"> (</w:t>
            </w:r>
            <w:r w:rsidR="00CD34CF" w:rsidRPr="00150CD2">
              <w:rPr>
                <w:rFonts w:cs="Arial"/>
                <w:sz w:val="24"/>
              </w:rPr>
              <w:t xml:space="preserve">less than </w:t>
            </w:r>
            <w:r w:rsidRPr="00150CD2">
              <w:rPr>
                <w:rFonts w:cs="Arial"/>
                <w:sz w:val="24"/>
              </w:rPr>
              <w:t xml:space="preserve">3%) reported </w:t>
            </w:r>
            <w:r w:rsidR="00CD34CF" w:rsidRPr="00150CD2">
              <w:rPr>
                <w:rFonts w:cs="Arial"/>
                <w:sz w:val="24"/>
              </w:rPr>
              <w:t xml:space="preserve">having children or </w:t>
            </w:r>
            <w:r w:rsidRPr="00150CD2">
              <w:rPr>
                <w:rFonts w:cs="Arial"/>
                <w:sz w:val="24"/>
              </w:rPr>
              <w:t xml:space="preserve">being in a </w:t>
            </w:r>
            <w:r w:rsidR="00D3748B" w:rsidRPr="00150CD2">
              <w:rPr>
                <w:rFonts w:cs="Arial"/>
                <w:sz w:val="24"/>
              </w:rPr>
              <w:t xml:space="preserve">formal relationship over the 3 year period. “Formal relationships” include marriages and civil unions </w:t>
            </w:r>
            <w:r w:rsidR="00E12049" w:rsidRPr="00150CD2">
              <w:rPr>
                <w:rFonts w:cs="Arial"/>
                <w:sz w:val="24"/>
              </w:rPr>
              <w:t>a</w:t>
            </w:r>
            <w:r w:rsidR="00D3748B" w:rsidRPr="00150CD2">
              <w:rPr>
                <w:rFonts w:cs="Arial"/>
                <w:sz w:val="24"/>
              </w:rPr>
              <w:t xml:space="preserve">s well as de facto relationships reported to MSD </w:t>
            </w:r>
            <w:r w:rsidRPr="00150CD2">
              <w:rPr>
                <w:rFonts w:cs="Arial"/>
                <w:sz w:val="24"/>
              </w:rPr>
              <w:t>(as part of receiving benefits)</w:t>
            </w:r>
            <w:r w:rsidR="00AA37E4" w:rsidRPr="00150CD2">
              <w:rPr>
                <w:rFonts w:cs="Arial"/>
                <w:sz w:val="24"/>
              </w:rPr>
              <w:t xml:space="preserve"> </w:t>
            </w:r>
            <w:r w:rsidRPr="00150CD2">
              <w:rPr>
                <w:rFonts w:cs="Arial"/>
                <w:sz w:val="24"/>
              </w:rPr>
              <w:t xml:space="preserve">over the 3 year period. </w:t>
            </w:r>
          </w:p>
          <w:p w14:paraId="21AF2DDB" w14:textId="5C81EF78" w:rsidR="002F4E67" w:rsidRPr="00150CD2" w:rsidRDefault="002F4E67" w:rsidP="00D143A9">
            <w:pPr>
              <w:pStyle w:val="EYTableText"/>
              <w:spacing w:before="0" w:after="120"/>
              <w:rPr>
                <w:rFonts w:cs="Arial"/>
                <w:sz w:val="24"/>
              </w:rPr>
            </w:pPr>
            <w:r w:rsidRPr="00150CD2">
              <w:rPr>
                <w:rFonts w:cs="Arial"/>
                <w:sz w:val="24"/>
              </w:rPr>
              <w:t>For the broader MidCentral population aged 2</w:t>
            </w:r>
            <w:r w:rsidR="00CD34CF" w:rsidRPr="00150CD2">
              <w:rPr>
                <w:rFonts w:cs="Arial"/>
                <w:sz w:val="24"/>
              </w:rPr>
              <w:t>0</w:t>
            </w:r>
            <w:r w:rsidRPr="00150CD2">
              <w:rPr>
                <w:rFonts w:cs="Arial"/>
                <w:sz w:val="24"/>
              </w:rPr>
              <w:t>-2</w:t>
            </w:r>
            <w:r w:rsidR="00CD34CF" w:rsidRPr="00150CD2">
              <w:rPr>
                <w:rFonts w:cs="Arial"/>
                <w:sz w:val="24"/>
              </w:rPr>
              <w:t>4</w:t>
            </w:r>
            <w:r w:rsidRPr="00150CD2">
              <w:rPr>
                <w:rFonts w:cs="Arial"/>
                <w:sz w:val="24"/>
              </w:rPr>
              <w:t xml:space="preserve">, </w:t>
            </w:r>
            <w:r w:rsidR="00CD34CF" w:rsidRPr="00150CD2">
              <w:rPr>
                <w:rFonts w:cs="Arial"/>
                <w:sz w:val="24"/>
              </w:rPr>
              <w:t>22</w:t>
            </w:r>
            <w:r w:rsidRPr="00150CD2">
              <w:rPr>
                <w:rFonts w:cs="Arial"/>
                <w:sz w:val="24"/>
              </w:rPr>
              <w:t xml:space="preserve">% reported </w:t>
            </w:r>
            <w:r w:rsidR="00D3748B" w:rsidRPr="00150CD2">
              <w:rPr>
                <w:rFonts w:cs="Arial"/>
                <w:sz w:val="24"/>
              </w:rPr>
              <w:t xml:space="preserve">a formal relationship </w:t>
            </w:r>
            <w:r w:rsidRPr="00150CD2">
              <w:rPr>
                <w:rFonts w:cs="Arial"/>
                <w:sz w:val="24"/>
              </w:rPr>
              <w:t xml:space="preserve">and </w:t>
            </w:r>
            <w:r w:rsidR="00CD34CF" w:rsidRPr="00150CD2">
              <w:rPr>
                <w:rFonts w:cs="Arial"/>
                <w:sz w:val="24"/>
              </w:rPr>
              <w:t>28%</w:t>
            </w:r>
            <w:r w:rsidRPr="00150CD2">
              <w:rPr>
                <w:rFonts w:cs="Arial"/>
                <w:sz w:val="24"/>
              </w:rPr>
              <w:t xml:space="preserve"> reported having children</w:t>
            </w:r>
            <w:r w:rsidR="00CD34CF" w:rsidRPr="00150CD2">
              <w:rPr>
                <w:rFonts w:cs="Arial"/>
                <w:sz w:val="24"/>
              </w:rPr>
              <w:t xml:space="preserve"> over the 3 year period</w:t>
            </w:r>
            <w:r w:rsidRPr="00150CD2">
              <w:rPr>
                <w:rFonts w:cs="Arial"/>
                <w:sz w:val="24"/>
              </w:rPr>
              <w:t>.</w:t>
            </w:r>
          </w:p>
        </w:tc>
      </w:tr>
      <w:tr w:rsidR="009C6FAD" w:rsidRPr="00150CD2" w14:paraId="056BAD4E" w14:textId="77777777" w:rsidTr="00336432">
        <w:tc>
          <w:tcPr>
            <w:tcW w:w="1323" w:type="dxa"/>
            <w:tcBorders>
              <w:top w:val="nil"/>
              <w:bottom w:val="nil"/>
            </w:tcBorders>
          </w:tcPr>
          <w:p w14:paraId="3BECCD01" w14:textId="77777777" w:rsidR="009C6FAD" w:rsidRPr="00150CD2" w:rsidRDefault="009C6FAD" w:rsidP="009C6FAD">
            <w:pPr>
              <w:pStyle w:val="EYTableText"/>
              <w:rPr>
                <w:rFonts w:cs="Arial"/>
                <w:sz w:val="24"/>
              </w:rPr>
            </w:pPr>
          </w:p>
        </w:tc>
        <w:tc>
          <w:tcPr>
            <w:tcW w:w="1872" w:type="dxa"/>
          </w:tcPr>
          <w:p w14:paraId="06817FA6" w14:textId="256E9964" w:rsidR="009C6FAD" w:rsidRPr="00150CD2" w:rsidRDefault="009C6FAD" w:rsidP="009C6FAD">
            <w:pPr>
              <w:pStyle w:val="EYTableText"/>
              <w:rPr>
                <w:rFonts w:cs="Arial"/>
                <w:sz w:val="24"/>
              </w:rPr>
            </w:pPr>
            <w:r w:rsidRPr="00150CD2">
              <w:rPr>
                <w:rFonts w:cs="Arial"/>
                <w:sz w:val="24"/>
              </w:rPr>
              <w:t xml:space="preserve">Transitioning into residential </w:t>
            </w:r>
            <w:r w:rsidR="00360FC5" w:rsidRPr="00150CD2">
              <w:rPr>
                <w:rFonts w:cs="Arial"/>
                <w:sz w:val="24"/>
              </w:rPr>
              <w:t>services</w:t>
            </w:r>
          </w:p>
        </w:tc>
        <w:tc>
          <w:tcPr>
            <w:tcW w:w="10699" w:type="dxa"/>
          </w:tcPr>
          <w:p w14:paraId="10BB1AAF" w14:textId="1EFF5F68" w:rsidR="009C6FAD" w:rsidRPr="00150CD2" w:rsidRDefault="009C6FAD" w:rsidP="00DC0A63">
            <w:pPr>
              <w:pStyle w:val="EYTablebullet1"/>
              <w:keepLines/>
              <w:spacing w:before="0" w:after="120"/>
              <w:ind w:left="288" w:hanging="288"/>
              <w:rPr>
                <w:rFonts w:cs="Arial"/>
                <w:sz w:val="24"/>
              </w:rPr>
            </w:pPr>
            <w:r w:rsidRPr="00150CD2">
              <w:rPr>
                <w:rFonts w:cs="Arial"/>
                <w:sz w:val="24"/>
              </w:rPr>
              <w:t xml:space="preserve">Around </w:t>
            </w:r>
            <w:r w:rsidR="00972EAA" w:rsidRPr="00150CD2">
              <w:rPr>
                <w:rFonts w:cs="Arial"/>
                <w:sz w:val="24"/>
              </w:rPr>
              <w:t>8</w:t>
            </w:r>
            <w:r w:rsidR="00161131" w:rsidRPr="00150CD2">
              <w:rPr>
                <w:rFonts w:cs="Arial"/>
                <w:sz w:val="24"/>
              </w:rPr>
              <w:t>% of 1</w:t>
            </w:r>
            <w:r w:rsidR="00972EAA" w:rsidRPr="00150CD2">
              <w:rPr>
                <w:rFonts w:cs="Arial"/>
                <w:sz w:val="24"/>
              </w:rPr>
              <w:t>5-19</w:t>
            </w:r>
            <w:r w:rsidR="00161131" w:rsidRPr="00150CD2">
              <w:rPr>
                <w:rFonts w:cs="Arial"/>
                <w:sz w:val="24"/>
              </w:rPr>
              <w:t xml:space="preserve"> year old and </w:t>
            </w:r>
            <w:r w:rsidR="00972EAA" w:rsidRPr="00150CD2">
              <w:rPr>
                <w:rFonts w:cs="Arial"/>
                <w:sz w:val="24"/>
              </w:rPr>
              <w:t>23</w:t>
            </w:r>
            <w:r w:rsidR="00161131" w:rsidRPr="00150CD2">
              <w:rPr>
                <w:rFonts w:cs="Arial"/>
                <w:sz w:val="24"/>
              </w:rPr>
              <w:t>% (</w:t>
            </w:r>
            <w:r w:rsidRPr="00150CD2">
              <w:rPr>
                <w:rFonts w:cs="Arial"/>
                <w:sz w:val="24"/>
              </w:rPr>
              <w:t xml:space="preserve">1 in </w:t>
            </w:r>
            <w:r w:rsidR="00972EAA" w:rsidRPr="00150CD2">
              <w:rPr>
                <w:rFonts w:cs="Arial"/>
                <w:sz w:val="24"/>
              </w:rPr>
              <w:t>4</w:t>
            </w:r>
            <w:r w:rsidR="00161131" w:rsidRPr="00150CD2">
              <w:rPr>
                <w:rFonts w:cs="Arial"/>
                <w:sz w:val="24"/>
              </w:rPr>
              <w:t>)</w:t>
            </w:r>
            <w:r w:rsidRPr="00150CD2">
              <w:rPr>
                <w:rFonts w:cs="Arial"/>
                <w:sz w:val="24"/>
              </w:rPr>
              <w:t xml:space="preserve"> of </w:t>
            </w:r>
            <w:r w:rsidR="00161131" w:rsidRPr="00150CD2">
              <w:rPr>
                <w:rFonts w:cs="Arial"/>
                <w:sz w:val="24"/>
              </w:rPr>
              <w:t>2</w:t>
            </w:r>
            <w:r w:rsidR="00972EAA" w:rsidRPr="00150CD2">
              <w:rPr>
                <w:rFonts w:cs="Arial"/>
                <w:sz w:val="24"/>
              </w:rPr>
              <w:t>0</w:t>
            </w:r>
            <w:r w:rsidRPr="00150CD2">
              <w:rPr>
                <w:rFonts w:cs="Arial"/>
                <w:sz w:val="24"/>
              </w:rPr>
              <w:t>-2</w:t>
            </w:r>
            <w:r w:rsidR="00972EAA" w:rsidRPr="00150CD2">
              <w:rPr>
                <w:rFonts w:cs="Arial"/>
                <w:sz w:val="24"/>
              </w:rPr>
              <w:t>4</w:t>
            </w:r>
            <w:r w:rsidR="00161131" w:rsidRPr="00150CD2">
              <w:rPr>
                <w:rFonts w:cs="Arial"/>
                <w:sz w:val="24"/>
              </w:rPr>
              <w:t xml:space="preserve"> year old </w:t>
            </w:r>
            <w:r w:rsidRPr="00150CD2">
              <w:rPr>
                <w:rFonts w:cs="Arial"/>
                <w:sz w:val="24"/>
              </w:rPr>
              <w:t xml:space="preserve">MidCentral </w:t>
            </w:r>
            <w:r w:rsidR="00161131" w:rsidRPr="00150CD2">
              <w:rPr>
                <w:rFonts w:cs="Arial"/>
                <w:sz w:val="24"/>
              </w:rPr>
              <w:t>DSS</w:t>
            </w:r>
            <w:r w:rsidRPr="00150CD2">
              <w:rPr>
                <w:rFonts w:cs="Arial"/>
                <w:sz w:val="24"/>
              </w:rPr>
              <w:t xml:space="preserve"> young people live</w:t>
            </w:r>
            <w:r w:rsidR="00161131" w:rsidRPr="00150CD2">
              <w:rPr>
                <w:rFonts w:cs="Arial"/>
                <w:sz w:val="24"/>
              </w:rPr>
              <w:t>d</w:t>
            </w:r>
            <w:r w:rsidRPr="00150CD2">
              <w:rPr>
                <w:rFonts w:cs="Arial"/>
                <w:sz w:val="24"/>
              </w:rPr>
              <w:t xml:space="preserve"> in residential </w:t>
            </w:r>
            <w:r w:rsidR="005F288F" w:rsidRPr="00150CD2">
              <w:rPr>
                <w:rFonts w:cs="Arial"/>
                <w:sz w:val="24"/>
              </w:rPr>
              <w:t xml:space="preserve">services </w:t>
            </w:r>
            <w:r w:rsidR="00972EAA" w:rsidRPr="00150CD2">
              <w:rPr>
                <w:rFonts w:cs="Arial"/>
                <w:sz w:val="24"/>
              </w:rPr>
              <w:t xml:space="preserve">for some/all of the year to </w:t>
            </w:r>
            <w:r w:rsidR="00161131" w:rsidRPr="00150CD2">
              <w:rPr>
                <w:rFonts w:cs="Arial"/>
                <w:sz w:val="24"/>
              </w:rPr>
              <w:t xml:space="preserve">June 2018. </w:t>
            </w:r>
            <w:r w:rsidR="00972EAA" w:rsidRPr="00150CD2">
              <w:rPr>
                <w:rFonts w:cs="Arial"/>
                <w:sz w:val="24"/>
              </w:rPr>
              <w:t>9</w:t>
            </w:r>
            <w:r w:rsidR="00161131" w:rsidRPr="00150CD2">
              <w:rPr>
                <w:rFonts w:cs="Arial"/>
                <w:sz w:val="24"/>
              </w:rPr>
              <w:t xml:space="preserve">% </w:t>
            </w:r>
            <w:r w:rsidRPr="00150CD2">
              <w:rPr>
                <w:rFonts w:cs="Arial"/>
                <w:sz w:val="24"/>
              </w:rPr>
              <w:t xml:space="preserve">transitioned into residential </w:t>
            </w:r>
            <w:r w:rsidR="00AE55FF" w:rsidRPr="00150CD2">
              <w:rPr>
                <w:rFonts w:cs="Arial"/>
                <w:sz w:val="24"/>
              </w:rPr>
              <w:t xml:space="preserve">services </w:t>
            </w:r>
            <w:r w:rsidR="00972EAA" w:rsidRPr="00150CD2">
              <w:rPr>
                <w:rFonts w:cs="Arial"/>
                <w:sz w:val="24"/>
              </w:rPr>
              <w:t xml:space="preserve">for the first time </w:t>
            </w:r>
            <w:r w:rsidR="00161131" w:rsidRPr="00150CD2">
              <w:rPr>
                <w:rFonts w:cs="Arial"/>
                <w:sz w:val="24"/>
              </w:rPr>
              <w:t xml:space="preserve">during </w:t>
            </w:r>
            <w:r w:rsidR="00972EAA" w:rsidRPr="00150CD2">
              <w:rPr>
                <w:rFonts w:cs="Arial"/>
                <w:sz w:val="24"/>
              </w:rPr>
              <w:t>the</w:t>
            </w:r>
            <w:r w:rsidR="00161131" w:rsidRPr="00150CD2">
              <w:rPr>
                <w:rFonts w:cs="Arial"/>
                <w:sz w:val="24"/>
              </w:rPr>
              <w:t xml:space="preserve"> 3 year period</w:t>
            </w:r>
            <w:r w:rsidRPr="00150CD2">
              <w:rPr>
                <w:rFonts w:cs="Arial"/>
                <w:sz w:val="24"/>
              </w:rPr>
              <w:t xml:space="preserve">. They were </w:t>
            </w:r>
            <w:r w:rsidR="00972EAA" w:rsidRPr="00150CD2">
              <w:rPr>
                <w:rFonts w:cs="Arial"/>
                <w:sz w:val="24"/>
              </w:rPr>
              <w:t xml:space="preserve">more than twice as </w:t>
            </w:r>
            <w:r w:rsidRPr="00150CD2">
              <w:rPr>
                <w:rFonts w:cs="Arial"/>
                <w:sz w:val="24"/>
              </w:rPr>
              <w:t>likely to transition than other 1</w:t>
            </w:r>
            <w:r w:rsidR="00972EAA" w:rsidRPr="00150CD2">
              <w:rPr>
                <w:rFonts w:cs="Arial"/>
                <w:sz w:val="24"/>
              </w:rPr>
              <w:t>5</w:t>
            </w:r>
            <w:r w:rsidRPr="00150CD2">
              <w:rPr>
                <w:rFonts w:cs="Arial"/>
                <w:sz w:val="24"/>
              </w:rPr>
              <w:t>-2</w:t>
            </w:r>
            <w:r w:rsidR="00972EAA" w:rsidRPr="00150CD2">
              <w:rPr>
                <w:rFonts w:cs="Arial"/>
                <w:sz w:val="24"/>
              </w:rPr>
              <w:t>4</w:t>
            </w:r>
            <w:r w:rsidR="00161131" w:rsidRPr="00150CD2">
              <w:rPr>
                <w:rFonts w:cs="Arial"/>
                <w:sz w:val="24"/>
              </w:rPr>
              <w:t xml:space="preserve"> year old </w:t>
            </w:r>
            <w:r w:rsidRPr="00150CD2">
              <w:rPr>
                <w:rFonts w:cs="Arial"/>
                <w:sz w:val="24"/>
              </w:rPr>
              <w:t>young people outside MidCentral (</w:t>
            </w:r>
            <w:r w:rsidR="00972EAA" w:rsidRPr="00150CD2">
              <w:rPr>
                <w:rFonts w:cs="Arial"/>
                <w:sz w:val="24"/>
              </w:rPr>
              <w:t>4</w:t>
            </w:r>
            <w:r w:rsidRPr="00150CD2">
              <w:rPr>
                <w:rFonts w:cs="Arial"/>
                <w:sz w:val="24"/>
              </w:rPr>
              <w:t xml:space="preserve">% transitioned over the </w:t>
            </w:r>
            <w:r w:rsidR="00161131" w:rsidRPr="00150CD2">
              <w:rPr>
                <w:rFonts w:cs="Arial"/>
                <w:sz w:val="24"/>
              </w:rPr>
              <w:t>3</w:t>
            </w:r>
            <w:r w:rsidRPr="00150CD2">
              <w:rPr>
                <w:rFonts w:cs="Arial"/>
                <w:sz w:val="24"/>
              </w:rPr>
              <w:t xml:space="preserve"> year period).</w:t>
            </w:r>
          </w:p>
          <w:p w14:paraId="310AC671" w14:textId="7833E5B1" w:rsidR="00161131" w:rsidRPr="00150CD2" w:rsidRDefault="009C6FAD" w:rsidP="00DC0A63">
            <w:pPr>
              <w:pStyle w:val="EYTablebullet1"/>
              <w:keepLines/>
              <w:spacing w:before="0" w:after="120"/>
              <w:ind w:left="288" w:hanging="288"/>
              <w:rPr>
                <w:rFonts w:cs="Arial"/>
                <w:sz w:val="24"/>
              </w:rPr>
            </w:pPr>
            <w:r w:rsidRPr="00150CD2">
              <w:rPr>
                <w:rFonts w:cs="Arial"/>
                <w:sz w:val="24"/>
              </w:rPr>
              <w:t xml:space="preserve">Within MidCentral, young people with intellectual disabilities and </w:t>
            </w:r>
            <w:r w:rsidR="00DF5F17" w:rsidRPr="00150CD2">
              <w:rPr>
                <w:rFonts w:cs="Arial"/>
                <w:sz w:val="24"/>
              </w:rPr>
              <w:t>high/very high SPA</w:t>
            </w:r>
            <w:r w:rsidRPr="00150CD2">
              <w:rPr>
                <w:rFonts w:cs="Arial"/>
                <w:sz w:val="24"/>
              </w:rPr>
              <w:t xml:space="preserve"> levels were around </w:t>
            </w:r>
            <w:r w:rsidR="0096404D" w:rsidRPr="00150CD2">
              <w:rPr>
                <w:rFonts w:cs="Arial"/>
                <w:sz w:val="24"/>
              </w:rPr>
              <w:t>2.5</w:t>
            </w:r>
            <w:r w:rsidR="00CA4326" w:rsidRPr="00150CD2">
              <w:rPr>
                <w:rFonts w:cs="Arial"/>
                <w:sz w:val="24"/>
              </w:rPr>
              <w:t xml:space="preserve"> times </w:t>
            </w:r>
            <w:r w:rsidRPr="00150CD2">
              <w:rPr>
                <w:rFonts w:cs="Arial"/>
                <w:sz w:val="24"/>
              </w:rPr>
              <w:t xml:space="preserve">as likely to transition into residential </w:t>
            </w:r>
            <w:r w:rsidR="00356C17" w:rsidRPr="00150CD2">
              <w:rPr>
                <w:rFonts w:cs="Arial"/>
                <w:sz w:val="24"/>
              </w:rPr>
              <w:t>services</w:t>
            </w:r>
            <w:r w:rsidRPr="00150CD2">
              <w:rPr>
                <w:rFonts w:cs="Arial"/>
                <w:sz w:val="24"/>
              </w:rPr>
              <w:t>. Māori and non-Māori transition rates appeared broadly similar.</w:t>
            </w:r>
          </w:p>
        </w:tc>
      </w:tr>
      <w:tr w:rsidR="00AA6BDF" w:rsidRPr="00150CD2" w14:paraId="7F5126F1" w14:textId="77777777" w:rsidTr="00336432">
        <w:tc>
          <w:tcPr>
            <w:tcW w:w="1323" w:type="dxa"/>
            <w:tcBorders>
              <w:top w:val="nil"/>
              <w:bottom w:val="nil"/>
            </w:tcBorders>
          </w:tcPr>
          <w:p w14:paraId="592C69A5" w14:textId="77777777" w:rsidR="00AA6BDF" w:rsidRPr="00150CD2" w:rsidRDefault="00AA6BDF" w:rsidP="00E14313">
            <w:pPr>
              <w:pStyle w:val="EYTableText"/>
              <w:rPr>
                <w:rFonts w:cs="Arial"/>
                <w:sz w:val="24"/>
              </w:rPr>
            </w:pPr>
          </w:p>
        </w:tc>
        <w:tc>
          <w:tcPr>
            <w:tcW w:w="1872" w:type="dxa"/>
          </w:tcPr>
          <w:p w14:paraId="17DDC885" w14:textId="089DE7D7" w:rsidR="00AA6BDF" w:rsidRPr="00150CD2" w:rsidRDefault="00AA6BDF" w:rsidP="00CE0A6C">
            <w:pPr>
              <w:pStyle w:val="EYTableText"/>
              <w:rPr>
                <w:rFonts w:cs="Arial"/>
                <w:sz w:val="24"/>
              </w:rPr>
            </w:pPr>
            <w:r w:rsidRPr="00150CD2">
              <w:rPr>
                <w:rFonts w:cs="Arial"/>
                <w:sz w:val="24"/>
              </w:rPr>
              <w:t>Benefit income support</w:t>
            </w:r>
          </w:p>
        </w:tc>
        <w:tc>
          <w:tcPr>
            <w:tcW w:w="10699" w:type="dxa"/>
          </w:tcPr>
          <w:p w14:paraId="4ADCC22B" w14:textId="662B3CAC" w:rsidR="00AA6BDF" w:rsidRPr="00150CD2" w:rsidRDefault="00AA6BDF" w:rsidP="000B16F5">
            <w:pPr>
              <w:pStyle w:val="EYTablebullet1"/>
              <w:spacing w:before="0" w:after="120"/>
              <w:rPr>
                <w:rFonts w:cs="Arial"/>
                <w:sz w:val="24"/>
              </w:rPr>
            </w:pPr>
            <w:r w:rsidRPr="00150CD2">
              <w:rPr>
                <w:rFonts w:cs="Arial"/>
                <w:sz w:val="24"/>
              </w:rPr>
              <w:t>Almost all MidCentral DSS young people aged 20-24 received a main benefit for some/all of the 3 year period, the vast majority of these being Supported Living Payments. This was similar to the broader DSS population (a small proportion, 6%, received Jobseeker payments).</w:t>
            </w:r>
            <w:r w:rsidR="00596E0D" w:rsidRPr="00150CD2">
              <w:rPr>
                <w:rFonts w:cs="Arial"/>
                <w:sz w:val="24"/>
              </w:rPr>
              <w:br/>
            </w:r>
            <w:r w:rsidRPr="00150CD2">
              <w:rPr>
                <w:rFonts w:cs="Arial"/>
                <w:sz w:val="24"/>
              </w:rPr>
              <w:t>In comparison, 30% of MidCentral non-DSS young people aged 20-24 received a main benefit for some/all of the same period.</w:t>
            </w:r>
          </w:p>
          <w:p w14:paraId="1211C83C" w14:textId="1094A448" w:rsidR="00AA6BDF" w:rsidRPr="00150CD2" w:rsidRDefault="009C6021" w:rsidP="00D143A9">
            <w:pPr>
              <w:pStyle w:val="EYTablebullet1"/>
              <w:spacing w:before="0" w:after="120"/>
              <w:rPr>
                <w:rFonts w:cs="Arial"/>
                <w:sz w:val="24"/>
              </w:rPr>
            </w:pPr>
            <w:r w:rsidRPr="00150CD2">
              <w:rPr>
                <w:rFonts w:cs="Arial"/>
                <w:sz w:val="24"/>
              </w:rPr>
              <w:t>58</w:t>
            </w:r>
            <w:r w:rsidR="00AA6BDF" w:rsidRPr="00150CD2">
              <w:rPr>
                <w:rFonts w:cs="Arial"/>
                <w:sz w:val="24"/>
              </w:rPr>
              <w:t xml:space="preserve">% </w:t>
            </w:r>
            <w:r w:rsidRPr="00150CD2">
              <w:rPr>
                <w:rFonts w:cs="Arial"/>
                <w:sz w:val="24"/>
              </w:rPr>
              <w:t xml:space="preserve">of MidCentral DSS young people aged 20-24 </w:t>
            </w:r>
            <w:r w:rsidR="00AA6BDF" w:rsidRPr="00150CD2">
              <w:rPr>
                <w:rFonts w:cs="Arial"/>
                <w:sz w:val="24"/>
              </w:rPr>
              <w:t>received Disability Allowance payments</w:t>
            </w:r>
            <w:r w:rsidRPr="00150CD2">
              <w:rPr>
                <w:rFonts w:cs="Arial"/>
                <w:sz w:val="24"/>
              </w:rPr>
              <w:t>, a similar rate to other DSS young people outside MidCentral (54%) and significantly higher than non-DSS young people in MidCentral (5%).</w:t>
            </w:r>
          </w:p>
          <w:p w14:paraId="4F3B6CC1" w14:textId="253504DF" w:rsidR="00AA6BDF" w:rsidRPr="00150CD2" w:rsidRDefault="00AA6BDF" w:rsidP="00D143A9">
            <w:pPr>
              <w:pStyle w:val="EYTablebullet1"/>
              <w:spacing w:before="0" w:after="120"/>
              <w:rPr>
                <w:rFonts w:cs="Arial"/>
                <w:sz w:val="24"/>
              </w:rPr>
            </w:pPr>
            <w:r w:rsidRPr="00150CD2">
              <w:rPr>
                <w:rFonts w:cs="Arial"/>
                <w:sz w:val="24"/>
              </w:rPr>
              <w:t xml:space="preserve">Just under 60% </w:t>
            </w:r>
            <w:r w:rsidR="009C6021" w:rsidRPr="00150CD2">
              <w:rPr>
                <w:rFonts w:cs="Arial"/>
                <w:sz w:val="24"/>
              </w:rPr>
              <w:t xml:space="preserve">of MidCentral DSS young people aged 20-24 </w:t>
            </w:r>
            <w:r w:rsidRPr="00150CD2">
              <w:rPr>
                <w:rFonts w:cs="Arial"/>
                <w:sz w:val="24"/>
              </w:rPr>
              <w:t xml:space="preserve">received Accommodation Supplement and 8% received Temporary </w:t>
            </w:r>
            <w:r w:rsidR="00864253" w:rsidRPr="00150CD2">
              <w:rPr>
                <w:rFonts w:cs="Arial"/>
                <w:sz w:val="24"/>
              </w:rPr>
              <w:t>Additional Support</w:t>
            </w:r>
            <w:r w:rsidRPr="00150CD2">
              <w:rPr>
                <w:rFonts w:cs="Arial"/>
                <w:sz w:val="24"/>
              </w:rPr>
              <w:t>.</w:t>
            </w:r>
            <w:r w:rsidR="009C6021" w:rsidRPr="00150CD2">
              <w:rPr>
                <w:rFonts w:cs="Arial"/>
                <w:sz w:val="24"/>
              </w:rPr>
              <w:t xml:space="preserve"> Accommodation Supplement receipt rates</w:t>
            </w:r>
            <w:r w:rsidR="006A19EB" w:rsidRPr="00150CD2">
              <w:rPr>
                <w:rFonts w:cs="Arial"/>
                <w:sz w:val="24"/>
              </w:rPr>
              <w:t xml:space="preserve"> </w:t>
            </w:r>
            <w:r w:rsidR="009C6021" w:rsidRPr="00150CD2">
              <w:rPr>
                <w:rFonts w:cs="Arial"/>
                <w:sz w:val="24"/>
              </w:rPr>
              <w:t xml:space="preserve">are similar to those of other DSS young people outside MidCentral and nearly twice the rate for non-DSS MidCentral young people (32%), while Temporary </w:t>
            </w:r>
            <w:r w:rsidR="00864253" w:rsidRPr="00150CD2">
              <w:rPr>
                <w:rFonts w:cs="Arial"/>
                <w:sz w:val="24"/>
              </w:rPr>
              <w:t>Additional Support</w:t>
            </w:r>
            <w:r w:rsidR="009C6021" w:rsidRPr="00150CD2">
              <w:rPr>
                <w:rFonts w:cs="Arial"/>
                <w:sz w:val="24"/>
              </w:rPr>
              <w:t xml:space="preserve"> rates are similar to those of non-DSS MidCentral young people.</w:t>
            </w:r>
          </w:p>
          <w:p w14:paraId="3262472C" w14:textId="6C1880F1" w:rsidR="00AA6BDF" w:rsidRPr="00150CD2" w:rsidRDefault="00AA6BDF" w:rsidP="00D143A9">
            <w:pPr>
              <w:pStyle w:val="EYTablebullet1"/>
              <w:spacing w:before="0" w:after="120"/>
              <w:rPr>
                <w:rFonts w:cs="Arial"/>
                <w:sz w:val="24"/>
              </w:rPr>
            </w:pPr>
            <w:r w:rsidRPr="00150CD2">
              <w:rPr>
                <w:rFonts w:cs="Arial"/>
                <w:sz w:val="24"/>
              </w:rPr>
              <w:t xml:space="preserve">Around 30% of MidCentral young people aged 20-24 also drew on </w:t>
            </w:r>
            <w:r w:rsidR="009C6021" w:rsidRPr="00150CD2">
              <w:rPr>
                <w:rFonts w:cs="Arial"/>
                <w:sz w:val="24"/>
              </w:rPr>
              <w:t xml:space="preserve">third-tier </w:t>
            </w:r>
            <w:r w:rsidRPr="00150CD2">
              <w:rPr>
                <w:rFonts w:cs="Arial"/>
                <w:sz w:val="24"/>
              </w:rPr>
              <w:t>MSD support payments</w:t>
            </w:r>
            <w:r w:rsidR="001E5F4B" w:rsidRPr="00150CD2">
              <w:rPr>
                <w:rStyle w:val="FootnoteReference"/>
                <w:rFonts w:ascii="Arial" w:hAnsi="Arial" w:cs="Arial"/>
                <w:sz w:val="24"/>
                <w:szCs w:val="24"/>
              </w:rPr>
              <w:footnoteReference w:id="32"/>
            </w:r>
            <w:r w:rsidRPr="00150CD2">
              <w:rPr>
                <w:rFonts w:cs="Arial"/>
                <w:sz w:val="24"/>
              </w:rPr>
              <w:t xml:space="preserve"> during the 3 year period, a rate 1.4</w:t>
            </w:r>
            <w:r w:rsidR="00CA4326" w:rsidRPr="00150CD2">
              <w:rPr>
                <w:rFonts w:cs="Arial"/>
                <w:sz w:val="24"/>
              </w:rPr>
              <w:t xml:space="preserve"> times </w:t>
            </w:r>
            <w:r w:rsidRPr="00150CD2">
              <w:rPr>
                <w:rFonts w:cs="Arial"/>
                <w:sz w:val="24"/>
              </w:rPr>
              <w:t>higher than for other MidCentral young people (22%). Māori young people were twice as likely to draw on these payments as non-Māori young people.</w:t>
            </w:r>
          </w:p>
        </w:tc>
      </w:tr>
      <w:tr w:rsidR="002F4E67" w:rsidRPr="00150CD2" w14:paraId="73B284F1" w14:textId="77777777" w:rsidTr="00336432">
        <w:tc>
          <w:tcPr>
            <w:tcW w:w="1323" w:type="dxa"/>
            <w:tcBorders>
              <w:top w:val="nil"/>
            </w:tcBorders>
          </w:tcPr>
          <w:p w14:paraId="1FEBEABD" w14:textId="77777777" w:rsidR="002F4E67" w:rsidRPr="00150CD2" w:rsidRDefault="002F4E67" w:rsidP="00254F21">
            <w:pPr>
              <w:pStyle w:val="EYTableText"/>
              <w:rPr>
                <w:rFonts w:cs="Arial"/>
                <w:sz w:val="24"/>
              </w:rPr>
            </w:pPr>
          </w:p>
        </w:tc>
        <w:tc>
          <w:tcPr>
            <w:tcW w:w="1872" w:type="dxa"/>
          </w:tcPr>
          <w:p w14:paraId="38992116" w14:textId="0B30E4E0" w:rsidR="002F4E67" w:rsidRPr="00150CD2" w:rsidRDefault="002F4E67" w:rsidP="00254F21">
            <w:pPr>
              <w:pStyle w:val="EYTableText"/>
              <w:rPr>
                <w:rFonts w:cs="Arial"/>
                <w:sz w:val="24"/>
              </w:rPr>
            </w:pPr>
            <w:r w:rsidRPr="00150CD2">
              <w:rPr>
                <w:rFonts w:cs="Arial"/>
                <w:sz w:val="24"/>
              </w:rPr>
              <w:t>Address changes and social housing</w:t>
            </w:r>
          </w:p>
        </w:tc>
        <w:tc>
          <w:tcPr>
            <w:tcW w:w="10699" w:type="dxa"/>
          </w:tcPr>
          <w:p w14:paraId="6DC92C7B" w14:textId="464084FF" w:rsidR="002F4E67" w:rsidRPr="00150CD2" w:rsidRDefault="002F4E67" w:rsidP="00D143A9">
            <w:pPr>
              <w:pStyle w:val="EYTablebullet1"/>
              <w:spacing w:before="0" w:after="120"/>
              <w:rPr>
                <w:rFonts w:cs="Arial"/>
                <w:sz w:val="24"/>
              </w:rPr>
            </w:pPr>
            <w:r w:rsidRPr="00150CD2">
              <w:rPr>
                <w:rFonts w:cs="Arial"/>
                <w:sz w:val="24"/>
              </w:rPr>
              <w:t>The cohort reported fewer residential address changes than other MidCentral young people – around 4</w:t>
            </w:r>
            <w:r w:rsidR="005B5CC5" w:rsidRPr="00150CD2">
              <w:rPr>
                <w:rFonts w:cs="Arial"/>
                <w:sz w:val="24"/>
              </w:rPr>
              <w:t>5</w:t>
            </w:r>
            <w:r w:rsidRPr="00150CD2">
              <w:rPr>
                <w:rFonts w:cs="Arial"/>
                <w:sz w:val="24"/>
              </w:rPr>
              <w:t xml:space="preserve">% reported no address changes over the </w:t>
            </w:r>
            <w:r w:rsidR="005B5CC5" w:rsidRPr="00150CD2">
              <w:rPr>
                <w:rFonts w:cs="Arial"/>
                <w:sz w:val="24"/>
              </w:rPr>
              <w:t>3</w:t>
            </w:r>
            <w:r w:rsidRPr="00150CD2">
              <w:rPr>
                <w:rFonts w:cs="Arial"/>
                <w:sz w:val="24"/>
              </w:rPr>
              <w:t xml:space="preserve"> year period, compared to </w:t>
            </w:r>
            <w:r w:rsidR="005B5CC5" w:rsidRPr="00150CD2">
              <w:rPr>
                <w:rFonts w:cs="Arial"/>
                <w:sz w:val="24"/>
              </w:rPr>
              <w:t>31</w:t>
            </w:r>
            <w:r w:rsidRPr="00150CD2">
              <w:rPr>
                <w:rFonts w:cs="Arial"/>
                <w:sz w:val="24"/>
              </w:rPr>
              <w:t>% of non-</w:t>
            </w:r>
            <w:r w:rsidR="00465236" w:rsidRPr="00150CD2">
              <w:rPr>
                <w:rFonts w:cs="Arial"/>
                <w:sz w:val="24"/>
              </w:rPr>
              <w:t>DSS</w:t>
            </w:r>
            <w:r w:rsidRPr="00150CD2">
              <w:rPr>
                <w:rFonts w:cs="Arial"/>
                <w:sz w:val="24"/>
              </w:rPr>
              <w:t xml:space="preserve"> MidCentral young people. Non-Māori young people were less likely to report address changes.</w:t>
            </w:r>
          </w:p>
          <w:p w14:paraId="65972D52" w14:textId="55BCBD4C" w:rsidR="002F4E67" w:rsidRPr="00150CD2" w:rsidRDefault="002F4E67" w:rsidP="00DC0A63">
            <w:pPr>
              <w:pStyle w:val="EYTablebullet1"/>
              <w:keepLines/>
              <w:spacing w:before="0" w:after="120"/>
              <w:ind w:left="288" w:hanging="288"/>
              <w:rPr>
                <w:rFonts w:cs="Arial"/>
                <w:i/>
                <w:sz w:val="24"/>
              </w:rPr>
            </w:pPr>
            <w:r w:rsidRPr="00150CD2">
              <w:rPr>
                <w:rFonts w:cs="Arial"/>
                <w:sz w:val="24"/>
              </w:rPr>
              <w:t>1</w:t>
            </w:r>
            <w:r w:rsidR="005B5CC5" w:rsidRPr="00150CD2">
              <w:rPr>
                <w:rFonts w:cs="Arial"/>
                <w:sz w:val="24"/>
              </w:rPr>
              <w:t>3</w:t>
            </w:r>
            <w:r w:rsidRPr="00150CD2">
              <w:rPr>
                <w:rFonts w:cs="Arial"/>
                <w:sz w:val="24"/>
              </w:rPr>
              <w:t>% of MidCentral DSS young people aged 1</w:t>
            </w:r>
            <w:r w:rsidR="005B5CC5" w:rsidRPr="00150CD2">
              <w:rPr>
                <w:rFonts w:cs="Arial"/>
                <w:sz w:val="24"/>
              </w:rPr>
              <w:t>5</w:t>
            </w:r>
            <w:r w:rsidRPr="00150CD2">
              <w:rPr>
                <w:rFonts w:cs="Arial"/>
                <w:sz w:val="24"/>
              </w:rPr>
              <w:t>-2</w:t>
            </w:r>
            <w:r w:rsidR="005B5CC5" w:rsidRPr="00150CD2">
              <w:rPr>
                <w:rFonts w:cs="Arial"/>
                <w:sz w:val="24"/>
              </w:rPr>
              <w:t>4</w:t>
            </w:r>
            <w:r w:rsidRPr="00150CD2">
              <w:rPr>
                <w:rFonts w:cs="Arial"/>
                <w:sz w:val="24"/>
              </w:rPr>
              <w:t xml:space="preserve"> lived in social housing and </w:t>
            </w:r>
            <w:r w:rsidR="005B5CC5" w:rsidRPr="00150CD2">
              <w:rPr>
                <w:rFonts w:cs="Arial"/>
                <w:sz w:val="24"/>
              </w:rPr>
              <w:t>9</w:t>
            </w:r>
            <w:r w:rsidRPr="00150CD2">
              <w:rPr>
                <w:rFonts w:cs="Arial"/>
                <w:sz w:val="24"/>
              </w:rPr>
              <w:t xml:space="preserve">% were on the public housing register as priority A or B for some or all of the 3 year period. Social housing tenancy rates are similar to those of the broader DSS </w:t>
            </w:r>
            <w:r w:rsidR="003408B5" w:rsidRPr="00150CD2">
              <w:rPr>
                <w:rFonts w:cs="Arial"/>
                <w:sz w:val="24"/>
              </w:rPr>
              <w:t>population;</w:t>
            </w:r>
            <w:r w:rsidR="005B5CC5" w:rsidRPr="00150CD2">
              <w:rPr>
                <w:rFonts w:cs="Arial"/>
                <w:sz w:val="24"/>
              </w:rPr>
              <w:t xml:space="preserve"> however a higher proportion of young people were on the priority A/B waitlist compared to DSS young people in other areas (5%). Both social housing tenancy and priority waitlist rates were </w:t>
            </w:r>
            <w:r w:rsidRPr="00150CD2">
              <w:rPr>
                <w:rFonts w:cs="Arial"/>
                <w:sz w:val="24"/>
              </w:rPr>
              <w:t>around 3</w:t>
            </w:r>
            <w:r w:rsidR="00CA4326" w:rsidRPr="00150CD2">
              <w:rPr>
                <w:rFonts w:cs="Arial"/>
                <w:sz w:val="24"/>
              </w:rPr>
              <w:t xml:space="preserve"> times </w:t>
            </w:r>
            <w:r w:rsidRPr="00150CD2">
              <w:rPr>
                <w:rFonts w:cs="Arial"/>
                <w:sz w:val="24"/>
              </w:rPr>
              <w:t>higher than for non-DSS young people in MidCentral.</w:t>
            </w:r>
          </w:p>
        </w:tc>
      </w:tr>
    </w:tbl>
    <w:p w14:paraId="5632E109" w14:textId="77777777" w:rsidR="00727B7B" w:rsidRPr="00150CD2" w:rsidRDefault="00727B7B">
      <w:pPr>
        <w:autoSpaceDE/>
        <w:autoSpaceDN/>
        <w:adjustRightInd/>
        <w:rPr>
          <w:rFonts w:cs="Arial"/>
        </w:rPr>
      </w:pPr>
      <w:bookmarkStart w:id="98" w:name="_Toc40564656"/>
      <w:bookmarkStart w:id="99" w:name="_Toc23359776"/>
      <w:bookmarkEnd w:id="98"/>
      <w:r w:rsidRPr="00150CD2">
        <w:rPr>
          <w:rFonts w:cs="Arial"/>
        </w:rPr>
        <w:br w:type="page"/>
      </w:r>
    </w:p>
    <w:p w14:paraId="0B9D6C86" w14:textId="2BB9258E" w:rsidR="005F6775" w:rsidRPr="00150CD2" w:rsidRDefault="005F6775" w:rsidP="00184038">
      <w:pPr>
        <w:pStyle w:val="EYHeading2"/>
        <w:rPr>
          <w:lang w:val="en-NZ"/>
        </w:rPr>
      </w:pPr>
      <w:bookmarkStart w:id="100" w:name="_Toc46365143"/>
      <w:bookmarkStart w:id="101" w:name="_Toc48752361"/>
      <w:r w:rsidRPr="00150CD2">
        <w:rPr>
          <w:lang w:val="en-NZ"/>
        </w:rPr>
        <w:t xml:space="preserve">Adults aged </w:t>
      </w:r>
      <w:r w:rsidR="00593C07" w:rsidRPr="00150CD2">
        <w:rPr>
          <w:lang w:val="en-NZ"/>
        </w:rPr>
        <w:t>25</w:t>
      </w:r>
      <w:r w:rsidRPr="00150CD2">
        <w:rPr>
          <w:lang w:val="en-NZ"/>
        </w:rPr>
        <w:t>-6</w:t>
      </w:r>
      <w:r w:rsidR="009059C4" w:rsidRPr="00150CD2">
        <w:rPr>
          <w:lang w:val="en-NZ"/>
        </w:rPr>
        <w:t>4</w:t>
      </w:r>
      <w:r w:rsidRPr="00150CD2">
        <w:rPr>
          <w:lang w:val="en-NZ"/>
        </w:rPr>
        <w:t xml:space="preserve"> years</w:t>
      </w:r>
      <w:bookmarkEnd w:id="99"/>
      <w:bookmarkEnd w:id="100"/>
      <w:bookmarkEnd w:id="101"/>
    </w:p>
    <w:p w14:paraId="3E9F889A" w14:textId="6C0EB19F" w:rsidR="005F6775" w:rsidRPr="00150CD2" w:rsidRDefault="005F6775" w:rsidP="009059C4">
      <w:pPr>
        <w:pStyle w:val="EYSubheading"/>
        <w:rPr>
          <w:rFonts w:cs="Arial"/>
        </w:rPr>
      </w:pPr>
      <w:r w:rsidRPr="00150CD2">
        <w:rPr>
          <w:rFonts w:cs="Arial"/>
        </w:rPr>
        <w:t xml:space="preserve">Key transitions: Some people in this cohort are </w:t>
      </w:r>
      <w:r w:rsidR="00524A41" w:rsidRPr="00150CD2">
        <w:rPr>
          <w:rFonts w:cs="Arial"/>
        </w:rPr>
        <w:t>transitioning into a new living situation</w:t>
      </w:r>
      <w:r w:rsidRPr="00150CD2">
        <w:rPr>
          <w:rFonts w:cs="Arial"/>
        </w:rPr>
        <w:t xml:space="preserve">, while others remain </w:t>
      </w:r>
      <w:r w:rsidR="00360FC5" w:rsidRPr="00150CD2">
        <w:rPr>
          <w:rFonts w:cs="Arial"/>
        </w:rPr>
        <w:t xml:space="preserve">at home, </w:t>
      </w:r>
      <w:r w:rsidRPr="00150CD2">
        <w:rPr>
          <w:rFonts w:cs="Arial"/>
        </w:rPr>
        <w:t>with their family, residential</w:t>
      </w:r>
      <w:r w:rsidR="00360FC5" w:rsidRPr="00150CD2">
        <w:rPr>
          <w:rFonts w:cs="Arial"/>
        </w:rPr>
        <w:t xml:space="preserve"> services</w:t>
      </w:r>
      <w:r w:rsidRPr="00150CD2">
        <w:rPr>
          <w:rFonts w:cs="Arial"/>
        </w:rPr>
        <w:t>,</w:t>
      </w:r>
      <w:r w:rsidR="00360FC5" w:rsidRPr="00150CD2">
        <w:rPr>
          <w:rFonts w:cs="Arial"/>
        </w:rPr>
        <w:t xml:space="preserve"> </w:t>
      </w:r>
      <w:r w:rsidRPr="00150CD2">
        <w:rPr>
          <w:rFonts w:cs="Arial"/>
        </w:rPr>
        <w:t>or other living situation, supported by family/whānau and other key support people (e.g. carers</w:t>
      </w:r>
      <w:r w:rsidR="00B60DAB" w:rsidRPr="00150CD2">
        <w:rPr>
          <w:rFonts w:cs="Arial"/>
        </w:rPr>
        <w:t>, support workers</w:t>
      </w:r>
      <w:r w:rsidRPr="00150CD2">
        <w:rPr>
          <w:rFonts w:cs="Arial"/>
        </w:rPr>
        <w:t xml:space="preserve">). </w:t>
      </w:r>
      <w:r w:rsidR="00524A41" w:rsidRPr="00150CD2">
        <w:rPr>
          <w:rFonts w:cs="Arial"/>
        </w:rPr>
        <w:t>People progress through their middle adult years with income,</w:t>
      </w:r>
      <w:r w:rsidR="003359F4" w:rsidRPr="00150CD2">
        <w:rPr>
          <w:rFonts w:cs="Arial"/>
        </w:rPr>
        <w:t xml:space="preserve"> employment,</w:t>
      </w:r>
      <w:r w:rsidR="00524A41" w:rsidRPr="00150CD2">
        <w:rPr>
          <w:rFonts w:cs="Arial"/>
        </w:rPr>
        <w:t xml:space="preserve"> housing, health, relationships with family and friends and connection to community being important areas of wellbeing.</w:t>
      </w:r>
    </w:p>
    <w:p w14:paraId="4E96AE9C" w14:textId="23E5AFAA" w:rsidR="0076676B" w:rsidRPr="00150CD2" w:rsidRDefault="0076676B" w:rsidP="0076676B">
      <w:pPr>
        <w:pStyle w:val="EYBodytextwithparaspace"/>
        <w:rPr>
          <w:rFonts w:cs="Arial"/>
          <w:lang w:eastAsia="en-AU"/>
        </w:rPr>
      </w:pPr>
      <w:r w:rsidRPr="00150CD2">
        <w:rPr>
          <w:rFonts w:cs="Arial"/>
          <w:lang w:eastAsia="en-AU"/>
        </w:rPr>
        <w:t xml:space="preserve">At 30 June 2018 there were </w:t>
      </w:r>
      <w:r w:rsidR="00972B50" w:rsidRPr="00150CD2">
        <w:rPr>
          <w:rFonts w:cs="Arial"/>
          <w:lang w:eastAsia="en-AU"/>
        </w:rPr>
        <w:t>around 920</w:t>
      </w:r>
      <w:r w:rsidRPr="00150CD2">
        <w:rPr>
          <w:rFonts w:cs="Arial"/>
          <w:lang w:eastAsia="en-AU"/>
        </w:rPr>
        <w:t xml:space="preserve"> adults aged </w:t>
      </w:r>
      <w:r w:rsidR="005D3465" w:rsidRPr="00150CD2">
        <w:rPr>
          <w:rFonts w:cs="Arial"/>
          <w:lang w:eastAsia="en-AU"/>
        </w:rPr>
        <w:t>25</w:t>
      </w:r>
      <w:r w:rsidRPr="00150CD2">
        <w:rPr>
          <w:rFonts w:cs="Arial"/>
          <w:lang w:eastAsia="en-AU"/>
        </w:rPr>
        <w:t>-64 allocated DSS funding in MidCentral</w:t>
      </w:r>
      <w:r w:rsidR="009330A1" w:rsidRPr="00150CD2">
        <w:rPr>
          <w:rFonts w:cs="Arial"/>
          <w:lang w:eastAsia="en-AU"/>
        </w:rPr>
        <w:t xml:space="preserve"> </w:t>
      </w:r>
      <w:r w:rsidR="005D3465" w:rsidRPr="00150CD2">
        <w:rPr>
          <w:rFonts w:cs="Arial"/>
          <w:lang w:eastAsia="en-AU"/>
        </w:rPr>
        <w:t>over the year to 30 June 2018</w:t>
      </w:r>
      <w:r w:rsidRPr="00150CD2">
        <w:rPr>
          <w:rFonts w:cs="Arial"/>
          <w:lang w:eastAsia="en-AU"/>
        </w:rPr>
        <w:t xml:space="preserve">. Of these, </w:t>
      </w:r>
      <w:r w:rsidR="00972B50" w:rsidRPr="00150CD2">
        <w:rPr>
          <w:rFonts w:cs="Arial"/>
          <w:lang w:eastAsia="en-AU"/>
        </w:rPr>
        <w:t>around 325 were aged 25-44 and around 595 were aged 45-64</w:t>
      </w:r>
      <w:r w:rsidRPr="00150CD2">
        <w:rPr>
          <w:rFonts w:cs="Arial"/>
          <w:lang w:eastAsia="en-AU"/>
        </w:rPr>
        <w:t>. Key demographic and socioeconomic characteristics are summarised below.</w:t>
      </w:r>
    </w:p>
    <w:p w14:paraId="05B56F8A" w14:textId="72464B3D" w:rsidR="0076676B" w:rsidRPr="00150CD2" w:rsidRDefault="0076676B" w:rsidP="00D143A9">
      <w:pPr>
        <w:pStyle w:val="EYBulletedText1"/>
        <w:rPr>
          <w:rFonts w:cs="Arial"/>
          <w:lang w:eastAsia="en-AU"/>
        </w:rPr>
      </w:pPr>
      <w:r w:rsidRPr="00150CD2">
        <w:rPr>
          <w:rFonts w:cs="Arial"/>
          <w:lang w:eastAsia="en-AU"/>
        </w:rPr>
        <w:t>The majority have intellectual disability (</w:t>
      </w:r>
      <w:r w:rsidR="00972B50" w:rsidRPr="00150CD2">
        <w:rPr>
          <w:rFonts w:cs="Arial"/>
          <w:lang w:eastAsia="en-AU"/>
        </w:rPr>
        <w:t>62</w:t>
      </w:r>
      <w:r w:rsidRPr="00150CD2">
        <w:rPr>
          <w:rFonts w:cs="Arial"/>
          <w:lang w:eastAsia="en-AU"/>
        </w:rPr>
        <w:t>%) or physical disability (</w:t>
      </w:r>
      <w:r w:rsidR="00972B50" w:rsidRPr="00150CD2">
        <w:rPr>
          <w:rFonts w:cs="Arial"/>
          <w:lang w:eastAsia="en-AU"/>
        </w:rPr>
        <w:t>31</w:t>
      </w:r>
      <w:r w:rsidRPr="00150CD2">
        <w:rPr>
          <w:rFonts w:cs="Arial"/>
          <w:lang w:eastAsia="en-AU"/>
        </w:rPr>
        <w:t xml:space="preserve">%) as their </w:t>
      </w:r>
      <w:r w:rsidR="009E4F58" w:rsidRPr="00150CD2">
        <w:rPr>
          <w:rFonts w:cs="Arial"/>
          <w:lang w:eastAsia="en-AU"/>
        </w:rPr>
        <w:t>prioritised</w:t>
      </w:r>
      <w:r w:rsidRPr="00150CD2">
        <w:rPr>
          <w:rFonts w:cs="Arial"/>
          <w:lang w:eastAsia="en-AU"/>
        </w:rPr>
        <w:t xml:space="preserve"> disability, followed by </w:t>
      </w:r>
      <w:r w:rsidR="00972B50" w:rsidRPr="00150CD2">
        <w:rPr>
          <w:rFonts w:cs="Arial"/>
          <w:lang w:eastAsia="en-AU"/>
        </w:rPr>
        <w:t>3</w:t>
      </w:r>
      <w:r w:rsidRPr="00150CD2">
        <w:rPr>
          <w:rFonts w:cs="Arial"/>
          <w:lang w:eastAsia="en-AU"/>
        </w:rPr>
        <w:t>% with a sensory disability. Home and community support (</w:t>
      </w:r>
      <w:r w:rsidR="005D3465" w:rsidRPr="00150CD2">
        <w:rPr>
          <w:rFonts w:cs="Arial"/>
          <w:lang w:eastAsia="en-AU"/>
        </w:rPr>
        <w:t>4</w:t>
      </w:r>
      <w:r w:rsidR="00AE4EC3" w:rsidRPr="00150CD2">
        <w:rPr>
          <w:rFonts w:cs="Arial"/>
          <w:lang w:eastAsia="en-AU"/>
        </w:rPr>
        <w:t>6</w:t>
      </w:r>
      <w:r w:rsidRPr="00150CD2">
        <w:rPr>
          <w:rFonts w:cs="Arial"/>
          <w:lang w:eastAsia="en-AU"/>
        </w:rPr>
        <w:t xml:space="preserve">%), residential </w:t>
      </w:r>
      <w:r w:rsidR="00360FC5" w:rsidRPr="00150CD2">
        <w:rPr>
          <w:rFonts w:cs="Arial"/>
          <w:lang w:eastAsia="en-AU"/>
        </w:rPr>
        <w:t xml:space="preserve">services </w:t>
      </w:r>
      <w:r w:rsidRPr="00150CD2">
        <w:rPr>
          <w:rFonts w:cs="Arial"/>
          <w:lang w:eastAsia="en-AU"/>
        </w:rPr>
        <w:t>(</w:t>
      </w:r>
      <w:r w:rsidR="005D3465" w:rsidRPr="00150CD2">
        <w:rPr>
          <w:rFonts w:cs="Arial"/>
          <w:lang w:eastAsia="en-AU"/>
        </w:rPr>
        <w:t>3</w:t>
      </w:r>
      <w:r w:rsidR="00AE4EC3" w:rsidRPr="00150CD2">
        <w:rPr>
          <w:rFonts w:cs="Arial"/>
          <w:lang w:eastAsia="en-AU"/>
        </w:rPr>
        <w:t>5</w:t>
      </w:r>
      <w:r w:rsidRPr="00150CD2">
        <w:rPr>
          <w:rFonts w:cs="Arial"/>
          <w:lang w:eastAsia="en-AU"/>
        </w:rPr>
        <w:t>%), respite (</w:t>
      </w:r>
      <w:r w:rsidR="005D3465" w:rsidRPr="00150CD2">
        <w:rPr>
          <w:rFonts w:cs="Arial"/>
          <w:lang w:eastAsia="en-AU"/>
        </w:rPr>
        <w:t>24</w:t>
      </w:r>
      <w:r w:rsidRPr="00150CD2">
        <w:rPr>
          <w:rFonts w:cs="Arial"/>
          <w:lang w:eastAsia="en-AU"/>
        </w:rPr>
        <w:t>%), supported living (</w:t>
      </w:r>
      <w:r w:rsidR="005D3465" w:rsidRPr="00150CD2">
        <w:rPr>
          <w:rFonts w:cs="Arial"/>
          <w:lang w:eastAsia="en-AU"/>
        </w:rPr>
        <w:t>2</w:t>
      </w:r>
      <w:r w:rsidR="00AE4EC3" w:rsidRPr="00150CD2">
        <w:rPr>
          <w:rFonts w:cs="Arial"/>
          <w:lang w:eastAsia="en-AU"/>
        </w:rPr>
        <w:t>0</w:t>
      </w:r>
      <w:r w:rsidRPr="00150CD2">
        <w:rPr>
          <w:rFonts w:cs="Arial"/>
          <w:lang w:eastAsia="en-AU"/>
        </w:rPr>
        <w:t>%) and day services (</w:t>
      </w:r>
      <w:r w:rsidR="005D3465" w:rsidRPr="00150CD2">
        <w:rPr>
          <w:rFonts w:cs="Arial"/>
          <w:lang w:eastAsia="en-AU"/>
        </w:rPr>
        <w:t>16</w:t>
      </w:r>
      <w:r w:rsidRPr="00150CD2">
        <w:rPr>
          <w:rFonts w:cs="Arial"/>
          <w:lang w:eastAsia="en-AU"/>
        </w:rPr>
        <w:t xml:space="preserve">%) were key </w:t>
      </w:r>
      <w:r w:rsidR="005D3465" w:rsidRPr="00150CD2">
        <w:rPr>
          <w:rFonts w:cs="Arial"/>
          <w:lang w:eastAsia="en-AU"/>
        </w:rPr>
        <w:t xml:space="preserve">service </w:t>
      </w:r>
      <w:r w:rsidRPr="00150CD2">
        <w:rPr>
          <w:rFonts w:cs="Arial"/>
          <w:lang w:eastAsia="en-AU"/>
        </w:rPr>
        <w:t>types allocated.</w:t>
      </w:r>
    </w:p>
    <w:p w14:paraId="281298C6" w14:textId="7515B7F5" w:rsidR="00DF6AB4" w:rsidRPr="00150CD2" w:rsidRDefault="00DF6AB4" w:rsidP="00D143A9">
      <w:pPr>
        <w:pStyle w:val="EYBulletedText1"/>
        <w:rPr>
          <w:rFonts w:cs="Arial"/>
          <w:lang w:eastAsia="en-AU"/>
        </w:rPr>
      </w:pPr>
      <w:r w:rsidRPr="00150CD2">
        <w:rPr>
          <w:rFonts w:cs="Arial"/>
          <w:lang w:eastAsia="en-AU"/>
        </w:rPr>
        <w:t>At a national level, responses from DSS clients aged 2</w:t>
      </w:r>
      <w:r w:rsidR="003359F4" w:rsidRPr="00150CD2">
        <w:rPr>
          <w:rFonts w:cs="Arial"/>
          <w:lang w:eastAsia="en-AU"/>
        </w:rPr>
        <w:t>5</w:t>
      </w:r>
      <w:r w:rsidRPr="00150CD2">
        <w:rPr>
          <w:rFonts w:cs="Arial"/>
          <w:lang w:eastAsia="en-AU"/>
        </w:rPr>
        <w:t>-64 to the 2013 Disability Survey</w:t>
      </w:r>
      <w:r w:rsidR="004D2188" w:rsidRPr="00150CD2">
        <w:rPr>
          <w:rStyle w:val="FootnoteReference"/>
          <w:rFonts w:ascii="Arial" w:hAnsi="Arial" w:cs="Arial"/>
          <w:lang w:eastAsia="en-AU"/>
        </w:rPr>
        <w:footnoteReference w:id="33"/>
      </w:r>
      <w:r w:rsidRPr="00150CD2">
        <w:rPr>
          <w:rFonts w:cs="Arial"/>
          <w:lang w:eastAsia="en-AU"/>
        </w:rPr>
        <w:t xml:space="preserve"> suggest that family members living with the disabled person are the main carer for around half of adult DSS clients. Another 10% have family members as carers who live separately from the respondents. Around 40% are in residential </w:t>
      </w:r>
      <w:r w:rsidR="00360FC5" w:rsidRPr="00150CD2">
        <w:rPr>
          <w:rFonts w:cs="Arial"/>
          <w:lang w:eastAsia="en-AU"/>
        </w:rPr>
        <w:t xml:space="preserve">services </w:t>
      </w:r>
      <w:r w:rsidRPr="00150CD2">
        <w:rPr>
          <w:rFonts w:cs="Arial"/>
          <w:lang w:eastAsia="en-AU"/>
        </w:rPr>
        <w:t xml:space="preserve">or have </w:t>
      </w:r>
      <w:r w:rsidR="00F82F11" w:rsidRPr="00150CD2">
        <w:rPr>
          <w:rFonts w:cs="Arial"/>
          <w:lang w:eastAsia="en-AU"/>
        </w:rPr>
        <w:t xml:space="preserve">support </w:t>
      </w:r>
      <w:r w:rsidRPr="00150CD2">
        <w:rPr>
          <w:rFonts w:cs="Arial"/>
          <w:lang w:eastAsia="en-AU"/>
        </w:rPr>
        <w:t xml:space="preserve">provided by a non-family member. </w:t>
      </w:r>
    </w:p>
    <w:p w14:paraId="21BF8E09" w14:textId="00C64898" w:rsidR="00DF6AB4" w:rsidRPr="00150CD2" w:rsidRDefault="005D3465" w:rsidP="00D143A9">
      <w:pPr>
        <w:pStyle w:val="EYBulletedText1"/>
        <w:rPr>
          <w:rFonts w:cs="Arial"/>
          <w:lang w:eastAsia="en-AU"/>
        </w:rPr>
      </w:pPr>
      <w:r w:rsidRPr="00150CD2">
        <w:rPr>
          <w:rFonts w:cs="Arial"/>
          <w:lang w:eastAsia="en-AU"/>
        </w:rPr>
        <w:t>8</w:t>
      </w:r>
      <w:r w:rsidR="00DF6AB4" w:rsidRPr="00150CD2">
        <w:rPr>
          <w:rFonts w:cs="Arial"/>
          <w:lang w:eastAsia="en-AU"/>
        </w:rPr>
        <w:t xml:space="preserve">% live in the 20% least deprived areas of NZ while </w:t>
      </w:r>
      <w:r w:rsidRPr="00150CD2">
        <w:rPr>
          <w:rFonts w:cs="Arial"/>
          <w:lang w:eastAsia="en-AU"/>
        </w:rPr>
        <w:t>33</w:t>
      </w:r>
      <w:r w:rsidR="00DF6AB4" w:rsidRPr="00150CD2">
        <w:rPr>
          <w:rFonts w:cs="Arial"/>
          <w:lang w:eastAsia="en-AU"/>
        </w:rPr>
        <w:t>% live in the 20% most deprived areas.</w:t>
      </w:r>
      <w:r w:rsidR="00727B7B" w:rsidRPr="00150CD2">
        <w:rPr>
          <w:rFonts w:cs="Arial"/>
          <w:lang w:eastAsia="en-AU"/>
        </w:rPr>
        <w:br/>
        <w:t>MidCentral DSS adults aged 25-64 are slightly more likely to live in areas with deprivation compared to DSS adults in other regions (where 30% live in the 20% most deprived areas). They are also more likely to live in areas with deprivation relative to non-DSS adults in MidCentral (where 25% live in the 20% most deprived areas).</w:t>
      </w:r>
    </w:p>
    <w:p w14:paraId="55C69EE0" w14:textId="0F9D25FA" w:rsidR="00AC7BA3" w:rsidRPr="00150CD2" w:rsidRDefault="0076676B" w:rsidP="00823BE6">
      <w:pPr>
        <w:pStyle w:val="EYBodytextwithparaspace"/>
        <w:rPr>
          <w:rFonts w:cs="Arial"/>
          <w:b/>
          <w:bCs/>
          <w:color w:val="808080"/>
          <w:sz w:val="16"/>
          <w:szCs w:val="18"/>
        </w:rPr>
      </w:pPr>
      <w:r w:rsidRPr="00150CD2">
        <w:rPr>
          <w:rFonts w:cs="Arial"/>
          <w:lang w:eastAsia="en-AU"/>
        </w:rPr>
        <w:t xml:space="preserve">This section summarises some of the lifecourse outcomes and service contact indicators observed over </w:t>
      </w:r>
      <w:r w:rsidR="005D3465" w:rsidRPr="00150CD2">
        <w:rPr>
          <w:rFonts w:cs="Arial"/>
          <w:lang w:eastAsia="en-AU"/>
        </w:rPr>
        <w:t>the 3 year period to 30 June 2018</w:t>
      </w:r>
      <w:r w:rsidR="00593C07" w:rsidRPr="00150CD2">
        <w:rPr>
          <w:rStyle w:val="FootnoteReference"/>
          <w:rFonts w:ascii="Arial" w:hAnsi="Arial" w:cs="Arial"/>
          <w:lang w:eastAsia="en-AU"/>
        </w:rPr>
        <w:footnoteReference w:id="34"/>
      </w:r>
      <w:r w:rsidRPr="00150CD2">
        <w:rPr>
          <w:rFonts w:cs="Arial"/>
          <w:lang w:eastAsia="en-AU"/>
        </w:rPr>
        <w:t xml:space="preserve"> for </w:t>
      </w:r>
      <w:r w:rsidR="00DF6AB4" w:rsidRPr="00150CD2">
        <w:rPr>
          <w:rFonts w:cs="Arial"/>
          <w:lang w:eastAsia="en-AU"/>
        </w:rPr>
        <w:t>adults</w:t>
      </w:r>
      <w:r w:rsidRPr="00150CD2">
        <w:rPr>
          <w:rFonts w:cs="Arial"/>
          <w:lang w:eastAsia="en-AU"/>
        </w:rPr>
        <w:t xml:space="preserve"> who </w:t>
      </w:r>
      <w:r w:rsidR="00593C07" w:rsidRPr="00150CD2">
        <w:rPr>
          <w:rFonts w:cs="Arial"/>
          <w:lang w:eastAsia="en-AU"/>
        </w:rPr>
        <w:t xml:space="preserve">were allocated DSS over the 2018 year and </w:t>
      </w:r>
      <w:r w:rsidRPr="00150CD2">
        <w:rPr>
          <w:rFonts w:cs="Arial"/>
          <w:lang w:eastAsia="en-AU"/>
        </w:rPr>
        <w:t xml:space="preserve">were aged </w:t>
      </w:r>
      <w:r w:rsidR="00DF6AB4" w:rsidRPr="00150CD2">
        <w:rPr>
          <w:rFonts w:cs="Arial"/>
          <w:lang w:eastAsia="en-AU"/>
        </w:rPr>
        <w:t>2</w:t>
      </w:r>
      <w:r w:rsidR="005D3465" w:rsidRPr="00150CD2">
        <w:rPr>
          <w:rFonts w:cs="Arial"/>
          <w:lang w:eastAsia="en-AU"/>
        </w:rPr>
        <w:t>5</w:t>
      </w:r>
      <w:r w:rsidR="00DF6AB4" w:rsidRPr="00150CD2">
        <w:rPr>
          <w:rFonts w:cs="Arial"/>
          <w:lang w:eastAsia="en-AU"/>
        </w:rPr>
        <w:t>-64</w:t>
      </w:r>
      <w:r w:rsidRPr="00150CD2">
        <w:rPr>
          <w:rFonts w:cs="Arial"/>
          <w:lang w:eastAsia="en-AU"/>
        </w:rPr>
        <w:t xml:space="preserve"> at the start of the period</w:t>
      </w:r>
      <w:r w:rsidR="00593C07" w:rsidRPr="00150CD2">
        <w:rPr>
          <w:rFonts w:cs="Arial"/>
          <w:lang w:eastAsia="en-AU"/>
        </w:rPr>
        <w:t>.</w:t>
      </w:r>
      <w:r w:rsidR="005D3465" w:rsidRPr="00150CD2">
        <w:rPr>
          <w:rFonts w:cs="Arial"/>
          <w:lang w:eastAsia="en-AU"/>
        </w:rPr>
        <w:t xml:space="preserve"> </w:t>
      </w:r>
      <w:r w:rsidR="00593C07" w:rsidRPr="00150CD2">
        <w:rPr>
          <w:rFonts w:cs="Arial"/>
          <w:lang w:eastAsia="en-AU"/>
        </w:rPr>
        <w:t>Note that for some people this will include time prior to them receiving DSS funding.</w:t>
      </w:r>
      <w:r w:rsidR="00AC7BA3" w:rsidRPr="00150CD2">
        <w:rPr>
          <w:rFonts w:cs="Arial"/>
        </w:rPr>
        <w:br w:type="page"/>
      </w:r>
    </w:p>
    <w:p w14:paraId="38AB4ADF" w14:textId="12E3693A" w:rsidR="00593C07" w:rsidRPr="00150CD2" w:rsidRDefault="00A229FD" w:rsidP="00A229FD">
      <w:pPr>
        <w:pStyle w:val="Caption"/>
        <w:rPr>
          <w:rFonts w:cs="Arial"/>
          <w:lang w:eastAsia="en-AU"/>
        </w:rPr>
      </w:pPr>
      <w:r w:rsidRPr="00150CD2">
        <w:rPr>
          <w:rFonts w:cs="Arial"/>
        </w:rPr>
        <w:t xml:space="preserve">Figure </w:t>
      </w:r>
      <w:r w:rsidRPr="00150CD2">
        <w:rPr>
          <w:rFonts w:cs="Arial"/>
        </w:rPr>
        <w:fldChar w:fldCharType="begin"/>
      </w:r>
      <w:r w:rsidRPr="00150CD2">
        <w:rPr>
          <w:rFonts w:cs="Arial"/>
        </w:rPr>
        <w:instrText xml:space="preserve"> SEQ Figure \* ARABIC </w:instrText>
      </w:r>
      <w:r w:rsidRPr="00150CD2">
        <w:rPr>
          <w:rFonts w:cs="Arial"/>
        </w:rPr>
        <w:fldChar w:fldCharType="separate"/>
      </w:r>
      <w:r w:rsidR="00053D9A" w:rsidRPr="00150CD2">
        <w:rPr>
          <w:rFonts w:cs="Arial"/>
          <w:noProof/>
        </w:rPr>
        <w:t>7</w:t>
      </w:r>
      <w:r w:rsidRPr="00150CD2">
        <w:rPr>
          <w:rFonts w:cs="Arial"/>
        </w:rPr>
        <w:fldChar w:fldCharType="end"/>
      </w:r>
      <w:r w:rsidRPr="00150CD2">
        <w:rPr>
          <w:rFonts w:cs="Arial"/>
        </w:rPr>
        <w:t xml:space="preserve">: </w:t>
      </w:r>
      <w:r w:rsidR="008445B3" w:rsidRPr="00150CD2">
        <w:rPr>
          <w:rFonts w:cs="Arial"/>
        </w:rPr>
        <w:t xml:space="preserve">Comparison of key indicators over </w:t>
      </w:r>
      <w:r w:rsidR="00593C07" w:rsidRPr="00150CD2">
        <w:rPr>
          <w:rFonts w:cs="Arial"/>
        </w:rPr>
        <w:t>the 3 year period to 30 June 2018</w:t>
      </w:r>
      <w:r w:rsidR="008445B3" w:rsidRPr="00150CD2">
        <w:rPr>
          <w:rFonts w:cs="Arial"/>
        </w:rPr>
        <w:t xml:space="preserve">, for </w:t>
      </w:r>
      <w:r w:rsidR="003B50CC" w:rsidRPr="00150CD2">
        <w:rPr>
          <w:rFonts w:cs="Arial"/>
        </w:rPr>
        <w:t>adults</w:t>
      </w:r>
      <w:r w:rsidR="008445B3" w:rsidRPr="00150CD2">
        <w:rPr>
          <w:rFonts w:cs="Arial"/>
        </w:rPr>
        <w:t xml:space="preserve"> aged 25-64 allocated DSS and in the MidCentral population – incl. confidence intervals at the 95</w:t>
      </w:r>
      <w:r w:rsidR="008445B3" w:rsidRPr="00150CD2">
        <w:rPr>
          <w:rFonts w:cs="Arial"/>
          <w:vertAlign w:val="superscript"/>
        </w:rPr>
        <w:t>th</w:t>
      </w:r>
      <w:r w:rsidR="008445B3" w:rsidRPr="00150CD2">
        <w:rPr>
          <w:rFonts w:cs="Arial"/>
        </w:rPr>
        <w:t xml:space="preserve"> percentile level</w:t>
      </w:r>
    </w:p>
    <w:tbl>
      <w:tblPr>
        <w:tblW w:w="8208" w:type="dxa"/>
        <w:tblInd w:w="576" w:type="dxa"/>
        <w:tblCellMar>
          <w:left w:w="43" w:type="dxa"/>
          <w:right w:w="43" w:type="dxa"/>
        </w:tblCellMar>
        <w:tblLook w:val="04A0" w:firstRow="1" w:lastRow="0" w:firstColumn="1" w:lastColumn="0" w:noHBand="0" w:noVBand="1"/>
      </w:tblPr>
      <w:tblGrid>
        <w:gridCol w:w="288"/>
        <w:gridCol w:w="2592"/>
        <w:gridCol w:w="288"/>
        <w:gridCol w:w="2160"/>
        <w:gridCol w:w="288"/>
        <w:gridCol w:w="2592"/>
      </w:tblGrid>
      <w:tr w:rsidR="00EF0057" w:rsidRPr="00150CD2" w14:paraId="087CF87C" w14:textId="77777777" w:rsidTr="00823BE6">
        <w:tc>
          <w:tcPr>
            <w:tcW w:w="288" w:type="dxa"/>
            <w:shd w:val="clear" w:color="auto" w:fill="188CE5" w:themeFill="accent3"/>
            <w:noWrap/>
            <w:vAlign w:val="bottom"/>
            <w:hideMark/>
          </w:tcPr>
          <w:p w14:paraId="6F023962" w14:textId="77777777" w:rsidR="00EF0057" w:rsidRPr="00150CD2" w:rsidRDefault="00EF0057" w:rsidP="009C7EC4">
            <w:pPr>
              <w:pStyle w:val="EYTableText"/>
              <w:rPr>
                <w:rFonts w:cs="Arial"/>
                <w:sz w:val="20"/>
                <w:szCs w:val="20"/>
              </w:rPr>
            </w:pPr>
            <w:r w:rsidRPr="00150CD2">
              <w:rPr>
                <w:rFonts w:cs="Arial"/>
                <w:sz w:val="20"/>
                <w:szCs w:val="20"/>
              </w:rPr>
              <w:t> </w:t>
            </w:r>
          </w:p>
        </w:tc>
        <w:tc>
          <w:tcPr>
            <w:tcW w:w="2592" w:type="dxa"/>
            <w:tcBorders>
              <w:top w:val="nil"/>
              <w:left w:val="nil"/>
              <w:bottom w:val="nil"/>
              <w:right w:val="single" w:sz="4" w:space="0" w:color="FF9A4F"/>
            </w:tcBorders>
            <w:shd w:val="clear" w:color="auto" w:fill="auto"/>
            <w:noWrap/>
            <w:hideMark/>
          </w:tcPr>
          <w:p w14:paraId="43606015" w14:textId="7534557A" w:rsidR="00EF0057" w:rsidRPr="00150CD2" w:rsidRDefault="00EF0057" w:rsidP="009C7EC4">
            <w:pPr>
              <w:pStyle w:val="EYTableText"/>
              <w:rPr>
                <w:rFonts w:cs="Arial"/>
                <w:sz w:val="20"/>
                <w:szCs w:val="20"/>
              </w:rPr>
            </w:pPr>
            <w:r w:rsidRPr="00150CD2">
              <w:rPr>
                <w:rFonts w:cs="Arial"/>
                <w:sz w:val="20"/>
                <w:szCs w:val="20"/>
              </w:rPr>
              <w:t>MidCentral DSS adults</w:t>
            </w:r>
          </w:p>
        </w:tc>
        <w:tc>
          <w:tcPr>
            <w:tcW w:w="288" w:type="dxa"/>
            <w:tcBorders>
              <w:top w:val="single" w:sz="4" w:space="0" w:color="FF9A4F"/>
              <w:left w:val="single" w:sz="4" w:space="0" w:color="FF9A4F"/>
              <w:bottom w:val="single" w:sz="4" w:space="0" w:color="FF9A4F"/>
              <w:right w:val="single" w:sz="4" w:space="0" w:color="FF9A4F"/>
            </w:tcBorders>
            <w:shd w:val="diagStripe" w:color="FFFFFF" w:themeColor="background1" w:fill="FF9A4F"/>
          </w:tcPr>
          <w:p w14:paraId="6352ECA7" w14:textId="77777777" w:rsidR="00EF0057" w:rsidRPr="00150CD2" w:rsidRDefault="00EF0057" w:rsidP="009C7EC4">
            <w:pPr>
              <w:pStyle w:val="EYTableText"/>
              <w:rPr>
                <w:rFonts w:cs="Arial"/>
                <w:sz w:val="20"/>
                <w:szCs w:val="20"/>
              </w:rPr>
            </w:pPr>
          </w:p>
        </w:tc>
        <w:tc>
          <w:tcPr>
            <w:tcW w:w="2160" w:type="dxa"/>
            <w:tcBorders>
              <w:top w:val="nil"/>
              <w:left w:val="single" w:sz="4" w:space="0" w:color="FF9A4F"/>
              <w:bottom w:val="nil"/>
              <w:right w:val="nil"/>
            </w:tcBorders>
            <w:shd w:val="clear" w:color="auto" w:fill="auto"/>
          </w:tcPr>
          <w:p w14:paraId="7F4DB980" w14:textId="0A602287" w:rsidR="00EF0057" w:rsidRPr="00150CD2" w:rsidRDefault="00EF0057" w:rsidP="009C7EC4">
            <w:pPr>
              <w:pStyle w:val="EYTableText"/>
              <w:rPr>
                <w:rFonts w:cs="Arial"/>
                <w:sz w:val="20"/>
                <w:szCs w:val="20"/>
              </w:rPr>
            </w:pPr>
            <w:r w:rsidRPr="00150CD2">
              <w:rPr>
                <w:rFonts w:cs="Arial"/>
                <w:sz w:val="20"/>
                <w:szCs w:val="20"/>
              </w:rPr>
              <w:t>Other DSS adults</w:t>
            </w:r>
          </w:p>
        </w:tc>
        <w:tc>
          <w:tcPr>
            <w:tcW w:w="288" w:type="dxa"/>
            <w:tcBorders>
              <w:top w:val="nil"/>
              <w:left w:val="nil"/>
              <w:bottom w:val="nil"/>
              <w:right w:val="nil"/>
            </w:tcBorders>
            <w:shd w:val="clear" w:color="auto" w:fill="808080" w:themeFill="background1" w:themeFillShade="80"/>
          </w:tcPr>
          <w:p w14:paraId="63D266D9" w14:textId="77777777" w:rsidR="00EF0057" w:rsidRPr="00150CD2" w:rsidRDefault="00EF0057" w:rsidP="009C7EC4">
            <w:pPr>
              <w:pStyle w:val="EYTableText"/>
              <w:rPr>
                <w:rFonts w:cs="Arial"/>
                <w:sz w:val="20"/>
                <w:szCs w:val="20"/>
              </w:rPr>
            </w:pPr>
          </w:p>
        </w:tc>
        <w:tc>
          <w:tcPr>
            <w:tcW w:w="2592" w:type="dxa"/>
            <w:tcBorders>
              <w:top w:val="nil"/>
              <w:left w:val="nil"/>
              <w:bottom w:val="nil"/>
              <w:right w:val="nil"/>
            </w:tcBorders>
          </w:tcPr>
          <w:p w14:paraId="19C07CB5" w14:textId="35BE7795" w:rsidR="00EF0057" w:rsidRPr="00150CD2" w:rsidRDefault="00EF0057" w:rsidP="009C7EC4">
            <w:pPr>
              <w:pStyle w:val="EYTableText"/>
              <w:rPr>
                <w:rFonts w:cs="Arial"/>
                <w:sz w:val="20"/>
                <w:szCs w:val="20"/>
              </w:rPr>
            </w:pPr>
            <w:r w:rsidRPr="00150CD2">
              <w:rPr>
                <w:rFonts w:cs="Arial"/>
                <w:sz w:val="20"/>
                <w:szCs w:val="20"/>
              </w:rPr>
              <w:t>Other MidCentral adults</w:t>
            </w:r>
          </w:p>
        </w:tc>
      </w:tr>
    </w:tbl>
    <w:p w14:paraId="0E7C9883" w14:textId="0B40085F" w:rsidR="008445B3" w:rsidRPr="00150CD2" w:rsidRDefault="00885E3B" w:rsidP="00D143A9">
      <w:pPr>
        <w:pStyle w:val="EYBodytextwithoutparaspace"/>
        <w:rPr>
          <w:rFonts w:cs="Arial"/>
          <w:noProof/>
        </w:rPr>
      </w:pPr>
      <w:r w:rsidRPr="00150CD2">
        <w:rPr>
          <w:rFonts w:cs="Arial"/>
          <w:noProof/>
          <w:shd w:val="clear" w:color="auto" w:fill="FF9A4F"/>
        </w:rPr>
        <w:drawing>
          <wp:inline distT="0" distB="0" distL="0" distR="0" wp14:anchorId="73B107E1" wp14:editId="48A07951">
            <wp:extent cx="9001496" cy="3465195"/>
            <wp:effectExtent l="0" t="0" r="0" b="1905"/>
            <wp:docPr id="15" name="Chart 15" descr="Figure 7 chart highlights differences in selected wellbeing and outcome indicators over the 3 year period to 30 June 2018, for MidCentral DSS adults, other DSS adults outside MidCentral and other MidCentral adults aged 25-64 at the start of the period. Indicators graphed include: &#10;• % adults with Ambulatory Sensitive Hospitalisations&#10;• % adults with mental health related hospital or community provider service contact&#10;• % adults with at least 1 of the chronic conditions flagged by the Ministry&#10;• % adults aged 25-44 enrolled in further education&#10;• % adults with full driver licences&#10;• % adults with employment income over $5,000 over a year&#10;• % adults supported by main benefit &#10;• % adults who transitioned into residential services (DSS only)&#10;&#10;The rest of this section describes the key differences observed for each indicator.&#10;">
              <a:extLst xmlns:a="http://schemas.openxmlformats.org/drawingml/2006/main">
                <a:ext uri="{FF2B5EF4-FFF2-40B4-BE49-F238E27FC236}">
                  <a16:creationId xmlns:a16="http://schemas.microsoft.com/office/drawing/2014/main" id="{2FE9F3CF-A96A-4229-8BA3-405ADE0DE2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13452" w:type="dxa"/>
        <w:tblInd w:w="540" w:type="dxa"/>
        <w:tblLayout w:type="fixed"/>
        <w:tblLook w:val="04A0" w:firstRow="1" w:lastRow="0" w:firstColumn="1" w:lastColumn="0" w:noHBand="0" w:noVBand="1"/>
      </w:tblPr>
      <w:tblGrid>
        <w:gridCol w:w="1714"/>
        <w:gridCol w:w="1714"/>
        <w:gridCol w:w="1714"/>
        <w:gridCol w:w="1714"/>
        <w:gridCol w:w="1584"/>
        <w:gridCol w:w="1714"/>
        <w:gridCol w:w="1714"/>
        <w:gridCol w:w="1584"/>
      </w:tblGrid>
      <w:tr w:rsidR="00C871DF" w:rsidRPr="00150CD2" w14:paraId="30FA6FBA" w14:textId="77777777" w:rsidTr="00823BE6">
        <w:trPr>
          <w:trHeight w:val="300"/>
        </w:trPr>
        <w:tc>
          <w:tcPr>
            <w:tcW w:w="1714" w:type="dxa"/>
            <w:tcBorders>
              <w:top w:val="nil"/>
              <w:left w:val="nil"/>
              <w:bottom w:val="nil"/>
              <w:right w:val="nil"/>
            </w:tcBorders>
          </w:tcPr>
          <w:p w14:paraId="058F8A40" w14:textId="70C106C2" w:rsidR="00C871DF" w:rsidRPr="00150CD2" w:rsidRDefault="00C871DF" w:rsidP="00C871DF">
            <w:pPr>
              <w:pStyle w:val="EYTableText"/>
              <w:jc w:val="center"/>
              <w:rPr>
                <w:rFonts w:cs="Arial"/>
                <w:color w:val="404040" w:themeColor="background2" w:themeTint="BF"/>
                <w:sz w:val="20"/>
                <w:szCs w:val="20"/>
              </w:rPr>
            </w:pPr>
            <w:bookmarkStart w:id="102" w:name="_Hlk47222826"/>
            <w:r w:rsidRPr="00150CD2">
              <w:rPr>
                <w:rFonts w:cs="Arial"/>
                <w:sz w:val="20"/>
                <w:szCs w:val="20"/>
              </w:rPr>
              <w:t>% adults with Ambulatory Sensitive Hospitalisations over a 3 year period</w:t>
            </w:r>
          </w:p>
        </w:tc>
        <w:tc>
          <w:tcPr>
            <w:tcW w:w="1714" w:type="dxa"/>
            <w:tcBorders>
              <w:top w:val="nil"/>
              <w:left w:val="nil"/>
              <w:bottom w:val="nil"/>
              <w:right w:val="nil"/>
            </w:tcBorders>
            <w:shd w:val="clear" w:color="auto" w:fill="auto"/>
            <w:noWrap/>
            <w:hideMark/>
          </w:tcPr>
          <w:p w14:paraId="6EB77557" w14:textId="062F8554" w:rsidR="00C871DF" w:rsidRPr="00150CD2" w:rsidRDefault="00C871DF" w:rsidP="00C871DF">
            <w:pPr>
              <w:pStyle w:val="EYTableText"/>
              <w:jc w:val="center"/>
              <w:rPr>
                <w:rFonts w:cs="Arial"/>
                <w:color w:val="404040" w:themeColor="background2" w:themeTint="BF"/>
                <w:sz w:val="20"/>
                <w:szCs w:val="20"/>
              </w:rPr>
            </w:pPr>
            <w:r w:rsidRPr="00150CD2">
              <w:rPr>
                <w:rFonts w:cs="Arial"/>
                <w:sz w:val="20"/>
                <w:szCs w:val="20"/>
              </w:rPr>
              <w:t>% adults with mental health related hospital or community provider service contact</w:t>
            </w:r>
            <w:r w:rsidR="00D424B2" w:rsidRPr="00150CD2">
              <w:rPr>
                <w:rFonts w:cs="Arial"/>
                <w:sz w:val="20"/>
                <w:szCs w:val="20"/>
              </w:rPr>
              <w:t xml:space="preserve"> over a 3 year period</w:t>
            </w:r>
          </w:p>
        </w:tc>
        <w:tc>
          <w:tcPr>
            <w:tcW w:w="1714" w:type="dxa"/>
            <w:tcBorders>
              <w:top w:val="nil"/>
              <w:left w:val="nil"/>
              <w:bottom w:val="nil"/>
              <w:right w:val="nil"/>
            </w:tcBorders>
          </w:tcPr>
          <w:p w14:paraId="0F1D7E5F" w14:textId="66DCE05E" w:rsidR="00C871DF" w:rsidRPr="00150CD2" w:rsidRDefault="00C871DF" w:rsidP="00C871DF">
            <w:pPr>
              <w:pStyle w:val="EYTableText"/>
              <w:jc w:val="center"/>
              <w:rPr>
                <w:rFonts w:cs="Arial"/>
                <w:sz w:val="20"/>
                <w:szCs w:val="20"/>
              </w:rPr>
            </w:pPr>
            <w:r w:rsidRPr="00150CD2">
              <w:rPr>
                <w:rFonts w:cs="Arial"/>
                <w:sz w:val="20"/>
                <w:szCs w:val="20"/>
              </w:rPr>
              <w:t>% adults with at least 1 of the chronic conditions flagged by the Ministry</w:t>
            </w:r>
          </w:p>
        </w:tc>
        <w:tc>
          <w:tcPr>
            <w:tcW w:w="1714" w:type="dxa"/>
            <w:tcBorders>
              <w:top w:val="nil"/>
              <w:left w:val="nil"/>
              <w:bottom w:val="nil"/>
              <w:right w:val="nil"/>
            </w:tcBorders>
            <w:shd w:val="clear" w:color="auto" w:fill="auto"/>
            <w:noWrap/>
            <w:hideMark/>
          </w:tcPr>
          <w:p w14:paraId="7985CE69" w14:textId="0572B868" w:rsidR="00C871DF" w:rsidRPr="00150CD2" w:rsidRDefault="00C871DF" w:rsidP="00C871DF">
            <w:pPr>
              <w:pStyle w:val="EYTableText"/>
              <w:jc w:val="center"/>
              <w:rPr>
                <w:rFonts w:cs="Arial"/>
                <w:color w:val="404040" w:themeColor="background2" w:themeTint="BF"/>
                <w:sz w:val="20"/>
                <w:szCs w:val="20"/>
              </w:rPr>
            </w:pPr>
            <w:r w:rsidRPr="00150CD2">
              <w:rPr>
                <w:rFonts w:cs="Arial"/>
                <w:sz w:val="20"/>
                <w:szCs w:val="20"/>
              </w:rPr>
              <w:t>% adults aged 25-44 enrolled in further education over a 3 year period</w:t>
            </w:r>
          </w:p>
        </w:tc>
        <w:tc>
          <w:tcPr>
            <w:tcW w:w="1584" w:type="dxa"/>
            <w:tcBorders>
              <w:top w:val="nil"/>
              <w:left w:val="nil"/>
              <w:bottom w:val="nil"/>
              <w:right w:val="nil"/>
            </w:tcBorders>
            <w:shd w:val="clear" w:color="auto" w:fill="auto"/>
            <w:noWrap/>
            <w:hideMark/>
          </w:tcPr>
          <w:p w14:paraId="1D4C926D" w14:textId="2464B1B7" w:rsidR="00C871DF" w:rsidRPr="00150CD2" w:rsidRDefault="00C871DF" w:rsidP="00C871DF">
            <w:pPr>
              <w:pStyle w:val="EYTableText"/>
              <w:jc w:val="center"/>
              <w:rPr>
                <w:rFonts w:cs="Arial"/>
                <w:color w:val="404040" w:themeColor="background2" w:themeTint="BF"/>
                <w:sz w:val="20"/>
                <w:szCs w:val="20"/>
              </w:rPr>
            </w:pPr>
            <w:r w:rsidRPr="00150CD2">
              <w:rPr>
                <w:rFonts w:cs="Arial"/>
                <w:sz w:val="20"/>
                <w:szCs w:val="20"/>
              </w:rPr>
              <w:t>% adults with full driver licen</w:t>
            </w:r>
            <w:r w:rsidR="00D424B2" w:rsidRPr="00150CD2">
              <w:rPr>
                <w:rFonts w:cs="Arial"/>
                <w:sz w:val="20"/>
                <w:szCs w:val="20"/>
              </w:rPr>
              <w:t>c</w:t>
            </w:r>
            <w:r w:rsidRPr="00150CD2">
              <w:rPr>
                <w:rFonts w:cs="Arial"/>
                <w:sz w:val="20"/>
                <w:szCs w:val="20"/>
              </w:rPr>
              <w:t>es</w:t>
            </w:r>
          </w:p>
        </w:tc>
        <w:tc>
          <w:tcPr>
            <w:tcW w:w="1714" w:type="dxa"/>
            <w:tcBorders>
              <w:top w:val="nil"/>
              <w:left w:val="nil"/>
              <w:bottom w:val="nil"/>
              <w:right w:val="nil"/>
            </w:tcBorders>
            <w:shd w:val="clear" w:color="auto" w:fill="auto"/>
            <w:noWrap/>
            <w:hideMark/>
          </w:tcPr>
          <w:p w14:paraId="1D9A11E1" w14:textId="5787DE76" w:rsidR="00C871DF" w:rsidRPr="00150CD2" w:rsidRDefault="00C871DF" w:rsidP="00C871DF">
            <w:pPr>
              <w:pStyle w:val="EYTableText"/>
              <w:jc w:val="center"/>
              <w:rPr>
                <w:rFonts w:cs="Arial"/>
                <w:color w:val="404040" w:themeColor="background2" w:themeTint="BF"/>
                <w:sz w:val="20"/>
                <w:szCs w:val="20"/>
              </w:rPr>
            </w:pPr>
            <w:r w:rsidRPr="00150CD2">
              <w:rPr>
                <w:rFonts w:cs="Arial"/>
                <w:sz w:val="20"/>
                <w:szCs w:val="20"/>
              </w:rPr>
              <w:t>% adults with employment income over $5k for at least one year over a 3 year period</w:t>
            </w:r>
          </w:p>
        </w:tc>
        <w:tc>
          <w:tcPr>
            <w:tcW w:w="1714" w:type="dxa"/>
            <w:tcBorders>
              <w:top w:val="nil"/>
              <w:left w:val="nil"/>
              <w:bottom w:val="nil"/>
              <w:right w:val="nil"/>
            </w:tcBorders>
            <w:shd w:val="clear" w:color="auto" w:fill="auto"/>
            <w:noWrap/>
            <w:hideMark/>
          </w:tcPr>
          <w:p w14:paraId="3AAC93A5" w14:textId="27AC6B4F" w:rsidR="00C871DF" w:rsidRPr="00150CD2" w:rsidRDefault="00C871DF" w:rsidP="00C871DF">
            <w:pPr>
              <w:pStyle w:val="EYTableText"/>
              <w:jc w:val="center"/>
              <w:rPr>
                <w:rFonts w:cs="Arial"/>
                <w:color w:val="404040" w:themeColor="background2" w:themeTint="BF"/>
                <w:sz w:val="20"/>
                <w:szCs w:val="20"/>
              </w:rPr>
            </w:pPr>
            <w:r w:rsidRPr="00150CD2">
              <w:rPr>
                <w:rFonts w:cs="Arial"/>
                <w:sz w:val="20"/>
                <w:szCs w:val="20"/>
              </w:rPr>
              <w:t>% adults supported by main benefit for some/all of a 3 year period</w:t>
            </w:r>
          </w:p>
        </w:tc>
        <w:tc>
          <w:tcPr>
            <w:tcW w:w="1584" w:type="dxa"/>
            <w:tcBorders>
              <w:top w:val="nil"/>
              <w:left w:val="nil"/>
              <w:bottom w:val="nil"/>
              <w:right w:val="nil"/>
            </w:tcBorders>
            <w:shd w:val="clear" w:color="auto" w:fill="auto"/>
            <w:noWrap/>
            <w:hideMark/>
          </w:tcPr>
          <w:p w14:paraId="2D60AC5C" w14:textId="5C592E4B" w:rsidR="00C871DF" w:rsidRPr="00150CD2" w:rsidRDefault="00C871DF" w:rsidP="00C871DF">
            <w:pPr>
              <w:pStyle w:val="EYTableText"/>
              <w:jc w:val="center"/>
              <w:rPr>
                <w:rFonts w:cs="Arial"/>
                <w:sz w:val="20"/>
                <w:szCs w:val="20"/>
              </w:rPr>
            </w:pPr>
            <w:r w:rsidRPr="00150CD2">
              <w:rPr>
                <w:rFonts w:cs="Arial"/>
                <w:sz w:val="20"/>
                <w:szCs w:val="20"/>
              </w:rPr>
              <w:t xml:space="preserve">% adults who transitioned into residential </w:t>
            </w:r>
            <w:r w:rsidR="00F82F11" w:rsidRPr="00150CD2">
              <w:rPr>
                <w:rFonts w:cs="Arial"/>
                <w:sz w:val="20"/>
                <w:szCs w:val="20"/>
              </w:rPr>
              <w:t xml:space="preserve">services </w:t>
            </w:r>
            <w:r w:rsidRPr="00150CD2">
              <w:rPr>
                <w:rFonts w:cs="Arial"/>
                <w:sz w:val="20"/>
                <w:szCs w:val="20"/>
              </w:rPr>
              <w:t>over a 3 year period</w:t>
            </w:r>
          </w:p>
          <w:p w14:paraId="09A8EF8B" w14:textId="681AA016" w:rsidR="003359F4" w:rsidRPr="00150CD2" w:rsidRDefault="007601A9" w:rsidP="00D424B2">
            <w:pPr>
              <w:pStyle w:val="EYTableText"/>
              <w:jc w:val="center"/>
              <w:rPr>
                <w:rFonts w:cs="Arial"/>
                <w:color w:val="404040" w:themeColor="background2" w:themeTint="BF"/>
                <w:sz w:val="20"/>
                <w:szCs w:val="20"/>
              </w:rPr>
            </w:pPr>
            <w:r w:rsidRPr="00150CD2">
              <w:rPr>
                <w:rFonts w:cs="Arial"/>
                <w:sz w:val="20"/>
                <w:szCs w:val="20"/>
              </w:rPr>
              <w:t>(DSS only)</w:t>
            </w:r>
          </w:p>
        </w:tc>
      </w:tr>
    </w:tbl>
    <w:tbl>
      <w:tblPr>
        <w:tblStyle w:val="TableGrid"/>
        <w:tblW w:w="0" w:type="auto"/>
        <w:tblCellMar>
          <w:top w:w="28" w:type="dxa"/>
          <w:left w:w="86" w:type="dxa"/>
          <w:bottom w:w="28" w:type="dxa"/>
          <w:right w:w="86" w:type="dxa"/>
        </w:tblCellMar>
        <w:tblLook w:val="04A0" w:firstRow="1" w:lastRow="0" w:firstColumn="1" w:lastColumn="0" w:noHBand="0" w:noVBand="1"/>
      </w:tblPr>
      <w:tblGrid>
        <w:gridCol w:w="1545"/>
        <w:gridCol w:w="2015"/>
        <w:gridCol w:w="10384"/>
      </w:tblGrid>
      <w:tr w:rsidR="009059C4" w:rsidRPr="00150CD2" w14:paraId="00EB6AE8" w14:textId="77777777" w:rsidTr="00336432">
        <w:trPr>
          <w:tblHeader/>
        </w:trPr>
        <w:tc>
          <w:tcPr>
            <w:tcW w:w="1545" w:type="dxa"/>
            <w:tcBorders>
              <w:bottom w:val="single" w:sz="4" w:space="0" w:color="auto"/>
            </w:tcBorders>
            <w:shd w:val="clear" w:color="auto" w:fill="F2F2F2" w:themeFill="background1" w:themeFillShade="F2"/>
          </w:tcPr>
          <w:bookmarkEnd w:id="102"/>
          <w:p w14:paraId="09484800" w14:textId="77777777" w:rsidR="009059C4" w:rsidRPr="00150CD2" w:rsidRDefault="009059C4" w:rsidP="009059C4">
            <w:pPr>
              <w:pStyle w:val="EYTableHeading"/>
              <w:rPr>
                <w:rFonts w:cs="Arial"/>
                <w:sz w:val="24"/>
              </w:rPr>
            </w:pPr>
            <w:r w:rsidRPr="00150CD2">
              <w:rPr>
                <w:rFonts w:cs="Arial"/>
                <w:sz w:val="24"/>
              </w:rPr>
              <w:t>Perspective</w:t>
            </w:r>
          </w:p>
        </w:tc>
        <w:tc>
          <w:tcPr>
            <w:tcW w:w="2015" w:type="dxa"/>
            <w:shd w:val="clear" w:color="auto" w:fill="F2F2F2" w:themeFill="background1" w:themeFillShade="F2"/>
          </w:tcPr>
          <w:p w14:paraId="34FEE97D" w14:textId="77777777" w:rsidR="009059C4" w:rsidRPr="00150CD2" w:rsidRDefault="009059C4" w:rsidP="009059C4">
            <w:pPr>
              <w:pStyle w:val="EYTableHeading"/>
              <w:rPr>
                <w:rFonts w:cs="Arial"/>
                <w:sz w:val="24"/>
              </w:rPr>
            </w:pPr>
            <w:r w:rsidRPr="00150CD2">
              <w:rPr>
                <w:rFonts w:cs="Arial"/>
                <w:sz w:val="24"/>
              </w:rPr>
              <w:t>Indicators</w:t>
            </w:r>
          </w:p>
        </w:tc>
        <w:tc>
          <w:tcPr>
            <w:tcW w:w="10384" w:type="dxa"/>
            <w:shd w:val="clear" w:color="auto" w:fill="F2F2F2" w:themeFill="background1" w:themeFillShade="F2"/>
          </w:tcPr>
          <w:p w14:paraId="496D4B37" w14:textId="151E944A" w:rsidR="009059C4" w:rsidRPr="00150CD2" w:rsidRDefault="009059C4" w:rsidP="009059C4">
            <w:pPr>
              <w:pStyle w:val="EYTableHeading"/>
              <w:rPr>
                <w:rFonts w:cs="Arial"/>
                <w:sz w:val="24"/>
              </w:rPr>
            </w:pPr>
            <w:r w:rsidRPr="00150CD2">
              <w:rPr>
                <w:rFonts w:cs="Arial"/>
                <w:sz w:val="24"/>
              </w:rPr>
              <w:t xml:space="preserve">Insights for adults aged </w:t>
            </w:r>
            <w:r w:rsidR="00593C07" w:rsidRPr="00150CD2">
              <w:rPr>
                <w:rFonts w:cs="Arial"/>
                <w:sz w:val="24"/>
              </w:rPr>
              <w:t>25</w:t>
            </w:r>
            <w:r w:rsidRPr="00150CD2">
              <w:rPr>
                <w:rFonts w:cs="Arial"/>
                <w:sz w:val="24"/>
              </w:rPr>
              <w:t>-6</w:t>
            </w:r>
            <w:r w:rsidR="00593C07" w:rsidRPr="00150CD2">
              <w:rPr>
                <w:rFonts w:cs="Arial"/>
                <w:sz w:val="24"/>
              </w:rPr>
              <w:t>4</w:t>
            </w:r>
            <w:r w:rsidRPr="00150CD2">
              <w:rPr>
                <w:rFonts w:cs="Arial"/>
                <w:sz w:val="24"/>
              </w:rPr>
              <w:t xml:space="preserve"> allocated DSS </w:t>
            </w:r>
            <w:r w:rsidR="008115D9" w:rsidRPr="00150CD2">
              <w:rPr>
                <w:rFonts w:cs="Arial"/>
                <w:sz w:val="24"/>
              </w:rPr>
              <w:t xml:space="preserve">over the year to 30 June 2018 </w:t>
            </w:r>
            <w:r w:rsidRPr="00150CD2">
              <w:rPr>
                <w:rFonts w:cs="Arial"/>
                <w:sz w:val="24"/>
              </w:rPr>
              <w:t xml:space="preserve">in MidCentral, compared to other people in MidCentral and other DSS people outside MidCentral – </w:t>
            </w:r>
            <w:r w:rsidR="00D26785" w:rsidRPr="00150CD2">
              <w:rPr>
                <w:rFonts w:cs="Arial"/>
                <w:sz w:val="24"/>
              </w:rPr>
              <w:t xml:space="preserve">outcomes and service contact indicators over </w:t>
            </w:r>
            <w:r w:rsidR="00593C07" w:rsidRPr="00150CD2">
              <w:rPr>
                <w:rFonts w:cs="Arial"/>
                <w:sz w:val="24"/>
              </w:rPr>
              <w:t>the 3 year period to 30 June 2018</w:t>
            </w:r>
          </w:p>
        </w:tc>
      </w:tr>
      <w:tr w:rsidR="005F6775" w:rsidRPr="00150CD2" w14:paraId="2295B95A" w14:textId="77777777" w:rsidTr="00336432">
        <w:tc>
          <w:tcPr>
            <w:tcW w:w="1545" w:type="dxa"/>
            <w:tcBorders>
              <w:bottom w:val="nil"/>
            </w:tcBorders>
          </w:tcPr>
          <w:p w14:paraId="6270E54D" w14:textId="77777777" w:rsidR="005F6775" w:rsidRPr="00150CD2" w:rsidRDefault="005F6775" w:rsidP="00D143A9">
            <w:pPr>
              <w:pStyle w:val="EYTableText"/>
              <w:spacing w:before="0" w:after="120"/>
              <w:rPr>
                <w:rFonts w:cs="Arial"/>
                <w:sz w:val="24"/>
              </w:rPr>
            </w:pPr>
            <w:r w:rsidRPr="00150CD2">
              <w:rPr>
                <w:rFonts w:cs="Arial"/>
                <w:sz w:val="24"/>
              </w:rPr>
              <w:t>Adult</w:t>
            </w:r>
          </w:p>
        </w:tc>
        <w:tc>
          <w:tcPr>
            <w:tcW w:w="2015" w:type="dxa"/>
          </w:tcPr>
          <w:p w14:paraId="20199C75" w14:textId="6C35081B" w:rsidR="005F6775" w:rsidRPr="00150CD2" w:rsidRDefault="00EC1524" w:rsidP="00D143A9">
            <w:pPr>
              <w:pStyle w:val="EYTableText"/>
              <w:spacing w:before="0" w:after="120"/>
              <w:rPr>
                <w:rFonts w:cs="Arial"/>
                <w:sz w:val="24"/>
              </w:rPr>
            </w:pPr>
            <w:r w:rsidRPr="00150CD2">
              <w:rPr>
                <w:rFonts w:cs="Arial"/>
                <w:sz w:val="24"/>
              </w:rPr>
              <w:t>Education</w:t>
            </w:r>
          </w:p>
        </w:tc>
        <w:tc>
          <w:tcPr>
            <w:tcW w:w="10384" w:type="dxa"/>
            <w:shd w:val="clear" w:color="auto" w:fill="auto"/>
          </w:tcPr>
          <w:p w14:paraId="3C3CF059" w14:textId="4FB6E270" w:rsidR="00BB7DF2" w:rsidRPr="00150CD2" w:rsidRDefault="00BB7DF2" w:rsidP="00D143A9">
            <w:pPr>
              <w:pStyle w:val="EYTableText"/>
              <w:spacing w:before="0" w:after="120"/>
              <w:rPr>
                <w:rFonts w:cs="Arial"/>
                <w:sz w:val="24"/>
              </w:rPr>
            </w:pPr>
            <w:r w:rsidRPr="00150CD2">
              <w:rPr>
                <w:rFonts w:cs="Arial"/>
                <w:sz w:val="24"/>
              </w:rPr>
              <w:t xml:space="preserve">A small proportion of MidCentral DSS adults continued with education or training during </w:t>
            </w:r>
            <w:r w:rsidR="00593C07" w:rsidRPr="00150CD2">
              <w:rPr>
                <w:rFonts w:cs="Arial"/>
                <w:sz w:val="24"/>
              </w:rPr>
              <w:t>the 3 year period to 30 June 2018</w:t>
            </w:r>
            <w:r w:rsidR="009021BC" w:rsidRPr="00150CD2">
              <w:rPr>
                <w:rFonts w:cs="Arial"/>
                <w:sz w:val="24"/>
              </w:rPr>
              <w:t>. The majority of courses were for NZQA levels 1-3</w:t>
            </w:r>
            <w:r w:rsidRPr="00150CD2">
              <w:rPr>
                <w:rFonts w:cs="Arial"/>
                <w:sz w:val="24"/>
              </w:rPr>
              <w:t xml:space="preserve">. Rates of participation were </w:t>
            </w:r>
            <w:r w:rsidR="00593C07" w:rsidRPr="00150CD2">
              <w:rPr>
                <w:rFonts w:cs="Arial"/>
                <w:sz w:val="24"/>
              </w:rPr>
              <w:t xml:space="preserve">lower than </w:t>
            </w:r>
            <w:r w:rsidRPr="00150CD2">
              <w:rPr>
                <w:rFonts w:cs="Arial"/>
                <w:sz w:val="24"/>
              </w:rPr>
              <w:t>the national DSS average</w:t>
            </w:r>
            <w:r w:rsidR="00593C07" w:rsidRPr="00150CD2">
              <w:rPr>
                <w:rFonts w:cs="Arial"/>
                <w:sz w:val="24"/>
              </w:rPr>
              <w:t xml:space="preserve"> and significantly </w:t>
            </w:r>
            <w:r w:rsidRPr="00150CD2">
              <w:rPr>
                <w:rFonts w:cs="Arial"/>
                <w:sz w:val="24"/>
              </w:rPr>
              <w:t xml:space="preserve">lower than those of other MidCentral adults. </w:t>
            </w:r>
          </w:p>
          <w:p w14:paraId="608EA72D" w14:textId="7E39B145" w:rsidR="006421F3" w:rsidRPr="00150CD2" w:rsidRDefault="006421F3" w:rsidP="00D143A9">
            <w:pPr>
              <w:pStyle w:val="EYTablebullet1"/>
              <w:spacing w:before="0" w:after="120"/>
              <w:rPr>
                <w:rFonts w:cs="Arial"/>
                <w:sz w:val="24"/>
              </w:rPr>
            </w:pPr>
            <w:r w:rsidRPr="00150CD2">
              <w:rPr>
                <w:rFonts w:cs="Arial"/>
                <w:sz w:val="24"/>
              </w:rPr>
              <w:t xml:space="preserve">Around </w:t>
            </w:r>
            <w:r w:rsidR="00593C07" w:rsidRPr="00150CD2">
              <w:rPr>
                <w:rFonts w:cs="Arial"/>
                <w:sz w:val="24"/>
              </w:rPr>
              <w:t>6</w:t>
            </w:r>
            <w:r w:rsidRPr="00150CD2">
              <w:rPr>
                <w:rFonts w:cs="Arial"/>
                <w:sz w:val="24"/>
              </w:rPr>
              <w:t xml:space="preserve">% of MidCentral DSS </w:t>
            </w:r>
            <w:r w:rsidR="00C90149" w:rsidRPr="00150CD2">
              <w:rPr>
                <w:rFonts w:cs="Arial"/>
                <w:sz w:val="24"/>
              </w:rPr>
              <w:t xml:space="preserve">adults aged </w:t>
            </w:r>
            <w:r w:rsidR="00593C07" w:rsidRPr="00150CD2">
              <w:rPr>
                <w:rFonts w:cs="Arial"/>
                <w:sz w:val="24"/>
              </w:rPr>
              <w:t>25</w:t>
            </w:r>
            <w:r w:rsidR="00C90149" w:rsidRPr="00150CD2">
              <w:rPr>
                <w:rFonts w:cs="Arial"/>
                <w:sz w:val="24"/>
              </w:rPr>
              <w:t>-</w:t>
            </w:r>
            <w:r w:rsidR="00593C07" w:rsidRPr="00150CD2">
              <w:rPr>
                <w:rFonts w:cs="Arial"/>
                <w:sz w:val="24"/>
              </w:rPr>
              <w:t xml:space="preserve">44 </w:t>
            </w:r>
            <w:r w:rsidR="00C90149" w:rsidRPr="00150CD2">
              <w:rPr>
                <w:rFonts w:cs="Arial"/>
                <w:sz w:val="24"/>
              </w:rPr>
              <w:t xml:space="preserve">and </w:t>
            </w:r>
            <w:r w:rsidR="00593C07" w:rsidRPr="00150CD2">
              <w:rPr>
                <w:rFonts w:cs="Arial"/>
                <w:sz w:val="24"/>
              </w:rPr>
              <w:t>2</w:t>
            </w:r>
            <w:r w:rsidR="00C90149" w:rsidRPr="00150CD2">
              <w:rPr>
                <w:rFonts w:cs="Arial"/>
                <w:sz w:val="24"/>
              </w:rPr>
              <w:t xml:space="preserve">% of </w:t>
            </w:r>
            <w:r w:rsidR="00593C07" w:rsidRPr="00150CD2">
              <w:rPr>
                <w:rFonts w:cs="Arial"/>
                <w:sz w:val="24"/>
              </w:rPr>
              <w:t>45</w:t>
            </w:r>
            <w:r w:rsidR="00C90149" w:rsidRPr="00150CD2">
              <w:rPr>
                <w:rFonts w:cs="Arial"/>
                <w:sz w:val="24"/>
              </w:rPr>
              <w:t xml:space="preserve">-64 year olds were </w:t>
            </w:r>
            <w:r w:rsidRPr="00150CD2">
              <w:rPr>
                <w:rFonts w:cs="Arial"/>
                <w:sz w:val="24"/>
              </w:rPr>
              <w:t xml:space="preserve">enrolled in tertiary education and training </w:t>
            </w:r>
            <w:r w:rsidR="00C90149" w:rsidRPr="00150CD2">
              <w:rPr>
                <w:rFonts w:cs="Arial"/>
                <w:sz w:val="24"/>
              </w:rPr>
              <w:t xml:space="preserve">during </w:t>
            </w:r>
            <w:r w:rsidR="00593C07" w:rsidRPr="00150CD2">
              <w:rPr>
                <w:rFonts w:cs="Arial"/>
                <w:sz w:val="24"/>
              </w:rPr>
              <w:t>the period</w:t>
            </w:r>
            <w:r w:rsidRPr="00150CD2">
              <w:rPr>
                <w:rFonts w:cs="Arial"/>
                <w:sz w:val="24"/>
              </w:rPr>
              <w:t xml:space="preserve">. </w:t>
            </w:r>
            <w:r w:rsidR="00BB7DF2" w:rsidRPr="00150CD2">
              <w:rPr>
                <w:rFonts w:cs="Arial"/>
                <w:sz w:val="24"/>
              </w:rPr>
              <w:t xml:space="preserve">Enrolment rates were higher for women and Māori </w:t>
            </w:r>
            <w:r w:rsidR="00771834" w:rsidRPr="00150CD2">
              <w:rPr>
                <w:rFonts w:cs="Arial"/>
                <w:sz w:val="24"/>
              </w:rPr>
              <w:t xml:space="preserve">aged </w:t>
            </w:r>
            <w:r w:rsidR="00593C07" w:rsidRPr="00150CD2">
              <w:rPr>
                <w:rFonts w:cs="Arial"/>
                <w:sz w:val="24"/>
              </w:rPr>
              <w:t>45</w:t>
            </w:r>
            <w:r w:rsidR="00BB7DF2" w:rsidRPr="00150CD2">
              <w:rPr>
                <w:rFonts w:cs="Arial"/>
                <w:sz w:val="24"/>
              </w:rPr>
              <w:t xml:space="preserve">-64, and lower for </w:t>
            </w:r>
            <w:r w:rsidRPr="00150CD2">
              <w:rPr>
                <w:rFonts w:cs="Arial"/>
                <w:sz w:val="24"/>
              </w:rPr>
              <w:t xml:space="preserve">those with intellectual disability </w:t>
            </w:r>
            <w:r w:rsidR="007D7470" w:rsidRPr="00150CD2">
              <w:rPr>
                <w:rFonts w:cs="Arial"/>
                <w:sz w:val="24"/>
              </w:rPr>
              <w:t>a</w:t>
            </w:r>
            <w:r w:rsidRPr="00150CD2">
              <w:rPr>
                <w:rFonts w:cs="Arial"/>
                <w:sz w:val="24"/>
              </w:rPr>
              <w:t>nd high</w:t>
            </w:r>
            <w:r w:rsidR="009021BC" w:rsidRPr="00150CD2">
              <w:rPr>
                <w:rFonts w:cs="Arial"/>
                <w:sz w:val="24"/>
              </w:rPr>
              <w:t>/very high</w:t>
            </w:r>
            <w:r w:rsidRPr="00150CD2">
              <w:rPr>
                <w:rFonts w:cs="Arial"/>
                <w:sz w:val="24"/>
              </w:rPr>
              <w:t xml:space="preserve"> SPA levels</w:t>
            </w:r>
            <w:r w:rsidR="00BB7DF2" w:rsidRPr="00150CD2">
              <w:rPr>
                <w:rFonts w:cs="Arial"/>
                <w:sz w:val="24"/>
              </w:rPr>
              <w:t>.</w:t>
            </w:r>
          </w:p>
          <w:p w14:paraId="4211BC85" w14:textId="6F1C9B4A" w:rsidR="00975542" w:rsidRPr="00150CD2" w:rsidRDefault="00975542" w:rsidP="00975542">
            <w:pPr>
              <w:pStyle w:val="EYTablebullet1"/>
              <w:spacing w:before="0" w:after="120"/>
              <w:rPr>
                <w:rFonts w:cs="Arial"/>
                <w:sz w:val="24"/>
              </w:rPr>
            </w:pPr>
            <w:r w:rsidRPr="00150CD2">
              <w:rPr>
                <w:rFonts w:cs="Arial"/>
                <w:sz w:val="24"/>
              </w:rPr>
              <w:t xml:space="preserve">Around 9% of DSS adults aged 25-44 and 4% of 45-64 year olds outside MidCentral were enrolled in tertiary education and training during the three year period. </w:t>
            </w:r>
          </w:p>
          <w:p w14:paraId="3EC83B3F" w14:textId="11FDA3FD" w:rsidR="005F6775" w:rsidRPr="00150CD2" w:rsidRDefault="00BB7DF2" w:rsidP="00D143A9">
            <w:pPr>
              <w:pStyle w:val="EYTablebullet1"/>
              <w:spacing w:before="0" w:after="120"/>
              <w:rPr>
                <w:rFonts w:cs="Arial"/>
                <w:sz w:val="24"/>
              </w:rPr>
            </w:pPr>
            <w:r w:rsidRPr="00150CD2">
              <w:rPr>
                <w:rFonts w:cs="Arial"/>
                <w:sz w:val="24"/>
              </w:rPr>
              <w:t xml:space="preserve">For non-DSS MidCentral adults, </w:t>
            </w:r>
            <w:r w:rsidR="009021BC" w:rsidRPr="00150CD2">
              <w:rPr>
                <w:rFonts w:cs="Arial"/>
                <w:sz w:val="24"/>
              </w:rPr>
              <w:t>27</w:t>
            </w:r>
            <w:r w:rsidRPr="00150CD2">
              <w:rPr>
                <w:rFonts w:cs="Arial"/>
                <w:sz w:val="24"/>
              </w:rPr>
              <w:t xml:space="preserve">% of </w:t>
            </w:r>
            <w:r w:rsidR="009021BC" w:rsidRPr="00150CD2">
              <w:rPr>
                <w:rFonts w:cs="Arial"/>
                <w:sz w:val="24"/>
              </w:rPr>
              <w:t>25</w:t>
            </w:r>
            <w:r w:rsidRPr="00150CD2">
              <w:rPr>
                <w:rFonts w:cs="Arial"/>
                <w:sz w:val="24"/>
              </w:rPr>
              <w:t>-4</w:t>
            </w:r>
            <w:r w:rsidR="009021BC" w:rsidRPr="00150CD2">
              <w:rPr>
                <w:rFonts w:cs="Arial"/>
                <w:sz w:val="24"/>
              </w:rPr>
              <w:t>4</w:t>
            </w:r>
            <w:r w:rsidRPr="00150CD2">
              <w:rPr>
                <w:rFonts w:cs="Arial"/>
                <w:sz w:val="24"/>
              </w:rPr>
              <w:t xml:space="preserve"> year olds and </w:t>
            </w:r>
            <w:r w:rsidR="009021BC" w:rsidRPr="00150CD2">
              <w:rPr>
                <w:rFonts w:cs="Arial"/>
                <w:sz w:val="24"/>
              </w:rPr>
              <w:t>11</w:t>
            </w:r>
            <w:r w:rsidRPr="00150CD2">
              <w:rPr>
                <w:rFonts w:cs="Arial"/>
                <w:sz w:val="24"/>
              </w:rPr>
              <w:t>% of</w:t>
            </w:r>
            <w:r w:rsidR="00776676" w:rsidRPr="00150CD2">
              <w:rPr>
                <w:rFonts w:cs="Arial"/>
                <w:sz w:val="24"/>
              </w:rPr>
              <w:t xml:space="preserve"> </w:t>
            </w:r>
            <w:r w:rsidR="009021BC" w:rsidRPr="00150CD2">
              <w:rPr>
                <w:rFonts w:cs="Arial"/>
                <w:sz w:val="24"/>
              </w:rPr>
              <w:t>45</w:t>
            </w:r>
            <w:r w:rsidR="00776676" w:rsidRPr="00150CD2">
              <w:rPr>
                <w:rFonts w:cs="Arial"/>
                <w:sz w:val="24"/>
              </w:rPr>
              <w:t xml:space="preserve">-64 year olds enrolled in </w:t>
            </w:r>
            <w:r w:rsidR="009021BC" w:rsidRPr="00150CD2">
              <w:rPr>
                <w:rFonts w:cs="Arial"/>
                <w:sz w:val="24"/>
              </w:rPr>
              <w:t>tertiary education</w:t>
            </w:r>
            <w:r w:rsidR="00776676" w:rsidRPr="00150CD2">
              <w:rPr>
                <w:rFonts w:cs="Arial"/>
                <w:sz w:val="24"/>
              </w:rPr>
              <w:t xml:space="preserve"> over the same period</w:t>
            </w:r>
            <w:r w:rsidR="00C7602D" w:rsidRPr="00150CD2">
              <w:rPr>
                <w:rFonts w:cs="Arial"/>
                <w:sz w:val="24"/>
              </w:rPr>
              <w:t xml:space="preserve"> with a spread across courses with lower and higher NZQA levels. For example, 6% of 25-44 year olds were enrolled in courses at NZQA levels 1-3, 4% in courses at NZQA levels 5-7, </w:t>
            </w:r>
            <w:r w:rsidR="009021BC" w:rsidRPr="00150CD2">
              <w:rPr>
                <w:rFonts w:cs="Arial"/>
                <w:sz w:val="24"/>
              </w:rPr>
              <w:t>9% in bachelors level courses</w:t>
            </w:r>
            <w:r w:rsidR="00C7602D" w:rsidRPr="00150CD2">
              <w:rPr>
                <w:rFonts w:cs="Arial"/>
                <w:sz w:val="24"/>
              </w:rPr>
              <w:t xml:space="preserve"> and</w:t>
            </w:r>
            <w:r w:rsidR="009021BC" w:rsidRPr="00150CD2">
              <w:rPr>
                <w:rFonts w:cs="Arial"/>
                <w:sz w:val="24"/>
              </w:rPr>
              <w:t xml:space="preserve"> </w:t>
            </w:r>
            <w:r w:rsidR="00C7602D" w:rsidRPr="00150CD2">
              <w:rPr>
                <w:rFonts w:cs="Arial"/>
                <w:sz w:val="24"/>
              </w:rPr>
              <w:t>9% in industry training placements.</w:t>
            </w:r>
          </w:p>
        </w:tc>
      </w:tr>
      <w:tr w:rsidR="00EC1524" w:rsidRPr="00150CD2" w14:paraId="2177EFA8" w14:textId="77777777" w:rsidTr="00336432">
        <w:tc>
          <w:tcPr>
            <w:tcW w:w="1545" w:type="dxa"/>
            <w:tcBorders>
              <w:top w:val="nil"/>
              <w:bottom w:val="nil"/>
            </w:tcBorders>
          </w:tcPr>
          <w:p w14:paraId="7E22C1BD" w14:textId="77777777" w:rsidR="00EC1524" w:rsidRPr="00150CD2" w:rsidRDefault="00EC1524" w:rsidP="00D143A9">
            <w:pPr>
              <w:pStyle w:val="EYTableText"/>
              <w:spacing w:before="0" w:after="120"/>
              <w:rPr>
                <w:rFonts w:cs="Arial"/>
                <w:sz w:val="24"/>
              </w:rPr>
            </w:pPr>
          </w:p>
        </w:tc>
        <w:tc>
          <w:tcPr>
            <w:tcW w:w="2015" w:type="dxa"/>
          </w:tcPr>
          <w:p w14:paraId="166F6826" w14:textId="27383BFE" w:rsidR="00EC1524" w:rsidRPr="00150CD2" w:rsidRDefault="00EC1524" w:rsidP="00D143A9">
            <w:pPr>
              <w:pStyle w:val="EYTableText"/>
              <w:spacing w:before="0" w:after="120"/>
              <w:rPr>
                <w:rFonts w:cs="Arial"/>
                <w:sz w:val="24"/>
              </w:rPr>
            </w:pPr>
            <w:r w:rsidRPr="00150CD2">
              <w:rPr>
                <w:rFonts w:cs="Arial"/>
                <w:sz w:val="24"/>
              </w:rPr>
              <w:t>Employment and income</w:t>
            </w:r>
          </w:p>
        </w:tc>
        <w:tc>
          <w:tcPr>
            <w:tcW w:w="10384" w:type="dxa"/>
            <w:shd w:val="clear" w:color="auto" w:fill="auto"/>
          </w:tcPr>
          <w:p w14:paraId="6C80A84B" w14:textId="77777777" w:rsidR="00EC1524" w:rsidRPr="00150CD2" w:rsidRDefault="00EC1524" w:rsidP="00D143A9">
            <w:pPr>
              <w:pStyle w:val="EYTableText"/>
              <w:spacing w:before="0" w:after="120"/>
              <w:rPr>
                <w:rFonts w:cs="Arial"/>
                <w:sz w:val="24"/>
              </w:rPr>
            </w:pPr>
            <w:r w:rsidRPr="00150CD2">
              <w:rPr>
                <w:rFonts w:cs="Arial"/>
                <w:sz w:val="24"/>
              </w:rPr>
              <w:t>Most MidCentral DSS adults were partially or wholly reliant on benefit income support over a 3 year period. Some reported employment income, however in most cases these were relatively small amounts. Employment patterns are similar to the national DSS population, and substantially lower than the non-DSS population.</w:t>
            </w:r>
          </w:p>
          <w:p w14:paraId="1EC5290E" w14:textId="7F6FA2B2" w:rsidR="00EC1524" w:rsidRPr="00150CD2" w:rsidRDefault="00C7602D" w:rsidP="00D143A9">
            <w:pPr>
              <w:pStyle w:val="EYTablebullet1"/>
              <w:spacing w:before="0" w:after="120"/>
              <w:rPr>
                <w:rFonts w:cs="Arial"/>
                <w:sz w:val="24"/>
              </w:rPr>
            </w:pPr>
            <w:r w:rsidRPr="00150CD2">
              <w:rPr>
                <w:rFonts w:cs="Arial"/>
                <w:sz w:val="24"/>
              </w:rPr>
              <w:t>28</w:t>
            </w:r>
            <w:r w:rsidR="00EC1524" w:rsidRPr="00150CD2">
              <w:rPr>
                <w:rFonts w:cs="Arial"/>
                <w:sz w:val="24"/>
              </w:rPr>
              <w:t xml:space="preserve">% of </w:t>
            </w:r>
            <w:r w:rsidRPr="00150CD2">
              <w:rPr>
                <w:rFonts w:cs="Arial"/>
                <w:sz w:val="24"/>
              </w:rPr>
              <w:t>25</w:t>
            </w:r>
            <w:r w:rsidR="00EC1524" w:rsidRPr="00150CD2">
              <w:rPr>
                <w:rFonts w:cs="Arial"/>
                <w:sz w:val="24"/>
              </w:rPr>
              <w:t>-</w:t>
            </w:r>
            <w:r w:rsidRPr="00150CD2">
              <w:rPr>
                <w:rFonts w:cs="Arial"/>
                <w:sz w:val="24"/>
              </w:rPr>
              <w:t xml:space="preserve">44 </w:t>
            </w:r>
            <w:r w:rsidR="00EC1524" w:rsidRPr="00150CD2">
              <w:rPr>
                <w:rFonts w:cs="Arial"/>
                <w:sz w:val="24"/>
              </w:rPr>
              <w:t xml:space="preserve">year olds and </w:t>
            </w:r>
            <w:r w:rsidRPr="00150CD2">
              <w:rPr>
                <w:rFonts w:cs="Arial"/>
                <w:sz w:val="24"/>
              </w:rPr>
              <w:t>12</w:t>
            </w:r>
            <w:r w:rsidR="00EC1524" w:rsidRPr="00150CD2">
              <w:rPr>
                <w:rFonts w:cs="Arial"/>
                <w:sz w:val="24"/>
              </w:rPr>
              <w:t xml:space="preserve">% of </w:t>
            </w:r>
            <w:r w:rsidRPr="00150CD2">
              <w:rPr>
                <w:rFonts w:cs="Arial"/>
                <w:sz w:val="24"/>
              </w:rPr>
              <w:t>45</w:t>
            </w:r>
            <w:r w:rsidR="00EC1524" w:rsidRPr="00150CD2">
              <w:rPr>
                <w:rFonts w:cs="Arial"/>
                <w:sz w:val="24"/>
              </w:rPr>
              <w:t>-64 year olds reported any employment income over a three year period. Most of this group reported relatively small income amounts; a smaller number (</w:t>
            </w:r>
            <w:r w:rsidRPr="00150CD2">
              <w:rPr>
                <w:rFonts w:cs="Arial"/>
                <w:sz w:val="24"/>
              </w:rPr>
              <w:t>14</w:t>
            </w:r>
            <w:r w:rsidR="00EC1524" w:rsidRPr="00150CD2">
              <w:rPr>
                <w:rFonts w:cs="Arial"/>
                <w:sz w:val="24"/>
              </w:rPr>
              <w:t xml:space="preserve">% of </w:t>
            </w:r>
            <w:r w:rsidRPr="00150CD2">
              <w:rPr>
                <w:rFonts w:cs="Arial"/>
                <w:sz w:val="24"/>
              </w:rPr>
              <w:t>25</w:t>
            </w:r>
            <w:r w:rsidR="00EC1524" w:rsidRPr="00150CD2">
              <w:rPr>
                <w:rFonts w:cs="Arial"/>
                <w:sz w:val="24"/>
              </w:rPr>
              <w:t>-</w:t>
            </w:r>
            <w:r w:rsidRPr="00150CD2">
              <w:rPr>
                <w:rFonts w:cs="Arial"/>
                <w:sz w:val="24"/>
              </w:rPr>
              <w:t xml:space="preserve">44 </w:t>
            </w:r>
            <w:r w:rsidR="00EC1524" w:rsidRPr="00150CD2">
              <w:rPr>
                <w:rFonts w:cs="Arial"/>
                <w:sz w:val="24"/>
              </w:rPr>
              <w:t xml:space="preserve">year olds and </w:t>
            </w:r>
            <w:r w:rsidRPr="00150CD2">
              <w:rPr>
                <w:rFonts w:cs="Arial"/>
                <w:sz w:val="24"/>
              </w:rPr>
              <w:t>6</w:t>
            </w:r>
            <w:r w:rsidR="00EC1524" w:rsidRPr="00150CD2">
              <w:rPr>
                <w:rFonts w:cs="Arial"/>
                <w:sz w:val="24"/>
              </w:rPr>
              <w:t xml:space="preserve">% of </w:t>
            </w:r>
            <w:r w:rsidRPr="00150CD2">
              <w:rPr>
                <w:rFonts w:cs="Arial"/>
                <w:sz w:val="24"/>
              </w:rPr>
              <w:t>45</w:t>
            </w:r>
            <w:r w:rsidR="00EC1524" w:rsidRPr="00150CD2">
              <w:rPr>
                <w:rFonts w:cs="Arial"/>
                <w:sz w:val="24"/>
              </w:rPr>
              <w:t>-64 year olds) reported employment income of more than $5,000 over at least one year in the period.</w:t>
            </w:r>
          </w:p>
          <w:p w14:paraId="75E4861E" w14:textId="647806B9" w:rsidR="00EC1524" w:rsidRPr="00150CD2" w:rsidRDefault="00EC1524" w:rsidP="00D143A9">
            <w:pPr>
              <w:pStyle w:val="EYTablebullet1"/>
              <w:spacing w:before="0" w:after="120"/>
              <w:rPr>
                <w:rFonts w:cs="Arial"/>
                <w:sz w:val="24"/>
              </w:rPr>
            </w:pPr>
            <w:r w:rsidRPr="00150CD2">
              <w:rPr>
                <w:rFonts w:cs="Arial"/>
                <w:sz w:val="24"/>
              </w:rPr>
              <w:t xml:space="preserve">Employment rates were lower for adults with an intellectual disability and/or </w:t>
            </w:r>
            <w:r w:rsidR="00DF5F17" w:rsidRPr="00150CD2">
              <w:rPr>
                <w:rFonts w:cs="Arial"/>
                <w:sz w:val="24"/>
              </w:rPr>
              <w:t>high/very high SPA</w:t>
            </w:r>
            <w:r w:rsidRPr="00150CD2">
              <w:rPr>
                <w:rFonts w:cs="Arial"/>
                <w:sz w:val="24"/>
              </w:rPr>
              <w:t xml:space="preserve"> levels. Women aged 2</w:t>
            </w:r>
            <w:r w:rsidR="00C7602D" w:rsidRPr="00150CD2">
              <w:rPr>
                <w:rFonts w:cs="Arial"/>
                <w:sz w:val="24"/>
              </w:rPr>
              <w:t>5</w:t>
            </w:r>
            <w:r w:rsidRPr="00150CD2">
              <w:rPr>
                <w:rFonts w:cs="Arial"/>
                <w:sz w:val="24"/>
              </w:rPr>
              <w:t>-</w:t>
            </w:r>
            <w:r w:rsidR="00C7602D" w:rsidRPr="00150CD2">
              <w:rPr>
                <w:rFonts w:cs="Arial"/>
                <w:sz w:val="24"/>
              </w:rPr>
              <w:t xml:space="preserve">44 </w:t>
            </w:r>
            <w:r w:rsidRPr="00150CD2">
              <w:rPr>
                <w:rFonts w:cs="Arial"/>
                <w:sz w:val="24"/>
              </w:rPr>
              <w:t xml:space="preserve">were </w:t>
            </w:r>
            <w:r w:rsidR="00C7602D" w:rsidRPr="00150CD2">
              <w:rPr>
                <w:rFonts w:cs="Arial"/>
                <w:sz w:val="24"/>
              </w:rPr>
              <w:t xml:space="preserve">less </w:t>
            </w:r>
            <w:r w:rsidRPr="00150CD2">
              <w:rPr>
                <w:rFonts w:cs="Arial"/>
                <w:sz w:val="24"/>
              </w:rPr>
              <w:t xml:space="preserve">likely </w:t>
            </w:r>
            <w:r w:rsidR="00C7602D" w:rsidRPr="00150CD2">
              <w:rPr>
                <w:rFonts w:cs="Arial"/>
                <w:sz w:val="24"/>
              </w:rPr>
              <w:t>than</w:t>
            </w:r>
            <w:r w:rsidRPr="00150CD2">
              <w:rPr>
                <w:rFonts w:cs="Arial"/>
                <w:sz w:val="24"/>
              </w:rPr>
              <w:t xml:space="preserve"> men to have received employment income</w:t>
            </w:r>
            <w:r w:rsidR="00C7602D" w:rsidRPr="00150CD2">
              <w:rPr>
                <w:rFonts w:cs="Arial"/>
                <w:sz w:val="24"/>
              </w:rPr>
              <w:t xml:space="preserve"> </w:t>
            </w:r>
            <w:r w:rsidRPr="00150CD2">
              <w:rPr>
                <w:rFonts w:cs="Arial"/>
                <w:sz w:val="24"/>
              </w:rPr>
              <w:t>above $5,000 over a year</w:t>
            </w:r>
            <w:r w:rsidR="00C7602D" w:rsidRPr="00150CD2">
              <w:rPr>
                <w:rFonts w:cs="Arial"/>
                <w:sz w:val="24"/>
              </w:rPr>
              <w:t xml:space="preserve"> (12% compared with 18% for men).</w:t>
            </w:r>
          </w:p>
          <w:p w14:paraId="4AFB3047" w14:textId="56278231" w:rsidR="00EC1524" w:rsidRPr="00150CD2" w:rsidRDefault="00EC1524" w:rsidP="00D143A9">
            <w:pPr>
              <w:pStyle w:val="EYTablebullet1"/>
              <w:spacing w:before="0" w:after="120"/>
              <w:rPr>
                <w:rFonts w:cs="Arial"/>
                <w:sz w:val="24"/>
              </w:rPr>
            </w:pPr>
            <w:r w:rsidRPr="00150CD2">
              <w:rPr>
                <w:rFonts w:cs="Arial"/>
                <w:sz w:val="24"/>
              </w:rPr>
              <w:t xml:space="preserve">For non-DSS MidCentral adults, </w:t>
            </w:r>
            <w:r w:rsidR="00301A5B" w:rsidRPr="00150CD2">
              <w:rPr>
                <w:rFonts w:cs="Arial"/>
                <w:sz w:val="24"/>
              </w:rPr>
              <w:t>88</w:t>
            </w:r>
            <w:r w:rsidRPr="00150CD2">
              <w:rPr>
                <w:rFonts w:cs="Arial"/>
                <w:sz w:val="24"/>
              </w:rPr>
              <w:t xml:space="preserve">% of </w:t>
            </w:r>
            <w:r w:rsidR="00301A5B" w:rsidRPr="00150CD2">
              <w:rPr>
                <w:rFonts w:cs="Arial"/>
                <w:sz w:val="24"/>
              </w:rPr>
              <w:t>25</w:t>
            </w:r>
            <w:r w:rsidRPr="00150CD2">
              <w:rPr>
                <w:rFonts w:cs="Arial"/>
                <w:sz w:val="24"/>
              </w:rPr>
              <w:t>-</w:t>
            </w:r>
            <w:r w:rsidR="00301A5B" w:rsidRPr="00150CD2">
              <w:rPr>
                <w:rFonts w:cs="Arial"/>
                <w:sz w:val="24"/>
              </w:rPr>
              <w:t xml:space="preserve">44 </w:t>
            </w:r>
            <w:r w:rsidRPr="00150CD2">
              <w:rPr>
                <w:rFonts w:cs="Arial"/>
                <w:sz w:val="24"/>
              </w:rPr>
              <w:t xml:space="preserve">year olds and </w:t>
            </w:r>
            <w:r w:rsidR="00301A5B" w:rsidRPr="00150CD2">
              <w:rPr>
                <w:rFonts w:cs="Arial"/>
                <w:sz w:val="24"/>
              </w:rPr>
              <w:t>79</w:t>
            </w:r>
            <w:r w:rsidRPr="00150CD2">
              <w:rPr>
                <w:rFonts w:cs="Arial"/>
                <w:sz w:val="24"/>
              </w:rPr>
              <w:t xml:space="preserve">% of </w:t>
            </w:r>
            <w:r w:rsidR="00301A5B" w:rsidRPr="00150CD2">
              <w:rPr>
                <w:rFonts w:cs="Arial"/>
                <w:sz w:val="24"/>
              </w:rPr>
              <w:t>45</w:t>
            </w:r>
            <w:r w:rsidRPr="00150CD2">
              <w:rPr>
                <w:rFonts w:cs="Arial"/>
                <w:sz w:val="24"/>
              </w:rPr>
              <w:t xml:space="preserve">-64 year olds reported any employment income over a 3 year period. </w:t>
            </w:r>
            <w:r w:rsidR="00301A5B" w:rsidRPr="00150CD2">
              <w:rPr>
                <w:rFonts w:cs="Arial"/>
                <w:sz w:val="24"/>
              </w:rPr>
              <w:t xml:space="preserve">Around </w:t>
            </w:r>
            <w:r w:rsidRPr="00150CD2">
              <w:rPr>
                <w:rFonts w:cs="Arial"/>
                <w:sz w:val="24"/>
              </w:rPr>
              <w:t>80% reported income over $5,000 over at least one year in the 3 year period.</w:t>
            </w:r>
          </w:p>
        </w:tc>
      </w:tr>
      <w:tr w:rsidR="00D26785" w:rsidRPr="00150CD2" w14:paraId="308F2FEA" w14:textId="77777777" w:rsidTr="00336432">
        <w:tc>
          <w:tcPr>
            <w:tcW w:w="1545" w:type="dxa"/>
            <w:tcBorders>
              <w:top w:val="nil"/>
              <w:bottom w:val="nil"/>
            </w:tcBorders>
          </w:tcPr>
          <w:p w14:paraId="63D42A6A" w14:textId="77777777" w:rsidR="00D26785" w:rsidRPr="00150CD2" w:rsidRDefault="00D26785" w:rsidP="00D143A9">
            <w:pPr>
              <w:pStyle w:val="EYTableText"/>
              <w:spacing w:before="0" w:after="120"/>
              <w:rPr>
                <w:rFonts w:cs="Arial"/>
                <w:sz w:val="24"/>
              </w:rPr>
            </w:pPr>
          </w:p>
        </w:tc>
        <w:tc>
          <w:tcPr>
            <w:tcW w:w="2015" w:type="dxa"/>
          </w:tcPr>
          <w:p w14:paraId="5D6C0517" w14:textId="61664CBB" w:rsidR="00D26785" w:rsidRPr="00150CD2" w:rsidRDefault="00D26785" w:rsidP="00D143A9">
            <w:pPr>
              <w:pStyle w:val="EYTableText"/>
              <w:spacing w:before="0" w:after="120"/>
              <w:rPr>
                <w:rFonts w:cs="Arial"/>
                <w:sz w:val="24"/>
              </w:rPr>
            </w:pPr>
            <w:r w:rsidRPr="00150CD2">
              <w:rPr>
                <w:rFonts w:cs="Arial"/>
                <w:sz w:val="24"/>
              </w:rPr>
              <w:t xml:space="preserve">Driver </w:t>
            </w:r>
            <w:r w:rsidR="00301A5B" w:rsidRPr="00150CD2">
              <w:rPr>
                <w:rFonts w:cs="Arial"/>
                <w:sz w:val="24"/>
              </w:rPr>
              <w:t>licences</w:t>
            </w:r>
          </w:p>
        </w:tc>
        <w:tc>
          <w:tcPr>
            <w:tcW w:w="10384" w:type="dxa"/>
            <w:shd w:val="clear" w:color="auto" w:fill="auto"/>
          </w:tcPr>
          <w:p w14:paraId="3212CBFE" w14:textId="60C5A40B" w:rsidR="00161FB7" w:rsidRPr="00150CD2" w:rsidRDefault="00161FB7" w:rsidP="00D143A9">
            <w:pPr>
              <w:pStyle w:val="EYTablebullet1"/>
              <w:numPr>
                <w:ilvl w:val="0"/>
                <w:numId w:val="0"/>
              </w:numPr>
              <w:spacing w:before="0" w:after="120"/>
              <w:ind w:left="284" w:hanging="284"/>
              <w:rPr>
                <w:rFonts w:cs="Arial"/>
                <w:sz w:val="24"/>
              </w:rPr>
            </w:pPr>
            <w:r w:rsidRPr="00150CD2">
              <w:rPr>
                <w:rFonts w:cs="Arial"/>
                <w:sz w:val="24"/>
              </w:rPr>
              <w:t>The MidCentral DSS adult population has similar</w:t>
            </w:r>
            <w:r w:rsidR="0095669C" w:rsidRPr="00150CD2">
              <w:rPr>
                <w:rFonts w:cs="Arial"/>
                <w:sz w:val="24"/>
              </w:rPr>
              <w:t xml:space="preserve"> driver</w:t>
            </w:r>
            <w:r w:rsidRPr="00150CD2">
              <w:rPr>
                <w:rFonts w:cs="Arial"/>
                <w:sz w:val="24"/>
              </w:rPr>
              <w:t xml:space="preserve"> licence rates to that of the national DSS population:</w:t>
            </w:r>
          </w:p>
          <w:p w14:paraId="3D173E5D" w14:textId="52A6AE99" w:rsidR="00D26785" w:rsidRPr="00150CD2" w:rsidRDefault="00D26785" w:rsidP="00D143A9">
            <w:pPr>
              <w:pStyle w:val="EYTablebullet1"/>
              <w:spacing w:before="0" w:after="120"/>
              <w:rPr>
                <w:rFonts w:cs="Arial"/>
                <w:sz w:val="24"/>
              </w:rPr>
            </w:pPr>
            <w:r w:rsidRPr="00150CD2">
              <w:rPr>
                <w:rFonts w:cs="Arial"/>
                <w:sz w:val="24"/>
              </w:rPr>
              <w:t>2</w:t>
            </w:r>
            <w:r w:rsidR="00301A5B" w:rsidRPr="00150CD2">
              <w:rPr>
                <w:rFonts w:cs="Arial"/>
                <w:sz w:val="24"/>
              </w:rPr>
              <w:t>0</w:t>
            </w:r>
            <w:r w:rsidRPr="00150CD2">
              <w:rPr>
                <w:rFonts w:cs="Arial"/>
                <w:sz w:val="24"/>
              </w:rPr>
              <w:t xml:space="preserve">% of DSS adults aged </w:t>
            </w:r>
            <w:r w:rsidR="00301A5B" w:rsidRPr="00150CD2">
              <w:rPr>
                <w:rFonts w:cs="Arial"/>
                <w:sz w:val="24"/>
              </w:rPr>
              <w:t>25</w:t>
            </w:r>
            <w:r w:rsidRPr="00150CD2">
              <w:rPr>
                <w:rFonts w:cs="Arial"/>
                <w:sz w:val="24"/>
              </w:rPr>
              <w:t>-64 had their full driver licence at June 2018</w:t>
            </w:r>
            <w:r w:rsidR="00161FB7" w:rsidRPr="00150CD2">
              <w:rPr>
                <w:rFonts w:cs="Arial"/>
                <w:sz w:val="24"/>
              </w:rPr>
              <w:t>, similar to the national DSS population but significantly lower than the MidCentral population (8</w:t>
            </w:r>
            <w:r w:rsidR="00301A5B" w:rsidRPr="00150CD2">
              <w:rPr>
                <w:rFonts w:cs="Arial"/>
                <w:sz w:val="24"/>
              </w:rPr>
              <w:t>3</w:t>
            </w:r>
            <w:r w:rsidR="00161FB7" w:rsidRPr="00150CD2">
              <w:rPr>
                <w:rFonts w:cs="Arial"/>
                <w:sz w:val="24"/>
              </w:rPr>
              <w:t>% with a current full licence).</w:t>
            </w:r>
          </w:p>
          <w:p w14:paraId="140C225E" w14:textId="23D6A92E" w:rsidR="00D26785" w:rsidRPr="00150CD2" w:rsidRDefault="00D26785" w:rsidP="00D143A9">
            <w:pPr>
              <w:pStyle w:val="EYTablebullet1"/>
              <w:spacing w:before="0" w:after="120"/>
              <w:rPr>
                <w:rFonts w:cs="Arial"/>
                <w:sz w:val="24"/>
              </w:rPr>
            </w:pPr>
            <w:r w:rsidRPr="00150CD2">
              <w:rPr>
                <w:rFonts w:cs="Arial"/>
                <w:sz w:val="24"/>
              </w:rPr>
              <w:t>Within the MidCentral DSS group, licence rates are lower for those with intellectual disability (</w:t>
            </w:r>
            <w:r w:rsidR="00161FB7" w:rsidRPr="00150CD2">
              <w:rPr>
                <w:rFonts w:cs="Arial"/>
                <w:sz w:val="24"/>
              </w:rPr>
              <w:t>6</w:t>
            </w:r>
            <w:r w:rsidRPr="00150CD2">
              <w:rPr>
                <w:rFonts w:cs="Arial"/>
                <w:sz w:val="24"/>
              </w:rPr>
              <w:t xml:space="preserve">% compared with </w:t>
            </w:r>
            <w:r w:rsidR="00301A5B" w:rsidRPr="00150CD2">
              <w:rPr>
                <w:rFonts w:cs="Arial"/>
                <w:sz w:val="24"/>
              </w:rPr>
              <w:t>45</w:t>
            </w:r>
            <w:r w:rsidRPr="00150CD2">
              <w:rPr>
                <w:rFonts w:cs="Arial"/>
                <w:sz w:val="24"/>
              </w:rPr>
              <w:t xml:space="preserve">% for those with </w:t>
            </w:r>
            <w:r w:rsidR="00161FB7" w:rsidRPr="00150CD2">
              <w:rPr>
                <w:rFonts w:cs="Arial"/>
                <w:sz w:val="24"/>
              </w:rPr>
              <w:t xml:space="preserve">physical and </w:t>
            </w:r>
            <w:r w:rsidRPr="00150CD2">
              <w:rPr>
                <w:rFonts w:cs="Arial"/>
                <w:sz w:val="24"/>
              </w:rPr>
              <w:t xml:space="preserve">other disability types), </w:t>
            </w:r>
            <w:r w:rsidR="00DF5F17" w:rsidRPr="00150CD2">
              <w:rPr>
                <w:rFonts w:cs="Arial"/>
                <w:sz w:val="24"/>
              </w:rPr>
              <w:t>high/very high SPA</w:t>
            </w:r>
            <w:r w:rsidRPr="00150CD2">
              <w:rPr>
                <w:rFonts w:cs="Arial"/>
                <w:sz w:val="24"/>
              </w:rPr>
              <w:t xml:space="preserve"> levels (</w:t>
            </w:r>
            <w:r w:rsidR="00161FB7" w:rsidRPr="00150CD2">
              <w:rPr>
                <w:rFonts w:cs="Arial"/>
                <w:sz w:val="24"/>
              </w:rPr>
              <w:t>14</w:t>
            </w:r>
            <w:r w:rsidRPr="00150CD2">
              <w:rPr>
                <w:rFonts w:cs="Arial"/>
                <w:sz w:val="24"/>
              </w:rPr>
              <w:t>% have licences)</w:t>
            </w:r>
            <w:r w:rsidR="00161FB7" w:rsidRPr="00150CD2">
              <w:rPr>
                <w:rFonts w:cs="Arial"/>
                <w:sz w:val="24"/>
              </w:rPr>
              <w:t>. Licen</w:t>
            </w:r>
            <w:r w:rsidR="00B60DAB" w:rsidRPr="00150CD2">
              <w:rPr>
                <w:rFonts w:cs="Arial"/>
                <w:sz w:val="24"/>
              </w:rPr>
              <w:t>c</w:t>
            </w:r>
            <w:r w:rsidR="00161FB7" w:rsidRPr="00150CD2">
              <w:rPr>
                <w:rFonts w:cs="Arial"/>
                <w:sz w:val="24"/>
              </w:rPr>
              <w:t>e rates</w:t>
            </w:r>
            <w:r w:rsidRPr="00150CD2">
              <w:rPr>
                <w:rFonts w:cs="Arial"/>
                <w:sz w:val="24"/>
              </w:rPr>
              <w:t xml:space="preserve"> </w:t>
            </w:r>
            <w:r w:rsidR="00161FB7" w:rsidRPr="00150CD2">
              <w:rPr>
                <w:rFonts w:cs="Arial"/>
                <w:sz w:val="24"/>
              </w:rPr>
              <w:t xml:space="preserve">were similar across Māori and non-Māori adults. </w:t>
            </w:r>
          </w:p>
        </w:tc>
      </w:tr>
      <w:tr w:rsidR="005F6775" w:rsidRPr="00150CD2" w14:paraId="62CA2FAA" w14:textId="77777777" w:rsidTr="00336432">
        <w:tc>
          <w:tcPr>
            <w:tcW w:w="1545" w:type="dxa"/>
            <w:tcBorders>
              <w:top w:val="nil"/>
              <w:bottom w:val="nil"/>
            </w:tcBorders>
          </w:tcPr>
          <w:p w14:paraId="64F486E3" w14:textId="77777777" w:rsidR="005F6775" w:rsidRPr="00150CD2" w:rsidRDefault="005F6775" w:rsidP="00D143A9">
            <w:pPr>
              <w:pStyle w:val="EYTableText"/>
              <w:spacing w:before="0" w:after="120"/>
              <w:rPr>
                <w:rFonts w:cs="Arial"/>
                <w:sz w:val="24"/>
              </w:rPr>
            </w:pPr>
          </w:p>
        </w:tc>
        <w:tc>
          <w:tcPr>
            <w:tcW w:w="2015" w:type="dxa"/>
          </w:tcPr>
          <w:p w14:paraId="13E7A076" w14:textId="17C039CC" w:rsidR="005F6775" w:rsidRPr="00150CD2" w:rsidRDefault="003757F9" w:rsidP="00D143A9">
            <w:pPr>
              <w:pStyle w:val="EYTableText"/>
              <w:spacing w:before="0" w:after="120"/>
              <w:rPr>
                <w:rFonts w:cs="Arial"/>
                <w:sz w:val="24"/>
              </w:rPr>
            </w:pPr>
            <w:r w:rsidRPr="00150CD2">
              <w:rPr>
                <w:rFonts w:cs="Arial"/>
                <w:sz w:val="24"/>
              </w:rPr>
              <w:t>O</w:t>
            </w:r>
            <w:r w:rsidR="005F6775" w:rsidRPr="00150CD2">
              <w:rPr>
                <w:rFonts w:cs="Arial"/>
                <w:sz w:val="24"/>
              </w:rPr>
              <w:t>ffences</w:t>
            </w:r>
          </w:p>
        </w:tc>
        <w:tc>
          <w:tcPr>
            <w:tcW w:w="10384" w:type="dxa"/>
            <w:shd w:val="clear" w:color="auto" w:fill="auto"/>
          </w:tcPr>
          <w:p w14:paraId="38039B38" w14:textId="652F5D69" w:rsidR="005F6775" w:rsidRPr="00150CD2" w:rsidRDefault="00301A5B" w:rsidP="00D143A9">
            <w:pPr>
              <w:pStyle w:val="EYTablebullet1"/>
              <w:spacing w:before="0" w:after="120"/>
              <w:rPr>
                <w:rFonts w:cs="Arial"/>
                <w:sz w:val="24"/>
              </w:rPr>
            </w:pPr>
            <w:r w:rsidRPr="00150CD2">
              <w:rPr>
                <w:rFonts w:cs="Arial"/>
                <w:sz w:val="24"/>
              </w:rPr>
              <w:t>5</w:t>
            </w:r>
            <w:r w:rsidR="005F6775" w:rsidRPr="00150CD2">
              <w:rPr>
                <w:rFonts w:cs="Arial"/>
                <w:sz w:val="24"/>
              </w:rPr>
              <w:t xml:space="preserve">% </w:t>
            </w:r>
            <w:r w:rsidR="00161FB7" w:rsidRPr="00150CD2">
              <w:rPr>
                <w:rFonts w:cs="Arial"/>
                <w:sz w:val="24"/>
              </w:rPr>
              <w:t xml:space="preserve">of MidCentral DSS </w:t>
            </w:r>
            <w:r w:rsidRPr="00150CD2">
              <w:rPr>
                <w:rFonts w:cs="Arial"/>
                <w:sz w:val="24"/>
              </w:rPr>
              <w:t>25</w:t>
            </w:r>
            <w:r w:rsidR="00161FB7" w:rsidRPr="00150CD2">
              <w:rPr>
                <w:rFonts w:cs="Arial"/>
                <w:sz w:val="24"/>
              </w:rPr>
              <w:t xml:space="preserve">-64 year olds </w:t>
            </w:r>
            <w:r w:rsidR="005F6775" w:rsidRPr="00150CD2">
              <w:rPr>
                <w:rFonts w:cs="Arial"/>
                <w:sz w:val="24"/>
              </w:rPr>
              <w:t xml:space="preserve">were involved in a Police recorded offence over </w:t>
            </w:r>
            <w:r w:rsidRPr="00150CD2">
              <w:rPr>
                <w:rFonts w:cs="Arial"/>
                <w:sz w:val="24"/>
              </w:rPr>
              <w:t xml:space="preserve">the period, similar to </w:t>
            </w:r>
            <w:r w:rsidR="003408B5" w:rsidRPr="00150CD2">
              <w:rPr>
                <w:rFonts w:cs="Arial"/>
                <w:sz w:val="24"/>
              </w:rPr>
              <w:t xml:space="preserve">offending rates for other MidCentral adults </w:t>
            </w:r>
            <w:r w:rsidR="00CC54D7" w:rsidRPr="00150CD2">
              <w:rPr>
                <w:rFonts w:cs="Arial"/>
                <w:sz w:val="24"/>
              </w:rPr>
              <w:t>and DSS adults outside MidCentral</w:t>
            </w:r>
            <w:r w:rsidRPr="00150CD2">
              <w:rPr>
                <w:rFonts w:cs="Arial"/>
                <w:sz w:val="24"/>
              </w:rPr>
              <w:t>.</w:t>
            </w:r>
          </w:p>
          <w:p w14:paraId="7D6690B3" w14:textId="2ED37527" w:rsidR="005F6775" w:rsidRPr="00150CD2" w:rsidRDefault="005F6775" w:rsidP="00D143A9">
            <w:pPr>
              <w:pStyle w:val="EYTablebullet1"/>
              <w:spacing w:before="0" w:after="120"/>
              <w:rPr>
                <w:rFonts w:cs="Arial"/>
                <w:sz w:val="24"/>
              </w:rPr>
            </w:pPr>
            <w:r w:rsidRPr="00150CD2">
              <w:rPr>
                <w:rFonts w:cs="Arial"/>
                <w:sz w:val="24"/>
              </w:rPr>
              <w:t xml:space="preserve">Within the adult MidCentral </w:t>
            </w:r>
            <w:r w:rsidR="00161FB7" w:rsidRPr="00150CD2">
              <w:rPr>
                <w:rFonts w:cs="Arial"/>
                <w:sz w:val="24"/>
              </w:rPr>
              <w:t>DSS</w:t>
            </w:r>
            <w:r w:rsidRPr="00150CD2">
              <w:rPr>
                <w:rFonts w:cs="Arial"/>
                <w:sz w:val="24"/>
              </w:rPr>
              <w:t xml:space="preserve"> </w:t>
            </w:r>
            <w:r w:rsidR="00161FB7" w:rsidRPr="00150CD2">
              <w:rPr>
                <w:rFonts w:cs="Arial"/>
                <w:sz w:val="24"/>
              </w:rPr>
              <w:t>group</w:t>
            </w:r>
            <w:r w:rsidRPr="00150CD2">
              <w:rPr>
                <w:rFonts w:cs="Arial"/>
                <w:sz w:val="24"/>
              </w:rPr>
              <w:t xml:space="preserve">, offending rates were higher </w:t>
            </w:r>
            <w:r w:rsidR="00161FB7" w:rsidRPr="00150CD2">
              <w:rPr>
                <w:rFonts w:cs="Arial"/>
                <w:sz w:val="24"/>
              </w:rPr>
              <w:t xml:space="preserve">for </w:t>
            </w:r>
            <w:r w:rsidR="005A31FC" w:rsidRPr="00150CD2">
              <w:rPr>
                <w:rFonts w:cs="Arial"/>
                <w:sz w:val="24"/>
              </w:rPr>
              <w:t xml:space="preserve">men at younger ages and </w:t>
            </w:r>
            <w:r w:rsidR="00161FB7" w:rsidRPr="00150CD2">
              <w:rPr>
                <w:rFonts w:cs="Arial"/>
                <w:sz w:val="24"/>
              </w:rPr>
              <w:t xml:space="preserve">for </w:t>
            </w:r>
            <w:r w:rsidRPr="00150CD2">
              <w:rPr>
                <w:rFonts w:cs="Arial"/>
                <w:sz w:val="24"/>
              </w:rPr>
              <w:t>Māori (</w:t>
            </w:r>
            <w:r w:rsidR="00CA4326" w:rsidRPr="00150CD2">
              <w:rPr>
                <w:rFonts w:cs="Arial"/>
                <w:sz w:val="24"/>
              </w:rPr>
              <w:t xml:space="preserve">around </w:t>
            </w:r>
            <w:r w:rsidRPr="00150CD2">
              <w:rPr>
                <w:rFonts w:cs="Arial"/>
                <w:sz w:val="24"/>
              </w:rPr>
              <w:t>3</w:t>
            </w:r>
            <w:r w:rsidR="00B60DAB" w:rsidRPr="00150CD2">
              <w:rPr>
                <w:rFonts w:cs="Arial"/>
                <w:sz w:val="24"/>
              </w:rPr>
              <w:t xml:space="preserve"> times</w:t>
            </w:r>
            <w:r w:rsidRPr="00150CD2">
              <w:rPr>
                <w:rFonts w:cs="Arial"/>
                <w:sz w:val="24"/>
              </w:rPr>
              <w:t>)</w:t>
            </w:r>
            <w:r w:rsidR="005A31FC" w:rsidRPr="00150CD2">
              <w:rPr>
                <w:rFonts w:cs="Arial"/>
                <w:sz w:val="24"/>
              </w:rPr>
              <w:t xml:space="preserve">, consistent with differences in the national population. Rates are </w:t>
            </w:r>
            <w:r w:rsidRPr="00150CD2">
              <w:rPr>
                <w:rFonts w:cs="Arial"/>
                <w:sz w:val="24"/>
              </w:rPr>
              <w:t>similar between SPA levels and disability types.</w:t>
            </w:r>
          </w:p>
        </w:tc>
      </w:tr>
      <w:tr w:rsidR="00302B8D" w:rsidRPr="00150CD2" w14:paraId="05CF8112" w14:textId="77777777" w:rsidTr="00336432">
        <w:tc>
          <w:tcPr>
            <w:tcW w:w="1545" w:type="dxa"/>
            <w:tcBorders>
              <w:top w:val="nil"/>
              <w:bottom w:val="nil"/>
            </w:tcBorders>
          </w:tcPr>
          <w:p w14:paraId="2AB95AD5" w14:textId="77777777" w:rsidR="00302B8D" w:rsidRPr="00150CD2" w:rsidRDefault="00302B8D" w:rsidP="00302B8D">
            <w:pPr>
              <w:pStyle w:val="EYTableText"/>
              <w:spacing w:before="0" w:after="120"/>
              <w:rPr>
                <w:rFonts w:cs="Arial"/>
                <w:sz w:val="24"/>
              </w:rPr>
            </w:pPr>
          </w:p>
        </w:tc>
        <w:tc>
          <w:tcPr>
            <w:tcW w:w="2015" w:type="dxa"/>
          </w:tcPr>
          <w:p w14:paraId="23DE6490" w14:textId="5E8A69D1" w:rsidR="00302B8D" w:rsidRPr="00150CD2" w:rsidRDefault="00302B8D" w:rsidP="00302B8D">
            <w:pPr>
              <w:pStyle w:val="EYTableText"/>
              <w:spacing w:before="0" w:after="120"/>
              <w:rPr>
                <w:rFonts w:cs="Arial"/>
                <w:sz w:val="24"/>
              </w:rPr>
            </w:pPr>
            <w:r w:rsidRPr="00150CD2">
              <w:rPr>
                <w:rFonts w:cs="Arial"/>
                <w:sz w:val="24"/>
              </w:rPr>
              <w:t>Safety – victimisation</w:t>
            </w:r>
          </w:p>
        </w:tc>
        <w:tc>
          <w:tcPr>
            <w:tcW w:w="10384" w:type="dxa"/>
            <w:shd w:val="clear" w:color="auto" w:fill="auto"/>
          </w:tcPr>
          <w:p w14:paraId="7F0A52C9" w14:textId="77777777" w:rsidR="00302B8D" w:rsidRPr="00150CD2" w:rsidRDefault="00302B8D" w:rsidP="00302B8D">
            <w:pPr>
              <w:pStyle w:val="EYTablebullet1"/>
              <w:spacing w:before="0" w:after="120"/>
              <w:rPr>
                <w:rFonts w:cs="Arial"/>
                <w:sz w:val="24"/>
              </w:rPr>
            </w:pPr>
            <w:r w:rsidRPr="00150CD2">
              <w:rPr>
                <w:rFonts w:cs="Arial"/>
                <w:sz w:val="24"/>
              </w:rPr>
              <w:t>8% of MidCentral DSS 25-64 year olds were recorded by Police as being victims of a crime over the 3 years to 30 June 2018. This rate was similar to both DSS adults outside MidCentral and the broader MidCentral population.</w:t>
            </w:r>
          </w:p>
          <w:p w14:paraId="25C4B138" w14:textId="4A16DD62" w:rsidR="00302B8D" w:rsidRPr="00150CD2" w:rsidRDefault="00302B8D" w:rsidP="00302B8D">
            <w:pPr>
              <w:pStyle w:val="EYTablebullet1"/>
              <w:spacing w:before="0" w:after="120"/>
              <w:rPr>
                <w:rFonts w:cs="Arial"/>
                <w:sz w:val="24"/>
              </w:rPr>
            </w:pPr>
            <w:r w:rsidRPr="00150CD2">
              <w:rPr>
                <w:rFonts w:cs="Arial"/>
                <w:sz w:val="24"/>
              </w:rPr>
              <w:t>Reflecting patterns for other age groups and in the national population, Māori were more likely to be victimised than non-Māori. Rates were similar across gender, intellectual/non-intellectual disability types and those with different SPA levels.</w:t>
            </w:r>
          </w:p>
        </w:tc>
      </w:tr>
      <w:tr w:rsidR="005F6775" w:rsidRPr="00150CD2" w14:paraId="2C215C9D" w14:textId="77777777" w:rsidTr="00336432">
        <w:tc>
          <w:tcPr>
            <w:tcW w:w="1545" w:type="dxa"/>
            <w:tcBorders>
              <w:top w:val="nil"/>
              <w:bottom w:val="nil"/>
            </w:tcBorders>
          </w:tcPr>
          <w:p w14:paraId="01938AB7" w14:textId="77777777" w:rsidR="005F6775" w:rsidRPr="00150CD2" w:rsidRDefault="005F6775" w:rsidP="00D143A9">
            <w:pPr>
              <w:pStyle w:val="EYTableText"/>
              <w:spacing w:before="0" w:after="120"/>
              <w:rPr>
                <w:rFonts w:cs="Arial"/>
                <w:sz w:val="24"/>
              </w:rPr>
            </w:pPr>
          </w:p>
        </w:tc>
        <w:tc>
          <w:tcPr>
            <w:tcW w:w="2015" w:type="dxa"/>
          </w:tcPr>
          <w:p w14:paraId="143D4EEC" w14:textId="56246963" w:rsidR="005F6775" w:rsidRPr="00150CD2" w:rsidRDefault="000B12E6" w:rsidP="00D143A9">
            <w:pPr>
              <w:pStyle w:val="EYTableText"/>
              <w:spacing w:before="0" w:after="120"/>
              <w:rPr>
                <w:rFonts w:cs="Arial"/>
                <w:sz w:val="24"/>
              </w:rPr>
            </w:pPr>
            <w:r w:rsidRPr="00150CD2">
              <w:rPr>
                <w:rFonts w:cs="Arial"/>
                <w:sz w:val="24"/>
              </w:rPr>
              <w:t>Ambulatory sensitive hospitalisation</w:t>
            </w:r>
            <w:r w:rsidR="001E1FB2" w:rsidRPr="00150CD2">
              <w:rPr>
                <w:rFonts w:cs="Arial"/>
                <w:sz w:val="24"/>
              </w:rPr>
              <w:t xml:space="preserve"> (ASH)</w:t>
            </w:r>
            <w:r w:rsidRPr="00150CD2">
              <w:rPr>
                <w:rFonts w:cs="Arial"/>
                <w:sz w:val="24"/>
              </w:rPr>
              <w:t>s, ED contacts and injury related hospitalisations</w:t>
            </w:r>
            <w:r w:rsidRPr="00150CD2">
              <w:rPr>
                <w:rStyle w:val="CommentReference"/>
                <w:rFonts w:cs="Arial"/>
                <w:sz w:val="24"/>
                <w:szCs w:val="24"/>
              </w:rPr>
              <w:t xml:space="preserve"> </w:t>
            </w:r>
          </w:p>
        </w:tc>
        <w:tc>
          <w:tcPr>
            <w:tcW w:w="10384" w:type="dxa"/>
            <w:shd w:val="clear" w:color="auto" w:fill="auto"/>
          </w:tcPr>
          <w:p w14:paraId="0F096F4F" w14:textId="7A56ABE7" w:rsidR="005F6775" w:rsidRPr="00150CD2" w:rsidRDefault="005A31FC" w:rsidP="00D143A9">
            <w:pPr>
              <w:pStyle w:val="EYTableText"/>
              <w:spacing w:before="0" w:after="120"/>
              <w:rPr>
                <w:rFonts w:cs="Arial"/>
                <w:sz w:val="24"/>
              </w:rPr>
            </w:pPr>
            <w:r w:rsidRPr="00150CD2">
              <w:rPr>
                <w:rFonts w:cs="Arial"/>
                <w:sz w:val="24"/>
              </w:rPr>
              <w:t>2</w:t>
            </w:r>
            <w:r w:rsidR="00CC54D7" w:rsidRPr="00150CD2">
              <w:rPr>
                <w:rFonts w:cs="Arial"/>
                <w:sz w:val="24"/>
              </w:rPr>
              <w:t>9</w:t>
            </w:r>
            <w:r w:rsidR="005F6775" w:rsidRPr="00150CD2">
              <w:rPr>
                <w:rFonts w:cs="Arial"/>
                <w:sz w:val="24"/>
              </w:rPr>
              <w:t xml:space="preserve">% of the </w:t>
            </w:r>
            <w:r w:rsidR="00CC54D7" w:rsidRPr="00150CD2">
              <w:rPr>
                <w:rFonts w:cs="Arial"/>
                <w:sz w:val="24"/>
              </w:rPr>
              <w:t>25</w:t>
            </w:r>
            <w:r w:rsidR="005F6775" w:rsidRPr="00150CD2">
              <w:rPr>
                <w:rFonts w:cs="Arial"/>
                <w:sz w:val="24"/>
              </w:rPr>
              <w:t>-64</w:t>
            </w:r>
            <w:r w:rsidRPr="00150CD2">
              <w:rPr>
                <w:rFonts w:cs="Arial"/>
                <w:sz w:val="24"/>
              </w:rPr>
              <w:t xml:space="preserve"> year old MidCentral DSS population </w:t>
            </w:r>
            <w:r w:rsidR="005F6775" w:rsidRPr="00150CD2">
              <w:rPr>
                <w:rFonts w:cs="Arial"/>
                <w:sz w:val="24"/>
              </w:rPr>
              <w:t xml:space="preserve">had </w:t>
            </w:r>
            <w:r w:rsidR="00917859" w:rsidRPr="00150CD2">
              <w:rPr>
                <w:rFonts w:cs="Arial"/>
                <w:sz w:val="24"/>
              </w:rPr>
              <w:t>ASHs</w:t>
            </w:r>
            <w:r w:rsidRPr="00150CD2">
              <w:rPr>
                <w:rFonts w:cs="Arial"/>
                <w:sz w:val="24"/>
              </w:rPr>
              <w:t xml:space="preserve"> over </w:t>
            </w:r>
            <w:r w:rsidR="00CC54D7" w:rsidRPr="00150CD2">
              <w:rPr>
                <w:rFonts w:cs="Arial"/>
                <w:sz w:val="24"/>
              </w:rPr>
              <w:t>the</w:t>
            </w:r>
            <w:r w:rsidRPr="00150CD2">
              <w:rPr>
                <w:rFonts w:cs="Arial"/>
                <w:sz w:val="24"/>
              </w:rPr>
              <w:t xml:space="preserve"> 3 year period</w:t>
            </w:r>
            <w:r w:rsidR="00975542" w:rsidRPr="00150CD2">
              <w:rPr>
                <w:rFonts w:cs="Arial"/>
                <w:sz w:val="24"/>
              </w:rPr>
              <w:t xml:space="preserve"> (28% for 25-44 year olds and 30% for 45-64 year olds)</w:t>
            </w:r>
            <w:r w:rsidR="00375482" w:rsidRPr="00150CD2">
              <w:rPr>
                <w:rFonts w:cs="Arial"/>
                <w:sz w:val="24"/>
              </w:rPr>
              <w:t xml:space="preserve">. This was higher than for the DSS population outside MidCentral (22% had ASHs over </w:t>
            </w:r>
            <w:r w:rsidR="00CC54D7" w:rsidRPr="00150CD2">
              <w:rPr>
                <w:rFonts w:cs="Arial"/>
                <w:sz w:val="24"/>
              </w:rPr>
              <w:t>the same period</w:t>
            </w:r>
            <w:r w:rsidR="00375482" w:rsidRPr="00150CD2">
              <w:rPr>
                <w:rFonts w:cs="Arial"/>
                <w:sz w:val="24"/>
              </w:rPr>
              <w:t>)</w:t>
            </w:r>
            <w:r w:rsidR="005F6775" w:rsidRPr="00150CD2">
              <w:rPr>
                <w:rFonts w:cs="Arial"/>
                <w:sz w:val="24"/>
              </w:rPr>
              <w:t xml:space="preserve"> </w:t>
            </w:r>
            <w:r w:rsidR="00375482" w:rsidRPr="00150CD2">
              <w:rPr>
                <w:rFonts w:cs="Arial"/>
                <w:sz w:val="24"/>
              </w:rPr>
              <w:t>and considerably higher than the broader MidCentral adult population (</w:t>
            </w:r>
            <w:r w:rsidRPr="00150CD2">
              <w:rPr>
                <w:rFonts w:cs="Arial"/>
                <w:sz w:val="24"/>
              </w:rPr>
              <w:t>4</w:t>
            </w:r>
            <w:r w:rsidR="005F6775" w:rsidRPr="00150CD2">
              <w:rPr>
                <w:rFonts w:cs="Arial"/>
                <w:sz w:val="24"/>
              </w:rPr>
              <w:t xml:space="preserve">% </w:t>
            </w:r>
            <w:r w:rsidR="00375482" w:rsidRPr="00150CD2">
              <w:rPr>
                <w:rFonts w:cs="Arial"/>
                <w:sz w:val="24"/>
              </w:rPr>
              <w:t>had ASHs over the same period)</w:t>
            </w:r>
            <w:r w:rsidR="005F6775" w:rsidRPr="00150CD2">
              <w:rPr>
                <w:rFonts w:cs="Arial"/>
                <w:sz w:val="24"/>
              </w:rPr>
              <w:t>.</w:t>
            </w:r>
          </w:p>
          <w:p w14:paraId="1B1C4064" w14:textId="0DEE885F" w:rsidR="005F6775" w:rsidRPr="00150CD2" w:rsidRDefault="005F6775" w:rsidP="00D143A9">
            <w:pPr>
              <w:pStyle w:val="EYTablebullet1"/>
              <w:spacing w:before="0" w:after="120"/>
              <w:rPr>
                <w:rFonts w:cs="Arial"/>
                <w:sz w:val="24"/>
              </w:rPr>
            </w:pPr>
            <w:r w:rsidRPr="00150CD2">
              <w:rPr>
                <w:rFonts w:cs="Arial"/>
                <w:sz w:val="24"/>
              </w:rPr>
              <w:t>ASH rates were higher for those with intellectual disabilities (</w:t>
            </w:r>
            <w:r w:rsidR="00375482" w:rsidRPr="00150CD2">
              <w:rPr>
                <w:rFonts w:cs="Arial"/>
                <w:sz w:val="24"/>
              </w:rPr>
              <w:t>34</w:t>
            </w:r>
            <w:r w:rsidRPr="00150CD2">
              <w:rPr>
                <w:rFonts w:cs="Arial"/>
                <w:sz w:val="24"/>
              </w:rPr>
              <w:t xml:space="preserve">% </w:t>
            </w:r>
            <w:r w:rsidR="00CA4326" w:rsidRPr="00150CD2">
              <w:rPr>
                <w:rFonts w:cs="Arial"/>
                <w:sz w:val="24"/>
              </w:rPr>
              <w:t>compared with</w:t>
            </w:r>
            <w:r w:rsidRPr="00150CD2">
              <w:rPr>
                <w:rFonts w:cs="Arial"/>
                <w:sz w:val="24"/>
              </w:rPr>
              <w:t xml:space="preserve"> </w:t>
            </w:r>
            <w:r w:rsidR="00CC54D7" w:rsidRPr="00150CD2">
              <w:rPr>
                <w:rFonts w:cs="Arial"/>
                <w:sz w:val="24"/>
              </w:rPr>
              <w:t>23</w:t>
            </w:r>
            <w:r w:rsidRPr="00150CD2">
              <w:rPr>
                <w:rFonts w:cs="Arial"/>
                <w:sz w:val="24"/>
              </w:rPr>
              <w:t xml:space="preserve">% for those with </w:t>
            </w:r>
            <w:r w:rsidR="00375482" w:rsidRPr="00150CD2">
              <w:rPr>
                <w:rFonts w:cs="Arial"/>
                <w:sz w:val="24"/>
              </w:rPr>
              <w:t xml:space="preserve">physical and </w:t>
            </w:r>
            <w:r w:rsidRPr="00150CD2">
              <w:rPr>
                <w:rFonts w:cs="Arial"/>
                <w:sz w:val="24"/>
              </w:rPr>
              <w:t>other disability types</w:t>
            </w:r>
            <w:r w:rsidR="00CC54D7" w:rsidRPr="00150CD2">
              <w:rPr>
                <w:rFonts w:cs="Arial"/>
                <w:sz w:val="24"/>
              </w:rPr>
              <w:t>)</w:t>
            </w:r>
            <w:r w:rsidRPr="00150CD2">
              <w:rPr>
                <w:rFonts w:cs="Arial"/>
                <w:sz w:val="24"/>
              </w:rPr>
              <w:t xml:space="preserve"> and with a high/very high SPA level (</w:t>
            </w:r>
            <w:r w:rsidR="00CC54D7" w:rsidRPr="00150CD2">
              <w:rPr>
                <w:rFonts w:cs="Arial"/>
                <w:sz w:val="24"/>
              </w:rPr>
              <w:t>37</w:t>
            </w:r>
            <w:r w:rsidRPr="00150CD2">
              <w:rPr>
                <w:rFonts w:cs="Arial"/>
                <w:sz w:val="24"/>
              </w:rPr>
              <w:t xml:space="preserve">% </w:t>
            </w:r>
            <w:r w:rsidR="00CA4326" w:rsidRPr="00150CD2">
              <w:rPr>
                <w:rFonts w:cs="Arial"/>
                <w:sz w:val="24"/>
              </w:rPr>
              <w:t>compared with</w:t>
            </w:r>
            <w:r w:rsidRPr="00150CD2">
              <w:rPr>
                <w:rFonts w:cs="Arial"/>
                <w:sz w:val="24"/>
              </w:rPr>
              <w:t xml:space="preserve"> </w:t>
            </w:r>
            <w:r w:rsidR="00CC54D7" w:rsidRPr="00150CD2">
              <w:rPr>
                <w:rFonts w:cs="Arial"/>
                <w:sz w:val="24"/>
              </w:rPr>
              <w:t>14</w:t>
            </w:r>
            <w:r w:rsidRPr="00150CD2">
              <w:rPr>
                <w:rFonts w:cs="Arial"/>
                <w:sz w:val="24"/>
              </w:rPr>
              <w:t xml:space="preserve">% with a </w:t>
            </w:r>
            <w:r w:rsidR="00375482" w:rsidRPr="00150CD2">
              <w:rPr>
                <w:rFonts w:cs="Arial"/>
                <w:sz w:val="24"/>
              </w:rPr>
              <w:t>low/</w:t>
            </w:r>
            <w:r w:rsidRPr="00150CD2">
              <w:rPr>
                <w:rFonts w:cs="Arial"/>
                <w:sz w:val="24"/>
              </w:rPr>
              <w:t>medium SPA level)</w:t>
            </w:r>
            <w:r w:rsidR="00375482" w:rsidRPr="00150CD2">
              <w:rPr>
                <w:rFonts w:cs="Arial"/>
                <w:sz w:val="24"/>
              </w:rPr>
              <w:t>, and similar between men/women and Māori/non-Māori.</w:t>
            </w:r>
          </w:p>
          <w:p w14:paraId="32C1C6A0" w14:textId="744AE5FE" w:rsidR="00917859" w:rsidRPr="00150CD2" w:rsidRDefault="00F45899" w:rsidP="00D143A9">
            <w:pPr>
              <w:pStyle w:val="EYTableText"/>
              <w:spacing w:before="0" w:after="120"/>
              <w:rPr>
                <w:rFonts w:cs="Arial"/>
                <w:sz w:val="24"/>
              </w:rPr>
            </w:pPr>
            <w:r w:rsidRPr="00150CD2">
              <w:rPr>
                <w:rFonts w:cs="Arial"/>
                <w:sz w:val="24"/>
              </w:rPr>
              <w:br/>
            </w:r>
            <w:r w:rsidR="00ED06D3" w:rsidRPr="00150CD2">
              <w:rPr>
                <w:rFonts w:cs="Arial"/>
                <w:sz w:val="24"/>
              </w:rPr>
              <w:t xml:space="preserve">Injury related </w:t>
            </w:r>
            <w:r w:rsidR="00917859" w:rsidRPr="00150CD2">
              <w:rPr>
                <w:rFonts w:cs="Arial"/>
                <w:sz w:val="24"/>
              </w:rPr>
              <w:t>ED contact and hospitalisation rates were similar to those in the national DSS population, and around 2</w:t>
            </w:r>
            <w:r w:rsidR="00CA4326" w:rsidRPr="00150CD2">
              <w:rPr>
                <w:rFonts w:cs="Arial"/>
                <w:sz w:val="24"/>
              </w:rPr>
              <w:t xml:space="preserve"> times </w:t>
            </w:r>
            <w:r w:rsidR="00917859" w:rsidRPr="00150CD2">
              <w:rPr>
                <w:rFonts w:cs="Arial"/>
                <w:sz w:val="24"/>
              </w:rPr>
              <w:t>the rate in the broader MidCentral adult population</w:t>
            </w:r>
            <w:r w:rsidR="00C17811" w:rsidRPr="00150CD2">
              <w:rPr>
                <w:rFonts w:cs="Arial"/>
                <w:sz w:val="24"/>
              </w:rPr>
              <w:t>.</w:t>
            </w:r>
          </w:p>
          <w:p w14:paraId="05E43996" w14:textId="67126562" w:rsidR="00917859" w:rsidRPr="00150CD2" w:rsidRDefault="00917859" w:rsidP="00D143A9">
            <w:pPr>
              <w:pStyle w:val="EYTablebullet1"/>
              <w:spacing w:before="0" w:after="120"/>
              <w:rPr>
                <w:rFonts w:cs="Arial"/>
                <w:sz w:val="24"/>
              </w:rPr>
            </w:pPr>
            <w:r w:rsidRPr="00150CD2">
              <w:rPr>
                <w:rFonts w:cs="Arial"/>
                <w:sz w:val="24"/>
              </w:rPr>
              <w:t xml:space="preserve">20% of the MidCentral DSS </w:t>
            </w:r>
            <w:r w:rsidR="00CC54D7" w:rsidRPr="00150CD2">
              <w:rPr>
                <w:rFonts w:cs="Arial"/>
                <w:sz w:val="24"/>
              </w:rPr>
              <w:t>25</w:t>
            </w:r>
            <w:r w:rsidRPr="00150CD2">
              <w:rPr>
                <w:rFonts w:cs="Arial"/>
                <w:sz w:val="24"/>
              </w:rPr>
              <w:t xml:space="preserve">-64 year old population had </w:t>
            </w:r>
            <w:r w:rsidR="00B76728" w:rsidRPr="00150CD2">
              <w:rPr>
                <w:rFonts w:cs="Arial"/>
                <w:sz w:val="24"/>
              </w:rPr>
              <w:t xml:space="preserve">injury </w:t>
            </w:r>
            <w:r w:rsidRPr="00150CD2">
              <w:rPr>
                <w:rFonts w:cs="Arial"/>
                <w:sz w:val="24"/>
              </w:rPr>
              <w:t xml:space="preserve">related ED contacts and </w:t>
            </w:r>
            <w:r w:rsidR="00CC54D7" w:rsidRPr="00150CD2">
              <w:rPr>
                <w:rFonts w:cs="Arial"/>
                <w:sz w:val="24"/>
              </w:rPr>
              <w:t>9</w:t>
            </w:r>
            <w:r w:rsidRPr="00150CD2">
              <w:rPr>
                <w:rFonts w:cs="Arial"/>
                <w:sz w:val="24"/>
              </w:rPr>
              <w:t xml:space="preserve">% had injury related hospital admissions over a 3 year period. Rates were slightly higher for </w:t>
            </w:r>
            <w:r w:rsidR="00CC54D7" w:rsidRPr="00150CD2">
              <w:rPr>
                <w:rFonts w:cs="Arial"/>
                <w:sz w:val="24"/>
              </w:rPr>
              <w:t xml:space="preserve">women and </w:t>
            </w:r>
            <w:r w:rsidRPr="00150CD2">
              <w:rPr>
                <w:rFonts w:cs="Arial"/>
                <w:sz w:val="24"/>
              </w:rPr>
              <w:t>those with physical and other non-intellectual disabilities, and similar across SPA levels and Māori/non-Māori adults.</w:t>
            </w:r>
          </w:p>
          <w:p w14:paraId="63109600" w14:textId="24910C2C" w:rsidR="000B12E6" w:rsidRPr="00150CD2" w:rsidRDefault="00F45899" w:rsidP="00D143A9">
            <w:pPr>
              <w:pStyle w:val="EYTableText"/>
              <w:spacing w:before="0" w:after="120"/>
              <w:rPr>
                <w:rFonts w:cs="Arial"/>
                <w:sz w:val="24"/>
              </w:rPr>
            </w:pPr>
            <w:r w:rsidRPr="00150CD2">
              <w:rPr>
                <w:rFonts w:cs="Arial"/>
                <w:sz w:val="24"/>
              </w:rPr>
              <w:br/>
            </w:r>
            <w:r w:rsidR="00CC54D7" w:rsidRPr="00150CD2">
              <w:rPr>
                <w:rFonts w:cs="Arial"/>
                <w:sz w:val="24"/>
              </w:rPr>
              <w:t>6%</w:t>
            </w:r>
            <w:r w:rsidR="00375482" w:rsidRPr="00150CD2">
              <w:rPr>
                <w:rFonts w:cs="Arial"/>
                <w:sz w:val="24"/>
              </w:rPr>
              <w:t xml:space="preserve"> of MidCentral DSS </w:t>
            </w:r>
            <w:r w:rsidR="00CC54D7" w:rsidRPr="00150CD2">
              <w:rPr>
                <w:rFonts w:cs="Arial"/>
                <w:sz w:val="24"/>
              </w:rPr>
              <w:t>25</w:t>
            </w:r>
            <w:r w:rsidR="00375482" w:rsidRPr="00150CD2">
              <w:rPr>
                <w:rFonts w:cs="Arial"/>
                <w:sz w:val="24"/>
              </w:rPr>
              <w:t xml:space="preserve">-64 year olds had </w:t>
            </w:r>
            <w:r w:rsidR="00AA10DD" w:rsidRPr="00150CD2">
              <w:rPr>
                <w:rFonts w:cs="Arial"/>
                <w:sz w:val="24"/>
              </w:rPr>
              <w:t>one of eight major chronic conditions/significant health events identified by the Ministry</w:t>
            </w:r>
            <w:r w:rsidR="00375482" w:rsidRPr="00150CD2">
              <w:rPr>
                <w:rFonts w:cs="Arial"/>
                <w:sz w:val="24"/>
              </w:rPr>
              <w:t xml:space="preserve"> </w:t>
            </w:r>
            <w:r w:rsidR="00ED06D3" w:rsidRPr="00150CD2">
              <w:rPr>
                <w:rFonts w:cs="Arial"/>
                <w:sz w:val="24"/>
              </w:rPr>
              <w:t xml:space="preserve">in the IDI </w:t>
            </w:r>
            <w:r w:rsidR="00375482" w:rsidRPr="00150CD2">
              <w:rPr>
                <w:rFonts w:cs="Arial"/>
                <w:sz w:val="24"/>
              </w:rPr>
              <w:t>(</w:t>
            </w:r>
            <w:r w:rsidR="00AA10DD" w:rsidRPr="00150CD2">
              <w:rPr>
                <w:rFonts w:cs="Arial"/>
                <w:sz w:val="24"/>
              </w:rPr>
              <w:t>coronary heart disease, gout, chronic obstructive pulmonary disease, diabetes, cancer, stroke, traumatic brain injury and acute myocardial infarction</w:t>
            </w:r>
            <w:r w:rsidR="00375482" w:rsidRPr="00150CD2">
              <w:rPr>
                <w:rFonts w:cs="Arial"/>
                <w:sz w:val="24"/>
              </w:rPr>
              <w:t>)</w:t>
            </w:r>
            <w:r w:rsidR="00AA10DD" w:rsidRPr="00150CD2">
              <w:rPr>
                <w:rFonts w:cs="Arial"/>
                <w:sz w:val="24"/>
              </w:rPr>
              <w:t>.</w:t>
            </w:r>
            <w:r w:rsidR="00375482" w:rsidRPr="00150CD2">
              <w:rPr>
                <w:rFonts w:cs="Arial"/>
                <w:sz w:val="24"/>
              </w:rPr>
              <w:t xml:space="preserve"> This reflects chronic condition rates in the national DSS population, which are 2</w:t>
            </w:r>
            <w:r w:rsidR="00CA4326" w:rsidRPr="00150CD2">
              <w:rPr>
                <w:rFonts w:cs="Arial"/>
                <w:sz w:val="24"/>
              </w:rPr>
              <w:t xml:space="preserve"> times </w:t>
            </w:r>
            <w:r w:rsidR="00375482" w:rsidRPr="00150CD2">
              <w:rPr>
                <w:rFonts w:cs="Arial"/>
                <w:sz w:val="24"/>
              </w:rPr>
              <w:t>the rate of chronic conditions in the non-DSS adult population</w:t>
            </w:r>
            <w:r w:rsidR="006C0AE5" w:rsidRPr="00150CD2">
              <w:rPr>
                <w:rFonts w:cs="Arial"/>
                <w:sz w:val="24"/>
              </w:rPr>
              <w:t xml:space="preserve"> for ages 25-64</w:t>
            </w:r>
            <w:r w:rsidR="00375482" w:rsidRPr="00150CD2">
              <w:rPr>
                <w:rFonts w:cs="Arial"/>
                <w:sz w:val="24"/>
              </w:rPr>
              <w:t>.</w:t>
            </w:r>
          </w:p>
          <w:p w14:paraId="77FFD1D2" w14:textId="0AB2BA8A" w:rsidR="00594CD3" w:rsidRPr="00150CD2" w:rsidRDefault="00594CD3" w:rsidP="00D143A9">
            <w:pPr>
              <w:pStyle w:val="EYTablebullet1"/>
              <w:spacing w:before="0" w:after="120"/>
              <w:rPr>
                <w:rFonts w:cs="Arial"/>
                <w:sz w:val="24"/>
              </w:rPr>
            </w:pPr>
            <w:r w:rsidRPr="00150CD2">
              <w:rPr>
                <w:rFonts w:cs="Arial"/>
                <w:sz w:val="24"/>
              </w:rPr>
              <w:t>Within the MidCentral DSS group, people with physical and other non-intellectual disabilities experienced higher rates of chronic conditions (9% having one or more chronic conditions). Rates were broadly similar by gender, Māori/non-Māori and SPA level.</w:t>
            </w:r>
          </w:p>
        </w:tc>
      </w:tr>
      <w:tr w:rsidR="005F6775" w:rsidRPr="00150CD2" w14:paraId="3380C39C" w14:textId="77777777" w:rsidTr="00336432">
        <w:tc>
          <w:tcPr>
            <w:tcW w:w="1545" w:type="dxa"/>
            <w:tcBorders>
              <w:top w:val="nil"/>
              <w:bottom w:val="nil"/>
            </w:tcBorders>
          </w:tcPr>
          <w:p w14:paraId="16EAC3E3" w14:textId="77777777" w:rsidR="005F6775" w:rsidRPr="00150CD2" w:rsidRDefault="005F6775" w:rsidP="00D143A9">
            <w:pPr>
              <w:pStyle w:val="EYTableText"/>
              <w:spacing w:before="0" w:after="120"/>
              <w:rPr>
                <w:rFonts w:cs="Arial"/>
                <w:sz w:val="24"/>
              </w:rPr>
            </w:pPr>
          </w:p>
        </w:tc>
        <w:tc>
          <w:tcPr>
            <w:tcW w:w="2015" w:type="dxa"/>
          </w:tcPr>
          <w:p w14:paraId="47698E91" w14:textId="3E023771" w:rsidR="005F6775" w:rsidRPr="00150CD2" w:rsidRDefault="005F6775" w:rsidP="00D143A9">
            <w:pPr>
              <w:pStyle w:val="EYTableText"/>
              <w:spacing w:before="0" w:after="120"/>
              <w:rPr>
                <w:rFonts w:cs="Arial"/>
                <w:sz w:val="24"/>
              </w:rPr>
            </w:pPr>
            <w:r w:rsidRPr="00150CD2">
              <w:rPr>
                <w:rFonts w:cs="Arial"/>
                <w:sz w:val="24"/>
              </w:rPr>
              <w:t xml:space="preserve">Mental health </w:t>
            </w:r>
            <w:r w:rsidR="00ED06D3" w:rsidRPr="00150CD2">
              <w:rPr>
                <w:rFonts w:cs="Arial"/>
                <w:sz w:val="24"/>
              </w:rPr>
              <w:t xml:space="preserve">related service contact and </w:t>
            </w:r>
            <w:r w:rsidRPr="00150CD2">
              <w:rPr>
                <w:rFonts w:cs="Arial"/>
                <w:sz w:val="24"/>
              </w:rPr>
              <w:t>treatment</w:t>
            </w:r>
          </w:p>
        </w:tc>
        <w:tc>
          <w:tcPr>
            <w:tcW w:w="10384" w:type="dxa"/>
            <w:shd w:val="clear" w:color="auto" w:fill="auto"/>
          </w:tcPr>
          <w:p w14:paraId="44070F48" w14:textId="4843857B" w:rsidR="00ED06D3" w:rsidRPr="00150CD2" w:rsidRDefault="00ED06D3" w:rsidP="00D143A9">
            <w:pPr>
              <w:pStyle w:val="EYTablebullet1"/>
              <w:spacing w:before="0" w:after="120"/>
              <w:rPr>
                <w:rFonts w:cs="Arial"/>
                <w:sz w:val="24"/>
              </w:rPr>
            </w:pPr>
            <w:r w:rsidRPr="00150CD2">
              <w:rPr>
                <w:rFonts w:cs="Arial"/>
                <w:sz w:val="24"/>
              </w:rPr>
              <w:t xml:space="preserve">Around 1 in 5 (18%) of MidCentral DSS 25-64 year olds had contact with mental health services from community providers or hospitals over the three year period, similar </w:t>
            </w:r>
            <w:r w:rsidR="009E4F58" w:rsidRPr="00150CD2">
              <w:rPr>
                <w:rFonts w:cs="Arial"/>
                <w:sz w:val="24"/>
              </w:rPr>
              <w:t xml:space="preserve">rates </w:t>
            </w:r>
            <w:r w:rsidRPr="00150CD2">
              <w:rPr>
                <w:rFonts w:cs="Arial"/>
                <w:sz w:val="24"/>
              </w:rPr>
              <w:t>to that of other DSS adults outside MidCentral.</w:t>
            </w:r>
            <w:r w:rsidR="00203836" w:rsidRPr="00150CD2">
              <w:rPr>
                <w:rFonts w:cs="Arial"/>
                <w:sz w:val="24"/>
              </w:rPr>
              <w:t xml:space="preserve"> </w:t>
            </w:r>
            <w:r w:rsidR="00294CF8" w:rsidRPr="00150CD2">
              <w:rPr>
                <w:rFonts w:cs="Arial"/>
                <w:sz w:val="24"/>
              </w:rPr>
              <w:t>Contact rates were substantially higher than for the non-DSS MidCentral adult population, with 6% of adults aged 25-64 having mental health service provider contact over the same three year period.</w:t>
            </w:r>
            <w:r w:rsidR="00294CF8" w:rsidRPr="00150CD2" w:rsidDel="00294CF8">
              <w:rPr>
                <w:rFonts w:cs="Arial"/>
                <w:sz w:val="24"/>
              </w:rPr>
              <w:t xml:space="preserve"> </w:t>
            </w:r>
            <w:r w:rsidRPr="00150CD2">
              <w:rPr>
                <w:rFonts w:cs="Arial"/>
                <w:sz w:val="24"/>
              </w:rPr>
              <w:br/>
              <w:t xml:space="preserve">Note that this includes some </w:t>
            </w:r>
            <w:r w:rsidR="000E4BD7" w:rsidRPr="00150CD2">
              <w:rPr>
                <w:rFonts w:cs="Arial"/>
                <w:sz w:val="24"/>
              </w:rPr>
              <w:t>disability-specific health services</w:t>
            </w:r>
            <w:r w:rsidRPr="00150CD2">
              <w:rPr>
                <w:rFonts w:cs="Arial"/>
                <w:sz w:val="24"/>
              </w:rPr>
              <w:t xml:space="preserve"> as well as other mental health services, as the data does not explicitly identify which contacts </w:t>
            </w:r>
            <w:r w:rsidR="000E4BD7" w:rsidRPr="00150CD2">
              <w:rPr>
                <w:rFonts w:cs="Arial"/>
                <w:sz w:val="24"/>
              </w:rPr>
              <w:t>are specifically related to disability</w:t>
            </w:r>
            <w:r w:rsidRPr="00150CD2">
              <w:rPr>
                <w:rFonts w:cs="Arial"/>
                <w:sz w:val="24"/>
              </w:rPr>
              <w:t>. The exception is Intellectual Disability teams which has been excluded from the above figures.</w:t>
            </w:r>
          </w:p>
          <w:p w14:paraId="5DE20323" w14:textId="0E67DF67" w:rsidR="00ED06D3" w:rsidRPr="00150CD2" w:rsidRDefault="00ED06D3" w:rsidP="00D143A9">
            <w:pPr>
              <w:pStyle w:val="EYTablebullet1"/>
              <w:spacing w:before="0" w:after="120"/>
              <w:rPr>
                <w:rFonts w:cs="Arial"/>
                <w:sz w:val="24"/>
              </w:rPr>
            </w:pPr>
            <w:r w:rsidRPr="00150CD2">
              <w:rPr>
                <w:rFonts w:cs="Arial"/>
                <w:sz w:val="24"/>
              </w:rPr>
              <w:t xml:space="preserve">Within this group, service contact rates were higher for Māori (24% compared with 17% for non-Māori) and for those with high/very high SPA levels (20% </w:t>
            </w:r>
            <w:r w:rsidR="00CA4326" w:rsidRPr="00150CD2">
              <w:rPr>
                <w:rFonts w:cs="Arial"/>
                <w:sz w:val="24"/>
              </w:rPr>
              <w:t>compared with</w:t>
            </w:r>
            <w:r w:rsidRPr="00150CD2">
              <w:rPr>
                <w:rFonts w:cs="Arial"/>
                <w:sz w:val="24"/>
              </w:rPr>
              <w:t xml:space="preserve"> 15% for low/medium SPA levels). Contact rates by gender and disability type were similar.</w:t>
            </w:r>
          </w:p>
          <w:p w14:paraId="3F0EBD4B" w14:textId="00D6BC8F" w:rsidR="005F6775" w:rsidRPr="00150CD2" w:rsidRDefault="00ED06D3" w:rsidP="00975542">
            <w:pPr>
              <w:pStyle w:val="EYTablebullet1"/>
              <w:spacing w:before="0" w:after="120"/>
              <w:rPr>
                <w:rFonts w:cs="Arial"/>
                <w:i/>
                <w:sz w:val="24"/>
              </w:rPr>
            </w:pPr>
            <w:r w:rsidRPr="00150CD2">
              <w:rPr>
                <w:rFonts w:cs="Arial"/>
                <w:sz w:val="24"/>
              </w:rPr>
              <w:t xml:space="preserve">Around half of MidCentral DSS adults with </w:t>
            </w:r>
            <w:r w:rsidR="00DF5F17" w:rsidRPr="00150CD2">
              <w:rPr>
                <w:rFonts w:cs="Arial"/>
                <w:sz w:val="24"/>
              </w:rPr>
              <w:t>high/very high SPA</w:t>
            </w:r>
            <w:r w:rsidRPr="00150CD2">
              <w:rPr>
                <w:rFonts w:cs="Arial"/>
                <w:sz w:val="24"/>
              </w:rPr>
              <w:t xml:space="preserve"> levels had health related pharmaceutical treatment over the period, a higher rate than for those with low/medium SPA levels (39%).</w:t>
            </w:r>
          </w:p>
        </w:tc>
      </w:tr>
      <w:tr w:rsidR="00975542" w:rsidRPr="00150CD2" w14:paraId="7063E09E" w14:textId="77777777" w:rsidTr="00336432">
        <w:tc>
          <w:tcPr>
            <w:tcW w:w="1545" w:type="dxa"/>
            <w:tcBorders>
              <w:top w:val="nil"/>
              <w:bottom w:val="nil"/>
            </w:tcBorders>
          </w:tcPr>
          <w:p w14:paraId="2F94738F" w14:textId="77777777" w:rsidR="00975542" w:rsidRPr="00150CD2" w:rsidRDefault="00975542" w:rsidP="00D143A9">
            <w:pPr>
              <w:pStyle w:val="EYTableText"/>
              <w:spacing w:before="0" w:after="120"/>
              <w:rPr>
                <w:rFonts w:cs="Arial"/>
                <w:sz w:val="24"/>
              </w:rPr>
            </w:pPr>
          </w:p>
        </w:tc>
        <w:tc>
          <w:tcPr>
            <w:tcW w:w="2015" w:type="dxa"/>
          </w:tcPr>
          <w:p w14:paraId="6D220066" w14:textId="66BAFC72" w:rsidR="00975542" w:rsidRPr="00150CD2" w:rsidRDefault="00975542" w:rsidP="00D143A9">
            <w:pPr>
              <w:pStyle w:val="EYTableText"/>
              <w:spacing w:before="0" w:after="120"/>
              <w:rPr>
                <w:rFonts w:cs="Arial"/>
                <w:sz w:val="24"/>
              </w:rPr>
            </w:pPr>
            <w:r w:rsidRPr="00150CD2">
              <w:rPr>
                <w:rFonts w:cs="Arial"/>
                <w:sz w:val="24"/>
              </w:rPr>
              <w:t>Pharmaceuticals</w:t>
            </w:r>
          </w:p>
        </w:tc>
        <w:tc>
          <w:tcPr>
            <w:tcW w:w="10384" w:type="dxa"/>
            <w:shd w:val="clear" w:color="auto" w:fill="auto"/>
          </w:tcPr>
          <w:p w14:paraId="4C7645E3" w14:textId="53AE2B32" w:rsidR="00975542" w:rsidRPr="00150CD2" w:rsidRDefault="00975542" w:rsidP="00D143A9">
            <w:pPr>
              <w:pStyle w:val="EYTablebullet1"/>
              <w:spacing w:before="0" w:after="120"/>
              <w:rPr>
                <w:rFonts w:cs="Arial"/>
                <w:sz w:val="24"/>
              </w:rPr>
            </w:pPr>
            <w:r w:rsidRPr="00150CD2">
              <w:rPr>
                <w:rFonts w:cs="Arial"/>
                <w:sz w:val="24"/>
              </w:rPr>
              <w:t xml:space="preserve">MidCentral DSS adults received treatment from a wider range of pharmaceutical types than other MidCentral adults, with an average of 9.6 pharmaceutical products </w:t>
            </w:r>
            <w:r w:rsidR="00B3056C" w:rsidRPr="00150CD2">
              <w:rPr>
                <w:rFonts w:cs="Arial"/>
                <w:sz w:val="24"/>
              </w:rPr>
              <w:t>dispensed</w:t>
            </w:r>
            <w:r w:rsidRPr="00150CD2">
              <w:rPr>
                <w:rFonts w:cs="Arial"/>
                <w:sz w:val="24"/>
              </w:rPr>
              <w:t xml:space="preserve"> compared with 4.1 for non-DSS adults over the year to 30 June 2017. Older adults (aged 45-64) and those with high/very high SPA levels are more likely to have had multiple pharmaceutical types.</w:t>
            </w:r>
          </w:p>
        </w:tc>
      </w:tr>
      <w:tr w:rsidR="000B12E6" w:rsidRPr="00150CD2" w14:paraId="266FE37C" w14:textId="77777777" w:rsidTr="00336432">
        <w:tc>
          <w:tcPr>
            <w:tcW w:w="1545" w:type="dxa"/>
            <w:tcBorders>
              <w:top w:val="nil"/>
              <w:bottom w:val="nil"/>
            </w:tcBorders>
          </w:tcPr>
          <w:p w14:paraId="3F21ED5D" w14:textId="77777777" w:rsidR="000B12E6" w:rsidRPr="00150CD2" w:rsidRDefault="000B12E6" w:rsidP="00D143A9">
            <w:pPr>
              <w:pStyle w:val="EYTableText"/>
              <w:spacing w:before="0" w:after="120"/>
              <w:rPr>
                <w:rFonts w:cs="Arial"/>
                <w:sz w:val="24"/>
              </w:rPr>
            </w:pPr>
          </w:p>
        </w:tc>
        <w:tc>
          <w:tcPr>
            <w:tcW w:w="2015" w:type="dxa"/>
          </w:tcPr>
          <w:p w14:paraId="139BE1F4" w14:textId="1C41E8F9" w:rsidR="000B12E6" w:rsidRPr="00150CD2" w:rsidRDefault="000B12E6" w:rsidP="00D143A9">
            <w:pPr>
              <w:pStyle w:val="EYTableText"/>
              <w:spacing w:before="0" w:after="120"/>
              <w:rPr>
                <w:rFonts w:cs="Arial"/>
                <w:sz w:val="24"/>
              </w:rPr>
            </w:pPr>
            <w:r w:rsidRPr="00150CD2">
              <w:rPr>
                <w:rFonts w:cs="Arial"/>
                <w:sz w:val="24"/>
              </w:rPr>
              <w:t>Family and relationships</w:t>
            </w:r>
          </w:p>
        </w:tc>
        <w:tc>
          <w:tcPr>
            <w:tcW w:w="10384" w:type="dxa"/>
            <w:shd w:val="clear" w:color="auto" w:fill="auto"/>
          </w:tcPr>
          <w:p w14:paraId="19929F08" w14:textId="2E1999CF" w:rsidR="00102DEB" w:rsidRPr="00150CD2" w:rsidRDefault="00102DEB" w:rsidP="00D143A9">
            <w:pPr>
              <w:pStyle w:val="EYTableText"/>
              <w:spacing w:before="0" w:after="120"/>
              <w:rPr>
                <w:rFonts w:cs="Arial"/>
                <w:i/>
                <w:sz w:val="24"/>
              </w:rPr>
            </w:pPr>
            <w:r w:rsidRPr="00150CD2">
              <w:rPr>
                <w:rFonts w:cs="Arial"/>
                <w:i/>
                <w:sz w:val="24"/>
              </w:rPr>
              <w:t>The following observations should be treated as estimates and care taken in interpretation, as there are known limitations around the coverage of relationship records in administrative datasets</w:t>
            </w:r>
            <w:r w:rsidR="007318B6" w:rsidRPr="00150CD2">
              <w:rPr>
                <w:rFonts w:cs="Arial"/>
                <w:i/>
                <w:sz w:val="24"/>
              </w:rPr>
              <w:t xml:space="preserve">, particularly for older adults and historic life events. </w:t>
            </w:r>
            <w:r w:rsidRPr="00150CD2">
              <w:rPr>
                <w:rFonts w:cs="Arial"/>
                <w:i/>
                <w:sz w:val="24"/>
              </w:rPr>
              <w:t xml:space="preserve">Informal and unreported relationships are not reflected in these </w:t>
            </w:r>
            <w:r w:rsidR="007318B6" w:rsidRPr="00150CD2">
              <w:rPr>
                <w:rFonts w:cs="Arial"/>
                <w:i/>
                <w:sz w:val="24"/>
              </w:rPr>
              <w:t>estimates</w:t>
            </w:r>
            <w:r w:rsidRPr="00150CD2">
              <w:rPr>
                <w:rFonts w:cs="Arial"/>
                <w:i/>
                <w:sz w:val="24"/>
              </w:rPr>
              <w:t xml:space="preserve">. </w:t>
            </w:r>
            <w:r w:rsidR="00DB314F" w:rsidRPr="00150CD2">
              <w:rPr>
                <w:rFonts w:cs="Arial"/>
                <w:i/>
                <w:iCs/>
                <w:sz w:val="24"/>
              </w:rPr>
              <w:t xml:space="preserve">Refer to </w:t>
            </w:r>
            <w:r w:rsidR="00DB314F" w:rsidRPr="00150CD2">
              <w:rPr>
                <w:rFonts w:cs="Arial"/>
                <w:i/>
                <w:iCs/>
                <w:sz w:val="24"/>
              </w:rPr>
              <w:fldChar w:fldCharType="begin"/>
            </w:r>
            <w:r w:rsidR="00DB314F" w:rsidRPr="00150CD2">
              <w:rPr>
                <w:rFonts w:cs="Arial"/>
                <w:i/>
                <w:iCs/>
                <w:sz w:val="24"/>
              </w:rPr>
              <w:instrText xml:space="preserve"> REF _Ref44353599 \r \h  \* MERGEFORMAT </w:instrText>
            </w:r>
            <w:r w:rsidR="00DB314F" w:rsidRPr="00150CD2">
              <w:rPr>
                <w:rFonts w:cs="Arial"/>
                <w:i/>
                <w:iCs/>
                <w:sz w:val="24"/>
              </w:rPr>
            </w:r>
            <w:r w:rsidR="00DB314F" w:rsidRPr="00150CD2">
              <w:rPr>
                <w:rFonts w:cs="Arial"/>
                <w:i/>
                <w:iCs/>
                <w:sz w:val="24"/>
              </w:rPr>
              <w:fldChar w:fldCharType="separate"/>
            </w:r>
            <w:r w:rsidR="00053D9A" w:rsidRPr="00150CD2">
              <w:rPr>
                <w:rFonts w:cs="Arial"/>
                <w:i/>
                <w:iCs/>
                <w:sz w:val="24"/>
              </w:rPr>
              <w:t>Appendix D</w:t>
            </w:r>
            <w:r w:rsidR="00DB314F" w:rsidRPr="00150CD2">
              <w:rPr>
                <w:rFonts w:cs="Arial"/>
                <w:i/>
                <w:iCs/>
                <w:sz w:val="24"/>
              </w:rPr>
              <w:fldChar w:fldCharType="end"/>
            </w:r>
            <w:r w:rsidR="00DB314F" w:rsidRPr="00150CD2">
              <w:rPr>
                <w:rFonts w:cs="Arial"/>
                <w:i/>
                <w:iCs/>
                <w:sz w:val="24"/>
              </w:rPr>
              <w:t xml:space="preserve"> for further information.</w:t>
            </w:r>
          </w:p>
          <w:p w14:paraId="15B7906A" w14:textId="2F601E45" w:rsidR="0019705A" w:rsidRPr="00150CD2" w:rsidRDefault="00F45899" w:rsidP="00D143A9">
            <w:pPr>
              <w:pStyle w:val="EYTableText"/>
              <w:spacing w:before="0" w:after="120"/>
              <w:rPr>
                <w:rFonts w:cs="Arial"/>
                <w:sz w:val="24"/>
              </w:rPr>
            </w:pPr>
            <w:r w:rsidRPr="00150CD2">
              <w:rPr>
                <w:rFonts w:cs="Arial"/>
                <w:i/>
                <w:sz w:val="24"/>
              </w:rPr>
              <w:br/>
            </w:r>
            <w:r w:rsidR="0019705A" w:rsidRPr="00150CD2">
              <w:rPr>
                <w:rFonts w:cs="Arial"/>
                <w:sz w:val="24"/>
              </w:rPr>
              <w:t>For the MidCentral DSS adult population</w:t>
            </w:r>
            <w:r w:rsidR="00594CD3" w:rsidRPr="00150CD2">
              <w:rPr>
                <w:rFonts w:cs="Arial"/>
                <w:sz w:val="24"/>
              </w:rPr>
              <w:t>, reported partnerships and child profiles were similar to the national DSS population:</w:t>
            </w:r>
          </w:p>
          <w:p w14:paraId="26BC2E35" w14:textId="4C4AB7A3" w:rsidR="009D2BFF" w:rsidRPr="00150CD2" w:rsidRDefault="00594CD3" w:rsidP="00D143A9">
            <w:pPr>
              <w:pStyle w:val="EYTablebullet1"/>
              <w:spacing w:before="0" w:after="120"/>
              <w:rPr>
                <w:rFonts w:cs="Arial"/>
                <w:sz w:val="24"/>
              </w:rPr>
            </w:pPr>
            <w:r w:rsidRPr="00150CD2">
              <w:rPr>
                <w:rFonts w:cs="Arial"/>
                <w:sz w:val="24"/>
              </w:rPr>
              <w:t>8</w:t>
            </w:r>
            <w:r w:rsidR="009D2BFF" w:rsidRPr="00150CD2">
              <w:rPr>
                <w:rFonts w:cs="Arial"/>
                <w:sz w:val="24"/>
              </w:rPr>
              <w:t xml:space="preserve">% of </w:t>
            </w:r>
            <w:r w:rsidR="00102DEB" w:rsidRPr="00150CD2">
              <w:rPr>
                <w:rFonts w:cs="Arial"/>
                <w:sz w:val="24"/>
              </w:rPr>
              <w:t xml:space="preserve">adults aged </w:t>
            </w:r>
            <w:r w:rsidRPr="00150CD2">
              <w:rPr>
                <w:rFonts w:cs="Arial"/>
                <w:sz w:val="24"/>
              </w:rPr>
              <w:t>25</w:t>
            </w:r>
            <w:r w:rsidR="00102DEB" w:rsidRPr="00150CD2">
              <w:rPr>
                <w:rFonts w:cs="Arial"/>
                <w:sz w:val="24"/>
              </w:rPr>
              <w:t>-</w:t>
            </w:r>
            <w:r w:rsidRPr="00150CD2">
              <w:rPr>
                <w:rFonts w:cs="Arial"/>
                <w:sz w:val="24"/>
              </w:rPr>
              <w:t xml:space="preserve">44 </w:t>
            </w:r>
            <w:r w:rsidR="009D2BFF" w:rsidRPr="00150CD2">
              <w:rPr>
                <w:rFonts w:cs="Arial"/>
                <w:sz w:val="24"/>
              </w:rPr>
              <w:t xml:space="preserve">and </w:t>
            </w:r>
            <w:r w:rsidRPr="00150CD2">
              <w:rPr>
                <w:rFonts w:cs="Arial"/>
                <w:sz w:val="24"/>
              </w:rPr>
              <w:t>15</w:t>
            </w:r>
            <w:r w:rsidR="009D2BFF" w:rsidRPr="00150CD2">
              <w:rPr>
                <w:rFonts w:cs="Arial"/>
                <w:sz w:val="24"/>
              </w:rPr>
              <w:t xml:space="preserve">% of </w:t>
            </w:r>
            <w:r w:rsidR="00102DEB" w:rsidRPr="00150CD2">
              <w:rPr>
                <w:rFonts w:cs="Arial"/>
                <w:sz w:val="24"/>
              </w:rPr>
              <w:t xml:space="preserve">adults aged </w:t>
            </w:r>
            <w:r w:rsidRPr="00150CD2">
              <w:rPr>
                <w:rFonts w:cs="Arial"/>
                <w:sz w:val="24"/>
              </w:rPr>
              <w:t>45</w:t>
            </w:r>
            <w:r w:rsidR="00102DEB" w:rsidRPr="00150CD2">
              <w:rPr>
                <w:rFonts w:cs="Arial"/>
                <w:sz w:val="24"/>
              </w:rPr>
              <w:t xml:space="preserve">-64 </w:t>
            </w:r>
            <w:r w:rsidR="009D2BFF" w:rsidRPr="00150CD2">
              <w:rPr>
                <w:rFonts w:cs="Arial"/>
                <w:sz w:val="24"/>
              </w:rPr>
              <w:t xml:space="preserve">reported being in a </w:t>
            </w:r>
            <w:r w:rsidR="00E12049" w:rsidRPr="00150CD2">
              <w:rPr>
                <w:rFonts w:cs="Arial"/>
                <w:sz w:val="24"/>
              </w:rPr>
              <w:t xml:space="preserve">formal relationship over the three year period. “Formal relationships” include marriages and civil unions as well as de facto relationships reported to MSD </w:t>
            </w:r>
            <w:r w:rsidR="009D2BFF" w:rsidRPr="00150CD2">
              <w:rPr>
                <w:rFonts w:cs="Arial"/>
                <w:sz w:val="24"/>
              </w:rPr>
              <w:t>(as part of benefit receipt).</w:t>
            </w:r>
          </w:p>
          <w:p w14:paraId="24B66D84" w14:textId="2532CFD5" w:rsidR="007318B6" w:rsidRPr="00150CD2" w:rsidRDefault="00594CD3" w:rsidP="00D143A9">
            <w:pPr>
              <w:pStyle w:val="EYTablebullet1"/>
              <w:spacing w:before="0" w:after="120"/>
              <w:rPr>
                <w:rFonts w:cs="Arial"/>
                <w:sz w:val="24"/>
              </w:rPr>
            </w:pPr>
            <w:r w:rsidRPr="00150CD2">
              <w:rPr>
                <w:rFonts w:cs="Arial"/>
                <w:sz w:val="24"/>
              </w:rPr>
              <w:t>16</w:t>
            </w:r>
            <w:r w:rsidR="007318B6" w:rsidRPr="00150CD2">
              <w:rPr>
                <w:rFonts w:cs="Arial"/>
                <w:sz w:val="24"/>
              </w:rPr>
              <w:t xml:space="preserve">% of adults aged </w:t>
            </w:r>
            <w:r w:rsidRPr="00150CD2">
              <w:rPr>
                <w:rFonts w:cs="Arial"/>
                <w:sz w:val="24"/>
              </w:rPr>
              <w:t>25</w:t>
            </w:r>
            <w:r w:rsidR="007318B6" w:rsidRPr="00150CD2">
              <w:rPr>
                <w:rFonts w:cs="Arial"/>
                <w:sz w:val="24"/>
              </w:rPr>
              <w:t>-</w:t>
            </w:r>
            <w:r w:rsidRPr="00150CD2">
              <w:rPr>
                <w:rFonts w:cs="Arial"/>
                <w:sz w:val="24"/>
              </w:rPr>
              <w:t xml:space="preserve">44 </w:t>
            </w:r>
            <w:r w:rsidR="007318B6" w:rsidRPr="00150CD2">
              <w:rPr>
                <w:rFonts w:cs="Arial"/>
                <w:sz w:val="24"/>
              </w:rPr>
              <w:t xml:space="preserve">and </w:t>
            </w:r>
            <w:r w:rsidRPr="00150CD2">
              <w:rPr>
                <w:rFonts w:cs="Arial"/>
                <w:sz w:val="24"/>
              </w:rPr>
              <w:t>30</w:t>
            </w:r>
            <w:r w:rsidR="007318B6" w:rsidRPr="00150CD2">
              <w:rPr>
                <w:rFonts w:cs="Arial"/>
                <w:sz w:val="24"/>
              </w:rPr>
              <w:t xml:space="preserve">% of adults aged </w:t>
            </w:r>
            <w:r w:rsidRPr="00150CD2">
              <w:rPr>
                <w:rFonts w:cs="Arial"/>
                <w:sz w:val="24"/>
              </w:rPr>
              <w:t>45</w:t>
            </w:r>
            <w:r w:rsidR="007318B6" w:rsidRPr="00150CD2">
              <w:rPr>
                <w:rFonts w:cs="Arial"/>
                <w:sz w:val="24"/>
              </w:rPr>
              <w:t xml:space="preserve">-64 reported ever having </w:t>
            </w:r>
            <w:r w:rsidR="008A5CE9" w:rsidRPr="00150CD2">
              <w:rPr>
                <w:rFonts w:cs="Arial"/>
                <w:sz w:val="24"/>
              </w:rPr>
              <w:t>been</w:t>
            </w:r>
            <w:r w:rsidR="007318B6" w:rsidRPr="00150CD2">
              <w:rPr>
                <w:rFonts w:cs="Arial"/>
                <w:sz w:val="24"/>
              </w:rPr>
              <w:t xml:space="preserve"> in a </w:t>
            </w:r>
            <w:r w:rsidR="00E12049" w:rsidRPr="00150CD2">
              <w:rPr>
                <w:rFonts w:cs="Arial"/>
                <w:sz w:val="24"/>
              </w:rPr>
              <w:t>formal relationship</w:t>
            </w:r>
            <w:r w:rsidR="007318B6" w:rsidRPr="00150CD2">
              <w:rPr>
                <w:rFonts w:cs="Arial"/>
                <w:sz w:val="24"/>
              </w:rPr>
              <w:t xml:space="preserve">. </w:t>
            </w:r>
          </w:p>
          <w:p w14:paraId="156F3D3D" w14:textId="108D3DE4" w:rsidR="007318B6" w:rsidRPr="00150CD2" w:rsidRDefault="00594CD3" w:rsidP="00D143A9">
            <w:pPr>
              <w:pStyle w:val="EYTablebullet1"/>
              <w:spacing w:before="0" w:after="120"/>
              <w:rPr>
                <w:rFonts w:cs="Arial"/>
                <w:sz w:val="24"/>
              </w:rPr>
            </w:pPr>
            <w:r w:rsidRPr="00150CD2">
              <w:rPr>
                <w:rFonts w:cs="Arial"/>
                <w:sz w:val="24"/>
              </w:rPr>
              <w:t>11</w:t>
            </w:r>
            <w:r w:rsidR="007318B6" w:rsidRPr="00150CD2">
              <w:rPr>
                <w:rFonts w:cs="Arial"/>
                <w:sz w:val="24"/>
              </w:rPr>
              <w:t xml:space="preserve">% of </w:t>
            </w:r>
            <w:r w:rsidRPr="00150CD2">
              <w:rPr>
                <w:rFonts w:cs="Arial"/>
                <w:sz w:val="24"/>
              </w:rPr>
              <w:t>25</w:t>
            </w:r>
            <w:r w:rsidR="007318B6" w:rsidRPr="00150CD2">
              <w:rPr>
                <w:rFonts w:cs="Arial"/>
                <w:sz w:val="24"/>
              </w:rPr>
              <w:t>-</w:t>
            </w:r>
            <w:r w:rsidRPr="00150CD2">
              <w:rPr>
                <w:rFonts w:cs="Arial"/>
                <w:sz w:val="24"/>
              </w:rPr>
              <w:t xml:space="preserve">44 </w:t>
            </w:r>
            <w:r w:rsidR="007318B6" w:rsidRPr="00150CD2">
              <w:rPr>
                <w:rFonts w:cs="Arial"/>
                <w:sz w:val="24"/>
              </w:rPr>
              <w:t xml:space="preserve">year olds and </w:t>
            </w:r>
            <w:r w:rsidRPr="00150CD2">
              <w:rPr>
                <w:rFonts w:cs="Arial"/>
                <w:sz w:val="24"/>
              </w:rPr>
              <w:t>28</w:t>
            </w:r>
            <w:r w:rsidR="007318B6" w:rsidRPr="00150CD2">
              <w:rPr>
                <w:rFonts w:cs="Arial"/>
                <w:sz w:val="24"/>
              </w:rPr>
              <w:t xml:space="preserve">% of </w:t>
            </w:r>
            <w:r w:rsidRPr="00150CD2">
              <w:rPr>
                <w:rFonts w:cs="Arial"/>
                <w:sz w:val="24"/>
              </w:rPr>
              <w:t>44</w:t>
            </w:r>
            <w:r w:rsidR="007318B6" w:rsidRPr="00150CD2">
              <w:rPr>
                <w:rFonts w:cs="Arial"/>
                <w:sz w:val="24"/>
              </w:rPr>
              <w:t>-65 year olds had birth children.</w:t>
            </w:r>
          </w:p>
          <w:p w14:paraId="5E3806F6" w14:textId="149C3588" w:rsidR="00E96050" w:rsidRPr="00150CD2" w:rsidRDefault="00F45899" w:rsidP="00D143A9">
            <w:pPr>
              <w:pStyle w:val="EYTableText"/>
              <w:spacing w:before="0" w:after="120"/>
              <w:rPr>
                <w:rFonts w:cs="Arial"/>
                <w:sz w:val="24"/>
              </w:rPr>
            </w:pPr>
            <w:r w:rsidRPr="00150CD2">
              <w:rPr>
                <w:rFonts w:cs="Arial"/>
                <w:sz w:val="24"/>
              </w:rPr>
              <w:br/>
            </w:r>
            <w:r w:rsidR="00102DEB" w:rsidRPr="00150CD2">
              <w:rPr>
                <w:rFonts w:cs="Arial"/>
                <w:sz w:val="24"/>
              </w:rPr>
              <w:t xml:space="preserve">For the broader MidCentral adult population, </w:t>
            </w:r>
            <w:r w:rsidR="00594CD3" w:rsidRPr="00150CD2">
              <w:rPr>
                <w:rFonts w:cs="Arial"/>
                <w:sz w:val="24"/>
              </w:rPr>
              <w:t>52</w:t>
            </w:r>
            <w:r w:rsidR="00102DEB" w:rsidRPr="00150CD2">
              <w:rPr>
                <w:rFonts w:cs="Arial"/>
                <w:sz w:val="24"/>
              </w:rPr>
              <w:t xml:space="preserve">% </w:t>
            </w:r>
            <w:r w:rsidR="00294CF8" w:rsidRPr="00150CD2">
              <w:rPr>
                <w:rFonts w:cs="Arial"/>
                <w:sz w:val="24"/>
              </w:rPr>
              <w:t xml:space="preserve">of 25-44 year olds and 52% of 45-64 year olds </w:t>
            </w:r>
            <w:r w:rsidR="00102DEB" w:rsidRPr="00150CD2">
              <w:rPr>
                <w:rFonts w:cs="Arial"/>
                <w:sz w:val="24"/>
              </w:rPr>
              <w:t>reported being in a formal partnership over the 3 year period</w:t>
            </w:r>
            <w:r w:rsidR="00294CF8" w:rsidRPr="00150CD2">
              <w:rPr>
                <w:rFonts w:cs="Arial"/>
                <w:sz w:val="24"/>
              </w:rPr>
              <w:t>,</w:t>
            </w:r>
            <w:r w:rsidR="00102DEB" w:rsidRPr="00150CD2">
              <w:rPr>
                <w:rFonts w:cs="Arial"/>
                <w:sz w:val="24"/>
              </w:rPr>
              <w:t xml:space="preserve"> </w:t>
            </w:r>
            <w:r w:rsidR="00294CF8" w:rsidRPr="00150CD2">
              <w:rPr>
                <w:rFonts w:cs="Arial"/>
                <w:sz w:val="24"/>
              </w:rPr>
              <w:t xml:space="preserve">while 72% of 25-44 year olds and </w:t>
            </w:r>
            <w:r w:rsidR="00594CD3" w:rsidRPr="00150CD2">
              <w:rPr>
                <w:rFonts w:cs="Arial"/>
                <w:sz w:val="24"/>
              </w:rPr>
              <w:t>7</w:t>
            </w:r>
            <w:r w:rsidR="00294CF8" w:rsidRPr="00150CD2">
              <w:rPr>
                <w:rFonts w:cs="Arial"/>
                <w:sz w:val="24"/>
              </w:rPr>
              <w:t>8</w:t>
            </w:r>
            <w:r w:rsidR="00102DEB" w:rsidRPr="00150CD2">
              <w:rPr>
                <w:rFonts w:cs="Arial"/>
                <w:sz w:val="24"/>
              </w:rPr>
              <w:t xml:space="preserve">% </w:t>
            </w:r>
            <w:r w:rsidR="00294CF8" w:rsidRPr="00150CD2">
              <w:rPr>
                <w:rFonts w:cs="Arial"/>
                <w:sz w:val="24"/>
              </w:rPr>
              <w:t xml:space="preserve">of 45-64 year olds </w:t>
            </w:r>
            <w:r w:rsidR="00102DEB" w:rsidRPr="00150CD2">
              <w:rPr>
                <w:rFonts w:cs="Arial"/>
                <w:sz w:val="24"/>
              </w:rPr>
              <w:t xml:space="preserve">reported </w:t>
            </w:r>
            <w:r w:rsidR="00294CF8" w:rsidRPr="00150CD2">
              <w:rPr>
                <w:rFonts w:cs="Arial"/>
                <w:sz w:val="24"/>
              </w:rPr>
              <w:t xml:space="preserve">formal </w:t>
            </w:r>
            <w:r w:rsidR="007318B6" w:rsidRPr="00150CD2">
              <w:rPr>
                <w:rFonts w:cs="Arial"/>
                <w:sz w:val="24"/>
              </w:rPr>
              <w:t xml:space="preserve">partnerships at some point over their lifetime. 71% </w:t>
            </w:r>
            <w:r w:rsidR="00294CF8" w:rsidRPr="00150CD2">
              <w:rPr>
                <w:rFonts w:cs="Arial"/>
                <w:sz w:val="24"/>
              </w:rPr>
              <w:t xml:space="preserve">of 25-44 year olds and 70% of 45-64 year olds </w:t>
            </w:r>
            <w:r w:rsidR="007318B6" w:rsidRPr="00150CD2">
              <w:rPr>
                <w:rFonts w:cs="Arial"/>
                <w:sz w:val="24"/>
              </w:rPr>
              <w:t>had birth children.</w:t>
            </w:r>
          </w:p>
        </w:tc>
      </w:tr>
      <w:tr w:rsidR="005F6775" w:rsidRPr="00150CD2" w14:paraId="2C444D26" w14:textId="77777777" w:rsidTr="00336432">
        <w:tc>
          <w:tcPr>
            <w:tcW w:w="1545" w:type="dxa"/>
            <w:tcBorders>
              <w:top w:val="nil"/>
              <w:bottom w:val="nil"/>
            </w:tcBorders>
          </w:tcPr>
          <w:p w14:paraId="3BB4F1A7" w14:textId="77777777" w:rsidR="005F6775" w:rsidRPr="00150CD2" w:rsidRDefault="005F6775" w:rsidP="00D143A9">
            <w:pPr>
              <w:pStyle w:val="EYTableText"/>
              <w:spacing w:before="0" w:after="120"/>
              <w:rPr>
                <w:rFonts w:cs="Arial"/>
                <w:sz w:val="24"/>
              </w:rPr>
            </w:pPr>
          </w:p>
        </w:tc>
        <w:tc>
          <w:tcPr>
            <w:tcW w:w="2015" w:type="dxa"/>
          </w:tcPr>
          <w:p w14:paraId="27A77899" w14:textId="0E111953" w:rsidR="005F6775" w:rsidRPr="00150CD2" w:rsidRDefault="006D5761" w:rsidP="00D143A9">
            <w:pPr>
              <w:pStyle w:val="EYTableText"/>
              <w:spacing w:before="0" w:after="120"/>
              <w:rPr>
                <w:rFonts w:cs="Arial"/>
                <w:sz w:val="24"/>
                <w:highlight w:val="yellow"/>
              </w:rPr>
            </w:pPr>
            <w:r w:rsidRPr="00150CD2">
              <w:rPr>
                <w:rFonts w:cs="Arial"/>
                <w:sz w:val="24"/>
              </w:rPr>
              <w:t>R</w:t>
            </w:r>
            <w:r w:rsidR="005F6775" w:rsidRPr="00150CD2">
              <w:rPr>
                <w:rFonts w:cs="Arial"/>
                <w:sz w:val="24"/>
              </w:rPr>
              <w:t xml:space="preserve">esidential </w:t>
            </w:r>
            <w:r w:rsidR="00294518" w:rsidRPr="00150CD2">
              <w:rPr>
                <w:rFonts w:cs="Arial"/>
                <w:sz w:val="24"/>
              </w:rPr>
              <w:t>services</w:t>
            </w:r>
          </w:p>
        </w:tc>
        <w:tc>
          <w:tcPr>
            <w:tcW w:w="10384" w:type="dxa"/>
            <w:shd w:val="clear" w:color="auto" w:fill="auto"/>
          </w:tcPr>
          <w:p w14:paraId="12D5B9C4" w14:textId="6AE9C0C8" w:rsidR="005F6775" w:rsidRPr="00150CD2" w:rsidRDefault="00956907" w:rsidP="00D143A9">
            <w:pPr>
              <w:pStyle w:val="EYTablebullet1"/>
              <w:spacing w:before="0" w:after="120"/>
              <w:rPr>
                <w:rFonts w:cs="Arial"/>
                <w:sz w:val="24"/>
              </w:rPr>
            </w:pPr>
            <w:r w:rsidRPr="00150CD2">
              <w:rPr>
                <w:rFonts w:cs="Arial"/>
                <w:sz w:val="24"/>
              </w:rPr>
              <w:t>34</w:t>
            </w:r>
            <w:r w:rsidR="0014045C" w:rsidRPr="00150CD2">
              <w:rPr>
                <w:rFonts w:cs="Arial"/>
                <w:sz w:val="24"/>
              </w:rPr>
              <w:t xml:space="preserve">% of </w:t>
            </w:r>
            <w:r w:rsidRPr="00150CD2">
              <w:rPr>
                <w:rFonts w:cs="Arial"/>
                <w:sz w:val="24"/>
              </w:rPr>
              <w:t>25</w:t>
            </w:r>
            <w:r w:rsidR="0014045C" w:rsidRPr="00150CD2">
              <w:rPr>
                <w:rFonts w:cs="Arial"/>
                <w:sz w:val="24"/>
              </w:rPr>
              <w:t>-</w:t>
            </w:r>
            <w:r w:rsidRPr="00150CD2">
              <w:rPr>
                <w:rFonts w:cs="Arial"/>
                <w:sz w:val="24"/>
              </w:rPr>
              <w:t xml:space="preserve">44 </w:t>
            </w:r>
            <w:r w:rsidR="0014045C" w:rsidRPr="00150CD2">
              <w:rPr>
                <w:rFonts w:cs="Arial"/>
                <w:sz w:val="24"/>
              </w:rPr>
              <w:t xml:space="preserve">year olds and </w:t>
            </w:r>
            <w:r w:rsidRPr="00150CD2">
              <w:rPr>
                <w:rFonts w:cs="Arial"/>
                <w:sz w:val="24"/>
              </w:rPr>
              <w:t>41</w:t>
            </w:r>
            <w:r w:rsidR="0014045C" w:rsidRPr="00150CD2">
              <w:rPr>
                <w:rFonts w:cs="Arial"/>
                <w:sz w:val="24"/>
              </w:rPr>
              <w:t xml:space="preserve">% of </w:t>
            </w:r>
            <w:r w:rsidRPr="00150CD2">
              <w:rPr>
                <w:rFonts w:cs="Arial"/>
                <w:sz w:val="24"/>
              </w:rPr>
              <w:t>45</w:t>
            </w:r>
            <w:r w:rsidR="0014045C" w:rsidRPr="00150CD2">
              <w:rPr>
                <w:rFonts w:cs="Arial"/>
                <w:sz w:val="24"/>
              </w:rPr>
              <w:t xml:space="preserve">-64 year old MidCentral DSS adults </w:t>
            </w:r>
            <w:r w:rsidRPr="00150CD2">
              <w:rPr>
                <w:rFonts w:cs="Arial"/>
                <w:sz w:val="24"/>
              </w:rPr>
              <w:t xml:space="preserve">were allocated </w:t>
            </w:r>
            <w:r w:rsidR="0014045C" w:rsidRPr="00150CD2">
              <w:rPr>
                <w:rFonts w:cs="Arial"/>
                <w:sz w:val="24"/>
              </w:rPr>
              <w:t xml:space="preserve">residential services </w:t>
            </w:r>
            <w:r w:rsidRPr="00150CD2">
              <w:rPr>
                <w:rFonts w:cs="Arial"/>
                <w:sz w:val="24"/>
              </w:rPr>
              <w:t xml:space="preserve">over the year to </w:t>
            </w:r>
            <w:r w:rsidR="0014045C" w:rsidRPr="00150CD2">
              <w:rPr>
                <w:rFonts w:cs="Arial"/>
                <w:sz w:val="24"/>
              </w:rPr>
              <w:t>June 2018, with a small number (</w:t>
            </w:r>
            <w:r w:rsidRPr="00150CD2">
              <w:rPr>
                <w:rFonts w:cs="Arial"/>
                <w:sz w:val="24"/>
              </w:rPr>
              <w:t>4</w:t>
            </w:r>
            <w:r w:rsidR="0014045C" w:rsidRPr="00150CD2">
              <w:rPr>
                <w:rFonts w:cs="Arial"/>
                <w:sz w:val="24"/>
              </w:rPr>
              <w:t>%) transitioning into residential</w:t>
            </w:r>
            <w:r w:rsidR="00C94CF2" w:rsidRPr="00150CD2">
              <w:rPr>
                <w:rFonts w:cs="Arial"/>
                <w:sz w:val="24"/>
              </w:rPr>
              <w:t xml:space="preserve"> services</w:t>
            </w:r>
            <w:r w:rsidR="0014045C" w:rsidRPr="00150CD2">
              <w:rPr>
                <w:rFonts w:cs="Arial"/>
                <w:sz w:val="24"/>
              </w:rPr>
              <w:t xml:space="preserve"> </w:t>
            </w:r>
            <w:r w:rsidRPr="00150CD2">
              <w:rPr>
                <w:rFonts w:cs="Arial"/>
                <w:sz w:val="24"/>
              </w:rPr>
              <w:t xml:space="preserve">for the first time </w:t>
            </w:r>
            <w:r w:rsidR="0014045C" w:rsidRPr="00150CD2">
              <w:rPr>
                <w:rFonts w:cs="Arial"/>
                <w:sz w:val="24"/>
              </w:rPr>
              <w:t xml:space="preserve">during </w:t>
            </w:r>
            <w:r w:rsidRPr="00150CD2">
              <w:rPr>
                <w:rFonts w:cs="Arial"/>
                <w:sz w:val="24"/>
              </w:rPr>
              <w:t xml:space="preserve">the 3 years to June 2018. These rates were </w:t>
            </w:r>
            <w:r w:rsidR="0014045C" w:rsidRPr="00150CD2">
              <w:rPr>
                <w:rFonts w:cs="Arial"/>
                <w:sz w:val="24"/>
              </w:rPr>
              <w:t xml:space="preserve">similar to transition rates for the national DSS population. </w:t>
            </w:r>
            <w:r w:rsidR="00D9386E" w:rsidRPr="00150CD2">
              <w:rPr>
                <w:rFonts w:cs="Arial"/>
                <w:sz w:val="24"/>
              </w:rPr>
              <w:br/>
            </w:r>
            <w:r w:rsidR="005F6775" w:rsidRPr="00150CD2">
              <w:rPr>
                <w:rFonts w:cs="Arial"/>
                <w:color w:val="2E2E38" w:themeColor="text1"/>
                <w:sz w:val="24"/>
              </w:rPr>
              <w:t xml:space="preserve">People with intellectual disabilities and high/very high SPA levels were </w:t>
            </w:r>
            <w:r w:rsidR="00D9386E" w:rsidRPr="00150CD2">
              <w:rPr>
                <w:rFonts w:cs="Arial"/>
                <w:color w:val="2E2E38" w:themeColor="text1"/>
                <w:sz w:val="24"/>
              </w:rPr>
              <w:t xml:space="preserve">significantly more likely </w:t>
            </w:r>
            <w:r w:rsidR="005F6775" w:rsidRPr="00150CD2">
              <w:rPr>
                <w:rFonts w:cs="Arial"/>
                <w:color w:val="2E2E38" w:themeColor="text1"/>
                <w:sz w:val="24"/>
              </w:rPr>
              <w:t>to be in residential</w:t>
            </w:r>
            <w:r w:rsidR="00C94CF2" w:rsidRPr="00150CD2">
              <w:rPr>
                <w:rFonts w:cs="Arial"/>
                <w:color w:val="2E2E38" w:themeColor="text1"/>
                <w:sz w:val="24"/>
              </w:rPr>
              <w:t xml:space="preserve"> services</w:t>
            </w:r>
            <w:r w:rsidR="00D9386E" w:rsidRPr="00150CD2">
              <w:rPr>
                <w:rFonts w:cs="Arial"/>
                <w:color w:val="2E2E38" w:themeColor="text1"/>
                <w:sz w:val="24"/>
              </w:rPr>
              <w:t>.</w:t>
            </w:r>
          </w:p>
        </w:tc>
      </w:tr>
      <w:tr w:rsidR="00AA6BDF" w:rsidRPr="00150CD2" w14:paraId="53496B7B" w14:textId="77777777" w:rsidTr="00336432">
        <w:tc>
          <w:tcPr>
            <w:tcW w:w="1545" w:type="dxa"/>
            <w:tcBorders>
              <w:top w:val="nil"/>
              <w:bottom w:val="nil"/>
            </w:tcBorders>
          </w:tcPr>
          <w:p w14:paraId="5AA86A0C" w14:textId="77777777" w:rsidR="00AA6BDF" w:rsidRPr="00150CD2" w:rsidRDefault="00AA6BDF" w:rsidP="00D143A9">
            <w:pPr>
              <w:pStyle w:val="EYTableText"/>
              <w:spacing w:before="0" w:after="120"/>
              <w:rPr>
                <w:rFonts w:cs="Arial"/>
                <w:sz w:val="24"/>
              </w:rPr>
            </w:pPr>
          </w:p>
        </w:tc>
        <w:tc>
          <w:tcPr>
            <w:tcW w:w="2015" w:type="dxa"/>
          </w:tcPr>
          <w:p w14:paraId="09F92880" w14:textId="46900045" w:rsidR="00AA6BDF" w:rsidRPr="00150CD2" w:rsidRDefault="00AA6BDF" w:rsidP="000B16F5">
            <w:pPr>
              <w:pStyle w:val="EYTableText"/>
              <w:spacing w:before="0" w:after="120"/>
              <w:rPr>
                <w:rFonts w:cs="Arial"/>
                <w:sz w:val="24"/>
              </w:rPr>
            </w:pPr>
            <w:r w:rsidRPr="00150CD2">
              <w:rPr>
                <w:rFonts w:cs="Arial"/>
                <w:sz w:val="24"/>
              </w:rPr>
              <w:t>Benefit income support</w:t>
            </w:r>
          </w:p>
        </w:tc>
        <w:tc>
          <w:tcPr>
            <w:tcW w:w="10384" w:type="dxa"/>
            <w:shd w:val="clear" w:color="auto" w:fill="auto"/>
          </w:tcPr>
          <w:p w14:paraId="2609D354" w14:textId="2495A5AE" w:rsidR="00AA6BDF" w:rsidRPr="00150CD2" w:rsidRDefault="00AA6BDF" w:rsidP="00D143A9">
            <w:pPr>
              <w:pStyle w:val="EYTablebullet1"/>
              <w:spacing w:before="0" w:after="120"/>
              <w:rPr>
                <w:rFonts w:cs="Arial"/>
                <w:sz w:val="24"/>
              </w:rPr>
            </w:pPr>
            <w:r w:rsidRPr="00150CD2">
              <w:rPr>
                <w:rFonts w:cs="Arial"/>
                <w:sz w:val="24"/>
              </w:rPr>
              <w:t>Almost all (94%) of MidCentral DSS adults aged 25-44 and 82% of those aged 45-64 received a main benefit for some/all of the 3 year period, the vast majority being Supported Living Payments. This is similar to the broader DSS population.</w:t>
            </w:r>
            <w:r w:rsidRPr="00150CD2">
              <w:rPr>
                <w:rFonts w:cs="Arial"/>
                <w:sz w:val="24"/>
              </w:rPr>
              <w:br/>
              <w:t xml:space="preserve">Adults with an intellectual disability and adults under 40 with high/very high SPA levels had marginally higher </w:t>
            </w:r>
            <w:r w:rsidR="009E4F58" w:rsidRPr="00150CD2">
              <w:rPr>
                <w:rFonts w:cs="Arial"/>
                <w:sz w:val="24"/>
              </w:rPr>
              <w:t xml:space="preserve">rates </w:t>
            </w:r>
            <w:r w:rsidRPr="00150CD2">
              <w:rPr>
                <w:rFonts w:cs="Arial"/>
                <w:sz w:val="24"/>
              </w:rPr>
              <w:t>of benefit support than those with physical disability or low/medium SPA levels.</w:t>
            </w:r>
          </w:p>
          <w:p w14:paraId="5918171D" w14:textId="245342EC" w:rsidR="00AA6BDF" w:rsidRPr="00150CD2" w:rsidRDefault="00AA6BDF" w:rsidP="00F45899">
            <w:pPr>
              <w:pStyle w:val="EYTablebullet1"/>
              <w:spacing w:before="0" w:after="120"/>
              <w:rPr>
                <w:rFonts w:cs="Arial"/>
                <w:color w:val="2E2E38" w:themeColor="text1"/>
                <w:sz w:val="24"/>
              </w:rPr>
            </w:pPr>
            <w:r w:rsidRPr="00150CD2">
              <w:rPr>
                <w:rFonts w:cs="Arial"/>
                <w:sz w:val="24"/>
              </w:rPr>
              <w:t xml:space="preserve">In comparison, </w:t>
            </w:r>
            <w:r w:rsidR="00294CF8" w:rsidRPr="00150CD2">
              <w:rPr>
                <w:rFonts w:cs="Arial"/>
                <w:sz w:val="24"/>
              </w:rPr>
              <w:t xml:space="preserve">23% </w:t>
            </w:r>
            <w:r w:rsidRPr="00150CD2">
              <w:rPr>
                <w:rFonts w:cs="Arial"/>
                <w:sz w:val="24"/>
              </w:rPr>
              <w:t xml:space="preserve">of MidCentral non-DSS adults aged </w:t>
            </w:r>
            <w:r w:rsidR="00294CF8" w:rsidRPr="00150CD2">
              <w:rPr>
                <w:rFonts w:cs="Arial"/>
                <w:sz w:val="24"/>
              </w:rPr>
              <w:t>25-44 and 19% of MidCentral non-DSS adults aged 45-64</w:t>
            </w:r>
            <w:r w:rsidRPr="00150CD2">
              <w:rPr>
                <w:rFonts w:cs="Arial"/>
                <w:sz w:val="24"/>
              </w:rPr>
              <w:t xml:space="preserve"> received a main benefit for some/all of the 3 year period with 10% receiving benefit support for more than half of the 3 year period.</w:t>
            </w:r>
          </w:p>
          <w:p w14:paraId="0C3BA02F" w14:textId="14F17F3A" w:rsidR="00AA6BDF" w:rsidRPr="00150CD2" w:rsidRDefault="00AA6BDF" w:rsidP="00D143A9">
            <w:pPr>
              <w:pStyle w:val="EYTablebullet1"/>
              <w:spacing w:before="0" w:after="120"/>
              <w:rPr>
                <w:rFonts w:cs="Arial"/>
                <w:sz w:val="24"/>
              </w:rPr>
            </w:pPr>
            <w:r w:rsidRPr="00150CD2">
              <w:rPr>
                <w:rFonts w:cs="Arial"/>
                <w:sz w:val="24"/>
              </w:rPr>
              <w:t>Just over half</w:t>
            </w:r>
            <w:r w:rsidR="009C07B3" w:rsidRPr="00150CD2">
              <w:rPr>
                <w:rFonts w:cs="Arial"/>
                <w:sz w:val="24"/>
              </w:rPr>
              <w:t xml:space="preserve"> </w:t>
            </w:r>
            <w:r w:rsidR="00ED47D5" w:rsidRPr="00150CD2">
              <w:rPr>
                <w:rFonts w:cs="Arial"/>
                <w:sz w:val="24"/>
              </w:rPr>
              <w:t xml:space="preserve">of </w:t>
            </w:r>
            <w:r w:rsidR="009C07B3" w:rsidRPr="00150CD2">
              <w:rPr>
                <w:rFonts w:cs="Arial"/>
                <w:sz w:val="24"/>
              </w:rPr>
              <w:t>MidCentral DSS adults</w:t>
            </w:r>
            <w:r w:rsidRPr="00150CD2">
              <w:rPr>
                <w:rFonts w:cs="Arial"/>
                <w:sz w:val="24"/>
              </w:rPr>
              <w:t xml:space="preserve"> (55%) received Disability Allowance payments.</w:t>
            </w:r>
            <w:r w:rsidR="00294CF8" w:rsidRPr="00150CD2">
              <w:rPr>
                <w:rFonts w:cs="Arial"/>
                <w:sz w:val="24"/>
              </w:rPr>
              <w:t xml:space="preserve"> This is simil</w:t>
            </w:r>
            <w:r w:rsidR="00E70E04" w:rsidRPr="00150CD2">
              <w:rPr>
                <w:rFonts w:cs="Arial"/>
                <w:sz w:val="24"/>
              </w:rPr>
              <w:t>a</w:t>
            </w:r>
            <w:r w:rsidR="00294CF8" w:rsidRPr="00150CD2">
              <w:rPr>
                <w:rFonts w:cs="Arial"/>
                <w:sz w:val="24"/>
              </w:rPr>
              <w:t>r to the Disability Allowance receipt rate for other DSS adults outside MidCentral (54%).</w:t>
            </w:r>
          </w:p>
          <w:p w14:paraId="667CED16" w14:textId="1C01C2C7" w:rsidR="00AA6BDF" w:rsidRPr="00150CD2" w:rsidRDefault="00AA6BDF" w:rsidP="00D143A9">
            <w:pPr>
              <w:pStyle w:val="EYTablebullet1"/>
              <w:spacing w:before="0" w:after="120"/>
              <w:rPr>
                <w:rFonts w:cs="Arial"/>
                <w:sz w:val="24"/>
              </w:rPr>
            </w:pPr>
            <w:r w:rsidRPr="00150CD2">
              <w:rPr>
                <w:rFonts w:cs="Arial"/>
                <w:sz w:val="24"/>
              </w:rPr>
              <w:t>Around half (49%) of 25-44 year olds and 30% of 45-64 year olds allocated DSS in MidCentral received the Accommodation Supplement</w:t>
            </w:r>
            <w:r w:rsidR="00203836" w:rsidRPr="00150CD2">
              <w:rPr>
                <w:rFonts w:cs="Arial"/>
                <w:sz w:val="24"/>
              </w:rPr>
              <w:t xml:space="preserve"> (AS)</w:t>
            </w:r>
            <w:r w:rsidRPr="00150CD2">
              <w:rPr>
                <w:rFonts w:cs="Arial"/>
                <w:sz w:val="24"/>
              </w:rPr>
              <w:t xml:space="preserve"> over the 3 year period. 13% received Temporary </w:t>
            </w:r>
            <w:r w:rsidR="00864253" w:rsidRPr="00150CD2">
              <w:rPr>
                <w:rFonts w:cs="Arial"/>
                <w:sz w:val="24"/>
              </w:rPr>
              <w:t>Additional Support</w:t>
            </w:r>
            <w:r w:rsidR="00203836" w:rsidRPr="00150CD2">
              <w:rPr>
                <w:rFonts w:cs="Arial"/>
                <w:sz w:val="24"/>
              </w:rPr>
              <w:t xml:space="preserve"> (TAS)</w:t>
            </w:r>
            <w:r w:rsidRPr="00150CD2">
              <w:rPr>
                <w:rFonts w:cs="Arial"/>
                <w:sz w:val="24"/>
              </w:rPr>
              <w:t xml:space="preserve">. </w:t>
            </w:r>
          </w:p>
          <w:p w14:paraId="61A03FCE" w14:textId="592D1753" w:rsidR="00AA6BDF" w:rsidRPr="00150CD2" w:rsidRDefault="00AA6BDF" w:rsidP="00D143A9">
            <w:pPr>
              <w:pStyle w:val="EYTablebullet1"/>
              <w:spacing w:before="0" w:after="120"/>
              <w:rPr>
                <w:rFonts w:cs="Arial"/>
                <w:color w:val="2E2E38" w:themeColor="text1"/>
                <w:sz w:val="24"/>
              </w:rPr>
            </w:pPr>
            <w:r w:rsidRPr="00150CD2">
              <w:rPr>
                <w:rFonts w:cs="Arial"/>
                <w:sz w:val="24"/>
              </w:rPr>
              <w:t xml:space="preserve">Just under 30% of MidCentral DSS adults aged 25-64 also drew on </w:t>
            </w:r>
            <w:r w:rsidR="00294CF8" w:rsidRPr="00150CD2">
              <w:rPr>
                <w:rFonts w:cs="Arial"/>
                <w:sz w:val="24"/>
              </w:rPr>
              <w:t xml:space="preserve">third-tier </w:t>
            </w:r>
            <w:r w:rsidRPr="00150CD2">
              <w:rPr>
                <w:rFonts w:cs="Arial"/>
                <w:sz w:val="24"/>
              </w:rPr>
              <w:t>MSD support payments</w:t>
            </w:r>
            <w:r w:rsidR="001E5F4B" w:rsidRPr="00150CD2">
              <w:rPr>
                <w:rStyle w:val="FootnoteReference"/>
                <w:rFonts w:ascii="Arial" w:hAnsi="Arial" w:cs="Arial"/>
                <w:sz w:val="24"/>
                <w:szCs w:val="24"/>
              </w:rPr>
              <w:footnoteReference w:id="35"/>
            </w:r>
            <w:r w:rsidRPr="00150CD2">
              <w:rPr>
                <w:rFonts w:cs="Arial"/>
                <w:sz w:val="24"/>
              </w:rPr>
              <w:t xml:space="preserve"> during the 3 years to 30 June 2018.</w:t>
            </w:r>
          </w:p>
          <w:p w14:paraId="36937DAF" w14:textId="43898434" w:rsidR="00AA6BDF" w:rsidRPr="00150CD2" w:rsidRDefault="00AA6BDF" w:rsidP="00D143A9">
            <w:pPr>
              <w:pStyle w:val="EYTablebullet1"/>
              <w:spacing w:before="0" w:after="120"/>
              <w:rPr>
                <w:rFonts w:cs="Arial"/>
                <w:color w:val="2E2E38" w:themeColor="text1"/>
                <w:sz w:val="24"/>
              </w:rPr>
            </w:pPr>
            <w:r w:rsidRPr="00150CD2">
              <w:rPr>
                <w:rFonts w:cs="Arial"/>
                <w:sz w:val="24"/>
              </w:rPr>
              <w:t xml:space="preserve">Rates of receipt of AS, TAS and </w:t>
            </w:r>
            <w:r w:rsidR="00ED47D5" w:rsidRPr="00150CD2">
              <w:rPr>
                <w:rFonts w:cs="Arial"/>
                <w:sz w:val="24"/>
              </w:rPr>
              <w:t xml:space="preserve">third-tier </w:t>
            </w:r>
            <w:r w:rsidRPr="00150CD2">
              <w:rPr>
                <w:rFonts w:cs="Arial"/>
                <w:sz w:val="24"/>
              </w:rPr>
              <w:t>MSD support payments are similar to those in the national DSS population but around 2</w:t>
            </w:r>
            <w:r w:rsidR="00CA4326" w:rsidRPr="00150CD2">
              <w:rPr>
                <w:rFonts w:cs="Arial"/>
                <w:sz w:val="24"/>
              </w:rPr>
              <w:t xml:space="preserve"> times </w:t>
            </w:r>
            <w:r w:rsidRPr="00150CD2">
              <w:rPr>
                <w:rFonts w:cs="Arial"/>
                <w:sz w:val="24"/>
              </w:rPr>
              <w:t>higher than for other MidCentral adults. Reflecting differences in the overall NZ population, women, Māori, those with physical and other non-intellectual disabilities and low/medium SPA levels were more likely to draw on these sources of support.</w:t>
            </w:r>
          </w:p>
        </w:tc>
      </w:tr>
      <w:tr w:rsidR="005F6775" w:rsidRPr="00150CD2" w14:paraId="08A32D44" w14:textId="77777777" w:rsidTr="00336432">
        <w:tc>
          <w:tcPr>
            <w:tcW w:w="1545" w:type="dxa"/>
            <w:tcBorders>
              <w:top w:val="nil"/>
            </w:tcBorders>
          </w:tcPr>
          <w:p w14:paraId="53508671" w14:textId="77777777" w:rsidR="005F6775" w:rsidRPr="00150CD2" w:rsidRDefault="005F6775" w:rsidP="00D143A9">
            <w:pPr>
              <w:pStyle w:val="EYTableText"/>
              <w:spacing w:before="0" w:after="120"/>
              <w:rPr>
                <w:rFonts w:cs="Arial"/>
                <w:sz w:val="24"/>
              </w:rPr>
            </w:pPr>
          </w:p>
        </w:tc>
        <w:tc>
          <w:tcPr>
            <w:tcW w:w="2015" w:type="dxa"/>
          </w:tcPr>
          <w:p w14:paraId="53427C82" w14:textId="77777777" w:rsidR="005F6775" w:rsidRPr="00150CD2" w:rsidRDefault="005F6775" w:rsidP="00D143A9">
            <w:pPr>
              <w:pStyle w:val="EYTableText"/>
              <w:spacing w:before="0" w:after="120"/>
              <w:rPr>
                <w:rFonts w:cs="Arial"/>
                <w:sz w:val="24"/>
              </w:rPr>
            </w:pPr>
            <w:r w:rsidRPr="00150CD2">
              <w:rPr>
                <w:rFonts w:cs="Arial"/>
                <w:sz w:val="24"/>
              </w:rPr>
              <w:t>Address changes and social housing</w:t>
            </w:r>
          </w:p>
        </w:tc>
        <w:tc>
          <w:tcPr>
            <w:tcW w:w="10384" w:type="dxa"/>
            <w:shd w:val="clear" w:color="auto" w:fill="auto"/>
          </w:tcPr>
          <w:p w14:paraId="40EA5F69" w14:textId="031D2BC9" w:rsidR="005F6775" w:rsidRPr="00150CD2" w:rsidRDefault="00FD3EA3" w:rsidP="00D143A9">
            <w:pPr>
              <w:pStyle w:val="EYTablebullet1"/>
              <w:spacing w:before="0" w:after="120"/>
              <w:rPr>
                <w:rFonts w:cs="Arial"/>
                <w:color w:val="2E2E38" w:themeColor="text1"/>
                <w:sz w:val="24"/>
              </w:rPr>
            </w:pPr>
            <w:r w:rsidRPr="00150CD2">
              <w:rPr>
                <w:rFonts w:cs="Arial"/>
                <w:color w:val="2E2E38" w:themeColor="text1"/>
                <w:sz w:val="24"/>
              </w:rPr>
              <w:t>9</w:t>
            </w:r>
            <w:r w:rsidR="005F6775" w:rsidRPr="00150CD2">
              <w:rPr>
                <w:rFonts w:cs="Arial"/>
                <w:color w:val="2E2E38" w:themeColor="text1"/>
                <w:sz w:val="24"/>
              </w:rPr>
              <w:t xml:space="preserve">% of </w:t>
            </w:r>
            <w:r w:rsidRPr="00150CD2">
              <w:rPr>
                <w:rFonts w:cs="Arial"/>
                <w:color w:val="2E2E38" w:themeColor="text1"/>
                <w:sz w:val="24"/>
              </w:rPr>
              <w:t xml:space="preserve">MidCentral DSS </w:t>
            </w:r>
            <w:r w:rsidR="00F45899" w:rsidRPr="00150CD2">
              <w:rPr>
                <w:rFonts w:cs="Arial"/>
                <w:sz w:val="24"/>
              </w:rPr>
              <w:t>25</w:t>
            </w:r>
            <w:r w:rsidR="005F6775" w:rsidRPr="00150CD2">
              <w:rPr>
                <w:rFonts w:cs="Arial"/>
                <w:sz w:val="24"/>
              </w:rPr>
              <w:t>-6</w:t>
            </w:r>
            <w:r w:rsidRPr="00150CD2">
              <w:rPr>
                <w:rFonts w:cs="Arial"/>
                <w:sz w:val="24"/>
              </w:rPr>
              <w:t xml:space="preserve">4 year olds </w:t>
            </w:r>
            <w:r w:rsidR="005F6775" w:rsidRPr="00150CD2">
              <w:rPr>
                <w:rFonts w:cs="Arial"/>
                <w:color w:val="2E2E38" w:themeColor="text1"/>
                <w:sz w:val="24"/>
              </w:rPr>
              <w:t xml:space="preserve">lived in social housing for some/all of the </w:t>
            </w:r>
            <w:r w:rsidRPr="00150CD2">
              <w:rPr>
                <w:rFonts w:cs="Arial"/>
                <w:color w:val="2E2E38" w:themeColor="text1"/>
                <w:sz w:val="24"/>
              </w:rPr>
              <w:t>3</w:t>
            </w:r>
            <w:r w:rsidR="005F6775" w:rsidRPr="00150CD2">
              <w:rPr>
                <w:rFonts w:cs="Arial"/>
                <w:color w:val="2E2E38" w:themeColor="text1"/>
                <w:sz w:val="24"/>
              </w:rPr>
              <w:t xml:space="preserve"> year period</w:t>
            </w:r>
            <w:r w:rsidR="00D71F8F" w:rsidRPr="00150CD2">
              <w:rPr>
                <w:rFonts w:cs="Arial"/>
                <w:color w:val="2E2E38" w:themeColor="text1"/>
                <w:sz w:val="24"/>
              </w:rPr>
              <w:t xml:space="preserve"> and 4% were on the social housing waitlist as priority A or B</w:t>
            </w:r>
            <w:r w:rsidRPr="00150CD2">
              <w:rPr>
                <w:rFonts w:cs="Arial"/>
                <w:color w:val="2E2E38" w:themeColor="text1"/>
                <w:sz w:val="24"/>
              </w:rPr>
              <w:t>. This was slightly lower than social housing tenancy rates for DSS clients outside MidCentral but around 3</w:t>
            </w:r>
            <w:r w:rsidR="00CA4326" w:rsidRPr="00150CD2">
              <w:rPr>
                <w:rFonts w:cs="Arial"/>
                <w:color w:val="2E2E38" w:themeColor="text1"/>
                <w:sz w:val="24"/>
              </w:rPr>
              <w:t xml:space="preserve"> times </w:t>
            </w:r>
            <w:r w:rsidR="005F6775" w:rsidRPr="00150CD2">
              <w:rPr>
                <w:rFonts w:cs="Arial"/>
                <w:color w:val="2E2E38" w:themeColor="text1"/>
                <w:sz w:val="24"/>
              </w:rPr>
              <w:t xml:space="preserve">higher than </w:t>
            </w:r>
            <w:r w:rsidRPr="00150CD2">
              <w:rPr>
                <w:rFonts w:cs="Arial"/>
                <w:color w:val="2E2E38" w:themeColor="text1"/>
                <w:sz w:val="24"/>
              </w:rPr>
              <w:t>the non-DSS MidCentral adult population.</w:t>
            </w:r>
            <w:r w:rsidRPr="00150CD2">
              <w:rPr>
                <w:rFonts w:cs="Arial"/>
                <w:color w:val="2E2E38" w:themeColor="text1"/>
                <w:sz w:val="24"/>
              </w:rPr>
              <w:br/>
            </w:r>
            <w:r w:rsidR="005F6775" w:rsidRPr="00150CD2">
              <w:rPr>
                <w:rFonts w:cs="Arial"/>
                <w:color w:val="2E2E38" w:themeColor="text1"/>
                <w:sz w:val="24"/>
              </w:rPr>
              <w:t xml:space="preserve">Within this group, Māori </w:t>
            </w:r>
            <w:r w:rsidRPr="00150CD2">
              <w:rPr>
                <w:rFonts w:cs="Arial"/>
                <w:color w:val="2E2E38" w:themeColor="text1"/>
                <w:sz w:val="24"/>
              </w:rPr>
              <w:t>adults and those with a physical disability were 2</w:t>
            </w:r>
            <w:r w:rsidR="00CA4326" w:rsidRPr="00150CD2">
              <w:rPr>
                <w:rFonts w:cs="Arial"/>
                <w:color w:val="2E2E38" w:themeColor="text1"/>
                <w:sz w:val="24"/>
              </w:rPr>
              <w:t xml:space="preserve"> times </w:t>
            </w:r>
            <w:r w:rsidRPr="00150CD2">
              <w:rPr>
                <w:rFonts w:cs="Arial"/>
                <w:color w:val="2E2E38" w:themeColor="text1"/>
                <w:sz w:val="24"/>
              </w:rPr>
              <w:t>more likely to live in social housing</w:t>
            </w:r>
            <w:r w:rsidR="00D71F8F" w:rsidRPr="00150CD2">
              <w:rPr>
                <w:rFonts w:cs="Arial"/>
                <w:color w:val="2E2E38" w:themeColor="text1"/>
                <w:sz w:val="24"/>
              </w:rPr>
              <w:t xml:space="preserve"> or be on the priority housing waitlist</w:t>
            </w:r>
            <w:r w:rsidRPr="00150CD2">
              <w:rPr>
                <w:rFonts w:cs="Arial"/>
                <w:color w:val="2E2E38" w:themeColor="text1"/>
                <w:sz w:val="24"/>
              </w:rPr>
              <w:t>.</w:t>
            </w:r>
            <w:r w:rsidR="00267FD0" w:rsidRPr="00150CD2">
              <w:rPr>
                <w:rFonts w:cs="Arial"/>
                <w:color w:val="2E2E38" w:themeColor="text1"/>
                <w:sz w:val="24"/>
              </w:rPr>
              <w:t xml:space="preserve"> Similar differences apply to the broader DSS adult population.</w:t>
            </w:r>
          </w:p>
          <w:p w14:paraId="3D873FB1" w14:textId="2ED86B7A" w:rsidR="00FD3EA3" w:rsidRPr="00150CD2" w:rsidRDefault="00F45899" w:rsidP="00D143A9">
            <w:pPr>
              <w:pStyle w:val="EYTablebullet1"/>
              <w:spacing w:before="0" w:after="120"/>
              <w:rPr>
                <w:rFonts w:cs="Arial"/>
                <w:color w:val="2E2E38" w:themeColor="text1"/>
                <w:sz w:val="24"/>
              </w:rPr>
            </w:pPr>
            <w:r w:rsidRPr="00150CD2">
              <w:rPr>
                <w:rFonts w:cs="Arial"/>
                <w:color w:val="2E2E38" w:themeColor="text1"/>
                <w:sz w:val="24"/>
              </w:rPr>
              <w:t>39</w:t>
            </w:r>
            <w:r w:rsidR="00FD3EA3" w:rsidRPr="00150CD2">
              <w:rPr>
                <w:rFonts w:cs="Arial"/>
                <w:color w:val="2E2E38" w:themeColor="text1"/>
                <w:sz w:val="24"/>
              </w:rPr>
              <w:t>% reported address changes over a 3 year period, similar to both DSS and non-DSS populations.</w:t>
            </w:r>
          </w:p>
        </w:tc>
      </w:tr>
    </w:tbl>
    <w:p w14:paraId="6F3B8345" w14:textId="77777777" w:rsidR="00AA6BDF" w:rsidRPr="00150CD2" w:rsidRDefault="00AA6BDF">
      <w:pPr>
        <w:autoSpaceDE/>
        <w:autoSpaceDN/>
        <w:adjustRightInd/>
        <w:rPr>
          <w:rFonts w:cs="Arial"/>
        </w:rPr>
      </w:pPr>
      <w:r w:rsidRPr="00150CD2">
        <w:rPr>
          <w:rFonts w:cs="Arial"/>
        </w:rPr>
        <w:br w:type="page"/>
      </w:r>
    </w:p>
    <w:p w14:paraId="32F8FC45" w14:textId="529171B3" w:rsidR="00C96F51" w:rsidRPr="00150CD2" w:rsidRDefault="00C96F51" w:rsidP="00184038">
      <w:pPr>
        <w:pStyle w:val="EYHeading2"/>
      </w:pPr>
      <w:bookmarkStart w:id="103" w:name="_Toc33638924"/>
      <w:bookmarkStart w:id="104" w:name="_Toc33638958"/>
      <w:bookmarkStart w:id="105" w:name="_Toc33645479"/>
      <w:bookmarkStart w:id="106" w:name="_Toc33896004"/>
      <w:bookmarkStart w:id="107" w:name="_Toc33980628"/>
      <w:bookmarkStart w:id="108" w:name="_Toc34052745"/>
      <w:bookmarkStart w:id="109" w:name="_Toc34054069"/>
      <w:bookmarkStart w:id="110" w:name="_Toc34055387"/>
      <w:bookmarkStart w:id="111" w:name="_Toc34056705"/>
      <w:bookmarkStart w:id="112" w:name="_Toc34077123"/>
      <w:bookmarkStart w:id="113" w:name="_Toc34091151"/>
      <w:bookmarkStart w:id="114" w:name="_Toc34095664"/>
      <w:bookmarkStart w:id="115" w:name="_Toc46365144"/>
      <w:bookmarkStart w:id="116" w:name="_Toc48752362"/>
      <w:bookmarkEnd w:id="103"/>
      <w:bookmarkEnd w:id="104"/>
      <w:bookmarkEnd w:id="105"/>
      <w:bookmarkEnd w:id="106"/>
      <w:bookmarkEnd w:id="107"/>
      <w:bookmarkEnd w:id="108"/>
      <w:bookmarkEnd w:id="109"/>
      <w:bookmarkEnd w:id="110"/>
      <w:bookmarkEnd w:id="111"/>
      <w:bookmarkEnd w:id="112"/>
      <w:bookmarkEnd w:id="113"/>
      <w:bookmarkEnd w:id="114"/>
      <w:r w:rsidRPr="00150CD2">
        <w:t>Adults aged 65 and older</w:t>
      </w:r>
      <w:bookmarkEnd w:id="115"/>
      <w:bookmarkEnd w:id="116"/>
    </w:p>
    <w:p w14:paraId="2AD37E9D" w14:textId="7087CE3D" w:rsidR="00C47612" w:rsidRPr="00150CD2" w:rsidRDefault="00C47612" w:rsidP="00C96F51">
      <w:pPr>
        <w:pStyle w:val="EYBodytextwithparaspace"/>
        <w:rPr>
          <w:rFonts w:cs="Arial"/>
          <w:b/>
        </w:rPr>
      </w:pPr>
      <w:r w:rsidRPr="00150CD2">
        <w:rPr>
          <w:rFonts w:cs="Arial"/>
          <w:b/>
        </w:rPr>
        <w:t xml:space="preserve">Key transitions: Some people in this cohort are transitioning into a new living situation, while others remain </w:t>
      </w:r>
      <w:r w:rsidR="00BF47B1" w:rsidRPr="00150CD2">
        <w:rPr>
          <w:rFonts w:cs="Arial"/>
          <w:b/>
        </w:rPr>
        <w:t>at</w:t>
      </w:r>
      <w:r w:rsidR="00C94CF2" w:rsidRPr="00150CD2">
        <w:rPr>
          <w:rFonts w:cs="Arial"/>
          <w:b/>
        </w:rPr>
        <w:t xml:space="preserve"> home, </w:t>
      </w:r>
      <w:r w:rsidRPr="00150CD2">
        <w:rPr>
          <w:rFonts w:cs="Arial"/>
          <w:b/>
        </w:rPr>
        <w:t>with their family, residential</w:t>
      </w:r>
      <w:r w:rsidR="00F0278A" w:rsidRPr="00150CD2">
        <w:rPr>
          <w:rFonts w:cs="Arial"/>
          <w:b/>
        </w:rPr>
        <w:t xml:space="preserve"> </w:t>
      </w:r>
      <w:r w:rsidR="00EC399C" w:rsidRPr="00150CD2">
        <w:rPr>
          <w:rFonts w:cs="Arial"/>
          <w:b/>
        </w:rPr>
        <w:t>services</w:t>
      </w:r>
      <w:r w:rsidRPr="00150CD2">
        <w:rPr>
          <w:rFonts w:cs="Arial"/>
          <w:b/>
        </w:rPr>
        <w:t>, or other living situation, supported by family/whānau and other key support people (e.g. carers</w:t>
      </w:r>
      <w:r w:rsidR="00B60DAB" w:rsidRPr="00150CD2">
        <w:rPr>
          <w:rFonts w:cs="Arial"/>
          <w:b/>
        </w:rPr>
        <w:t>, support workers</w:t>
      </w:r>
      <w:r w:rsidRPr="00150CD2">
        <w:rPr>
          <w:rFonts w:cs="Arial"/>
          <w:b/>
        </w:rPr>
        <w:t xml:space="preserve">). </w:t>
      </w:r>
      <w:r w:rsidR="00B03049" w:rsidRPr="00150CD2">
        <w:rPr>
          <w:rFonts w:cs="Arial"/>
          <w:b/>
        </w:rPr>
        <w:t xml:space="preserve">Superannuation payments commence at age 65. </w:t>
      </w:r>
      <w:r w:rsidRPr="00150CD2">
        <w:rPr>
          <w:rFonts w:cs="Arial"/>
          <w:b/>
        </w:rPr>
        <w:t>Maintaining health becomes increasingly important along with material wellbeing, relationships with family and friends and connection to community.</w:t>
      </w:r>
    </w:p>
    <w:p w14:paraId="1A27BBAF" w14:textId="44F0D122" w:rsidR="005C7C6C" w:rsidRPr="00150CD2" w:rsidRDefault="005C7C6C" w:rsidP="005C7C6C">
      <w:pPr>
        <w:pStyle w:val="EYBodytextwithparaspace"/>
        <w:rPr>
          <w:rFonts w:cs="Arial"/>
          <w:lang w:eastAsia="en-AU"/>
        </w:rPr>
      </w:pPr>
      <w:r w:rsidRPr="00150CD2">
        <w:rPr>
          <w:rFonts w:cs="Arial"/>
          <w:lang w:eastAsia="en-AU"/>
        </w:rPr>
        <w:t xml:space="preserve">At 30 June 2018 there were </w:t>
      </w:r>
      <w:r w:rsidR="00972B50" w:rsidRPr="00150CD2">
        <w:rPr>
          <w:rFonts w:cs="Arial"/>
          <w:lang w:eastAsia="en-AU"/>
        </w:rPr>
        <w:t>around 200</w:t>
      </w:r>
      <w:r w:rsidR="00ED3238" w:rsidRPr="00150CD2">
        <w:rPr>
          <w:rFonts w:cs="Arial"/>
          <w:lang w:eastAsia="en-AU"/>
        </w:rPr>
        <w:t xml:space="preserve"> </w:t>
      </w:r>
      <w:r w:rsidRPr="00150CD2">
        <w:rPr>
          <w:rFonts w:cs="Arial"/>
          <w:lang w:eastAsia="en-AU"/>
        </w:rPr>
        <w:t xml:space="preserve">adults aged 65 and over who </w:t>
      </w:r>
      <w:r w:rsidR="00ED3238" w:rsidRPr="00150CD2">
        <w:rPr>
          <w:rFonts w:cs="Arial"/>
          <w:lang w:eastAsia="en-AU"/>
        </w:rPr>
        <w:t xml:space="preserve">were </w:t>
      </w:r>
      <w:r w:rsidRPr="00150CD2">
        <w:rPr>
          <w:rFonts w:cs="Arial"/>
          <w:lang w:eastAsia="en-AU"/>
        </w:rPr>
        <w:t>allocated DSS funding</w:t>
      </w:r>
      <w:r w:rsidR="00ED3238" w:rsidRPr="00150CD2">
        <w:rPr>
          <w:rFonts w:cs="Arial"/>
          <w:lang w:eastAsia="en-AU"/>
        </w:rPr>
        <w:t xml:space="preserve"> over the year to 30 June 2018</w:t>
      </w:r>
      <w:r w:rsidRPr="00150CD2">
        <w:rPr>
          <w:rFonts w:cs="Arial"/>
          <w:lang w:eastAsia="en-AU"/>
        </w:rPr>
        <w:t xml:space="preserve"> in MidCentral. </w:t>
      </w:r>
      <w:r w:rsidR="00727B7B" w:rsidRPr="00150CD2">
        <w:rPr>
          <w:rFonts w:cs="Arial"/>
          <w:lang w:eastAsia="en-AU"/>
        </w:rPr>
        <w:t xml:space="preserve">The majority are aged between 65 and 79. </w:t>
      </w:r>
      <w:r w:rsidRPr="00150CD2">
        <w:rPr>
          <w:rFonts w:cs="Arial"/>
          <w:lang w:eastAsia="en-AU"/>
        </w:rPr>
        <w:t>Key demographic and socioeconomic characteristics are summarised below.</w:t>
      </w:r>
    </w:p>
    <w:p w14:paraId="6BBCBA89" w14:textId="56D7D303" w:rsidR="001B74A0" w:rsidRPr="00150CD2" w:rsidRDefault="001B74A0" w:rsidP="00D143A9">
      <w:pPr>
        <w:pStyle w:val="EYBulletedText1"/>
        <w:rPr>
          <w:rFonts w:cs="Arial"/>
          <w:lang w:eastAsia="en-AU"/>
        </w:rPr>
      </w:pPr>
      <w:r w:rsidRPr="00150CD2">
        <w:rPr>
          <w:rFonts w:cs="Arial"/>
          <w:lang w:eastAsia="en-AU"/>
        </w:rPr>
        <w:t>The majority have physical disability (</w:t>
      </w:r>
      <w:r w:rsidR="00972B50" w:rsidRPr="00150CD2">
        <w:rPr>
          <w:rFonts w:cs="Arial"/>
          <w:lang w:eastAsia="en-AU"/>
        </w:rPr>
        <w:t>56</w:t>
      </w:r>
      <w:r w:rsidRPr="00150CD2">
        <w:rPr>
          <w:rFonts w:cs="Arial"/>
          <w:lang w:eastAsia="en-AU"/>
        </w:rPr>
        <w:t>%), intellectual disability (</w:t>
      </w:r>
      <w:r w:rsidR="00972B50" w:rsidRPr="00150CD2">
        <w:rPr>
          <w:rFonts w:cs="Arial"/>
          <w:lang w:eastAsia="en-AU"/>
        </w:rPr>
        <w:t>38</w:t>
      </w:r>
      <w:r w:rsidRPr="00150CD2">
        <w:rPr>
          <w:rFonts w:cs="Arial"/>
          <w:lang w:eastAsia="en-AU"/>
        </w:rPr>
        <w:t xml:space="preserve">%) as their </w:t>
      </w:r>
      <w:r w:rsidR="009E4F58" w:rsidRPr="00150CD2">
        <w:rPr>
          <w:rFonts w:cs="Arial"/>
          <w:lang w:eastAsia="en-AU"/>
        </w:rPr>
        <w:t>prioritised</w:t>
      </w:r>
      <w:r w:rsidRPr="00150CD2">
        <w:rPr>
          <w:rFonts w:cs="Arial"/>
          <w:lang w:eastAsia="en-AU"/>
        </w:rPr>
        <w:t xml:space="preserve"> disability, followed by </w:t>
      </w:r>
      <w:r w:rsidR="00972B50" w:rsidRPr="00150CD2">
        <w:rPr>
          <w:rFonts w:cs="Arial"/>
          <w:lang w:eastAsia="en-AU"/>
        </w:rPr>
        <w:t>5</w:t>
      </w:r>
      <w:r w:rsidRPr="00150CD2">
        <w:rPr>
          <w:rFonts w:cs="Arial"/>
          <w:lang w:eastAsia="en-AU"/>
        </w:rPr>
        <w:t>% with a sensory disability. Home and community support (</w:t>
      </w:r>
      <w:r w:rsidR="00AE4EC3" w:rsidRPr="00150CD2">
        <w:rPr>
          <w:rFonts w:cs="Arial"/>
          <w:lang w:eastAsia="en-AU"/>
        </w:rPr>
        <w:t>59</w:t>
      </w:r>
      <w:r w:rsidRPr="00150CD2">
        <w:rPr>
          <w:rFonts w:cs="Arial"/>
          <w:lang w:eastAsia="en-AU"/>
        </w:rPr>
        <w:t xml:space="preserve">%), residential </w:t>
      </w:r>
      <w:r w:rsidR="00C94CF2" w:rsidRPr="00150CD2">
        <w:rPr>
          <w:rFonts w:cs="Arial"/>
          <w:lang w:eastAsia="en-AU"/>
        </w:rPr>
        <w:t>services</w:t>
      </w:r>
      <w:r w:rsidRPr="00150CD2">
        <w:rPr>
          <w:rFonts w:cs="Arial"/>
          <w:lang w:eastAsia="en-AU"/>
        </w:rPr>
        <w:t xml:space="preserve"> (</w:t>
      </w:r>
      <w:r w:rsidR="00AE4EC3" w:rsidRPr="00150CD2">
        <w:rPr>
          <w:rFonts w:cs="Arial"/>
          <w:lang w:eastAsia="en-AU"/>
        </w:rPr>
        <w:t>40</w:t>
      </w:r>
      <w:r w:rsidRPr="00150CD2">
        <w:rPr>
          <w:rFonts w:cs="Arial"/>
          <w:lang w:eastAsia="en-AU"/>
        </w:rPr>
        <w:t>%), respite (</w:t>
      </w:r>
      <w:r w:rsidR="00ED3238" w:rsidRPr="00150CD2">
        <w:rPr>
          <w:rFonts w:cs="Arial"/>
          <w:lang w:eastAsia="en-AU"/>
        </w:rPr>
        <w:t>15</w:t>
      </w:r>
      <w:r w:rsidRPr="00150CD2">
        <w:rPr>
          <w:rFonts w:cs="Arial"/>
          <w:lang w:eastAsia="en-AU"/>
        </w:rPr>
        <w:t>%), supported living (</w:t>
      </w:r>
      <w:r w:rsidR="00AE4EC3" w:rsidRPr="00150CD2">
        <w:rPr>
          <w:rFonts w:cs="Arial"/>
          <w:lang w:eastAsia="en-AU"/>
        </w:rPr>
        <w:t>8</w:t>
      </w:r>
      <w:r w:rsidRPr="00150CD2">
        <w:rPr>
          <w:rFonts w:cs="Arial"/>
          <w:lang w:eastAsia="en-AU"/>
        </w:rPr>
        <w:t>%) and day services (</w:t>
      </w:r>
      <w:r w:rsidR="00ED3238" w:rsidRPr="00150CD2">
        <w:rPr>
          <w:rFonts w:cs="Arial"/>
          <w:lang w:eastAsia="en-AU"/>
        </w:rPr>
        <w:t>15</w:t>
      </w:r>
      <w:r w:rsidRPr="00150CD2">
        <w:rPr>
          <w:rFonts w:cs="Arial"/>
          <w:lang w:eastAsia="en-AU"/>
        </w:rPr>
        <w:t>%) were key types</w:t>
      </w:r>
      <w:r w:rsidR="001E524F" w:rsidRPr="00150CD2">
        <w:rPr>
          <w:rFonts w:cs="Arial"/>
          <w:lang w:eastAsia="en-AU"/>
        </w:rPr>
        <w:t xml:space="preserve"> of services</w:t>
      </w:r>
      <w:r w:rsidRPr="00150CD2">
        <w:rPr>
          <w:rFonts w:cs="Arial"/>
          <w:lang w:eastAsia="en-AU"/>
        </w:rPr>
        <w:t xml:space="preserve"> allocated</w:t>
      </w:r>
      <w:r w:rsidR="001E524F" w:rsidRPr="00150CD2">
        <w:rPr>
          <w:rFonts w:cs="Arial"/>
          <w:lang w:eastAsia="en-AU"/>
        </w:rPr>
        <w:t xml:space="preserve"> by the NASC</w:t>
      </w:r>
      <w:r w:rsidRPr="00150CD2">
        <w:rPr>
          <w:rFonts w:cs="Arial"/>
          <w:lang w:eastAsia="en-AU"/>
        </w:rPr>
        <w:t>.</w:t>
      </w:r>
    </w:p>
    <w:p w14:paraId="793B1C61" w14:textId="39B06261" w:rsidR="001B74A0" w:rsidRPr="00150CD2" w:rsidRDefault="00525759" w:rsidP="00ED3238">
      <w:pPr>
        <w:pStyle w:val="EYBulletedText1"/>
        <w:rPr>
          <w:rFonts w:cs="Arial"/>
          <w:lang w:eastAsia="en-AU"/>
        </w:rPr>
      </w:pPr>
      <w:r w:rsidRPr="00150CD2">
        <w:rPr>
          <w:rFonts w:cs="Arial"/>
          <w:lang w:eastAsia="en-AU"/>
        </w:rPr>
        <w:t>8</w:t>
      </w:r>
      <w:r w:rsidR="001B74A0" w:rsidRPr="00150CD2">
        <w:rPr>
          <w:rFonts w:cs="Arial"/>
          <w:lang w:eastAsia="en-AU"/>
        </w:rPr>
        <w:t xml:space="preserve">% live in the 20% least deprived areas of NZ while </w:t>
      </w:r>
      <w:r w:rsidRPr="00150CD2">
        <w:rPr>
          <w:rFonts w:cs="Arial"/>
          <w:lang w:eastAsia="en-AU"/>
        </w:rPr>
        <w:t>37</w:t>
      </w:r>
      <w:r w:rsidR="001B74A0" w:rsidRPr="00150CD2">
        <w:rPr>
          <w:rFonts w:cs="Arial"/>
          <w:lang w:eastAsia="en-AU"/>
        </w:rPr>
        <w:t>% live in the 20% most deprived areas.</w:t>
      </w:r>
      <w:r w:rsidR="00727B7B" w:rsidRPr="00150CD2">
        <w:rPr>
          <w:rFonts w:cs="Arial"/>
          <w:lang w:eastAsia="en-AU"/>
        </w:rPr>
        <w:br/>
        <w:t>MidCentral DSS adults aged 65</w:t>
      </w:r>
      <w:r w:rsidR="003067F7" w:rsidRPr="00150CD2">
        <w:rPr>
          <w:rFonts w:cs="Arial"/>
          <w:lang w:eastAsia="en-AU"/>
        </w:rPr>
        <w:t>-79</w:t>
      </w:r>
      <w:r w:rsidR="00727B7B" w:rsidRPr="00150CD2">
        <w:rPr>
          <w:rFonts w:cs="Arial"/>
          <w:lang w:eastAsia="en-AU"/>
        </w:rPr>
        <w:t xml:space="preserve"> are more likely to live in areas with deprivation compared to DSS adults aged 65-79 in other regions (where 2</w:t>
      </w:r>
      <w:r w:rsidR="003067F7" w:rsidRPr="00150CD2">
        <w:rPr>
          <w:rFonts w:cs="Arial"/>
          <w:lang w:eastAsia="en-AU"/>
        </w:rPr>
        <w:t>8</w:t>
      </w:r>
      <w:r w:rsidR="00727B7B" w:rsidRPr="00150CD2">
        <w:rPr>
          <w:rFonts w:cs="Arial"/>
          <w:lang w:eastAsia="en-AU"/>
        </w:rPr>
        <w:t>% live in the 20% most deprived areas)</w:t>
      </w:r>
      <w:r w:rsidR="003067F7" w:rsidRPr="00150CD2">
        <w:rPr>
          <w:rFonts w:cs="Arial"/>
          <w:lang w:eastAsia="en-AU"/>
        </w:rPr>
        <w:t xml:space="preserve"> and non-DSS adults aged 65-79 in MidCentral </w:t>
      </w:r>
      <w:r w:rsidR="00727B7B" w:rsidRPr="00150CD2">
        <w:rPr>
          <w:rFonts w:cs="Arial"/>
          <w:lang w:eastAsia="en-AU"/>
        </w:rPr>
        <w:t>(where 2</w:t>
      </w:r>
      <w:r w:rsidR="003067F7" w:rsidRPr="00150CD2">
        <w:rPr>
          <w:rFonts w:cs="Arial"/>
          <w:lang w:eastAsia="en-AU"/>
        </w:rPr>
        <w:t>6</w:t>
      </w:r>
      <w:r w:rsidR="00727B7B" w:rsidRPr="00150CD2">
        <w:rPr>
          <w:rFonts w:cs="Arial"/>
          <w:lang w:eastAsia="en-AU"/>
        </w:rPr>
        <w:t>% live in the 20% most deprived areas).</w:t>
      </w:r>
    </w:p>
    <w:p w14:paraId="13715128" w14:textId="7740DD22" w:rsidR="00ED47D5" w:rsidRPr="00150CD2" w:rsidRDefault="00ED3238" w:rsidP="00D143A9">
      <w:pPr>
        <w:pStyle w:val="EYBodytextwithparaspace"/>
        <w:rPr>
          <w:rFonts w:cs="Arial"/>
          <w:lang w:eastAsia="en-AU"/>
        </w:rPr>
      </w:pPr>
      <w:r w:rsidRPr="00150CD2">
        <w:rPr>
          <w:rFonts w:cs="Arial"/>
          <w:lang w:eastAsia="en-AU"/>
        </w:rPr>
        <w:t>This section summarises some of the lifecourse outcomes and service contact indicators observed over the 3 year period to 30 June 2018</w:t>
      </w:r>
      <w:r w:rsidRPr="00150CD2">
        <w:rPr>
          <w:rStyle w:val="FootnoteReference"/>
          <w:rFonts w:ascii="Arial" w:hAnsi="Arial" w:cs="Arial"/>
          <w:lang w:eastAsia="en-AU"/>
        </w:rPr>
        <w:footnoteReference w:id="36"/>
      </w:r>
      <w:r w:rsidRPr="00150CD2">
        <w:rPr>
          <w:rFonts w:cs="Arial"/>
          <w:lang w:eastAsia="en-AU"/>
        </w:rPr>
        <w:t xml:space="preserve"> for adults who were allocated DSS over the 2018 year and were aged 65 and over at the start of the period. </w:t>
      </w:r>
      <w:r w:rsidR="001661C2" w:rsidRPr="00150CD2">
        <w:rPr>
          <w:rFonts w:cs="Arial"/>
          <w:lang w:eastAsia="en-AU"/>
        </w:rPr>
        <w:t>For some people this will include time prior to them receiving DSS funding.</w:t>
      </w:r>
    </w:p>
    <w:p w14:paraId="449B260F" w14:textId="2386F540" w:rsidR="00ED3238" w:rsidRPr="00150CD2" w:rsidRDefault="001661C2" w:rsidP="00D143A9">
      <w:pPr>
        <w:pStyle w:val="EYBodytextwithparaspace"/>
        <w:rPr>
          <w:rFonts w:cs="Arial"/>
          <w:lang w:eastAsia="en-AU"/>
        </w:rPr>
      </w:pPr>
      <w:r w:rsidRPr="00150CD2">
        <w:rPr>
          <w:rFonts w:cs="Arial"/>
          <w:lang w:eastAsia="en-AU"/>
        </w:rPr>
        <w:t xml:space="preserve">Note that the relatively small size of this group meant that not all indicators were observable for </w:t>
      </w:r>
      <w:r w:rsidR="00717934" w:rsidRPr="00150CD2">
        <w:rPr>
          <w:rFonts w:cs="Arial"/>
          <w:lang w:eastAsia="en-AU"/>
        </w:rPr>
        <w:t xml:space="preserve">MidCentral adults aged 65 and over, or </w:t>
      </w:r>
      <w:r w:rsidRPr="00150CD2">
        <w:rPr>
          <w:rFonts w:cs="Arial"/>
          <w:lang w:eastAsia="en-AU"/>
        </w:rPr>
        <w:t>some subgroups</w:t>
      </w:r>
      <w:r w:rsidR="00717934" w:rsidRPr="00150CD2">
        <w:rPr>
          <w:rFonts w:cs="Arial"/>
          <w:lang w:eastAsia="en-AU"/>
        </w:rPr>
        <w:t xml:space="preserve"> within this population</w:t>
      </w:r>
      <w:r w:rsidRPr="00150CD2">
        <w:rPr>
          <w:rFonts w:cs="Arial"/>
          <w:lang w:eastAsia="en-AU"/>
        </w:rPr>
        <w:t>.</w:t>
      </w:r>
    </w:p>
    <w:tbl>
      <w:tblPr>
        <w:tblStyle w:val="TableGrid"/>
        <w:tblW w:w="0" w:type="auto"/>
        <w:tblCellMar>
          <w:top w:w="28" w:type="dxa"/>
          <w:left w:w="86" w:type="dxa"/>
          <w:bottom w:w="28" w:type="dxa"/>
          <w:right w:w="86" w:type="dxa"/>
        </w:tblCellMar>
        <w:tblLook w:val="04A0" w:firstRow="1" w:lastRow="0" w:firstColumn="1" w:lastColumn="0" w:noHBand="0" w:noVBand="1"/>
      </w:tblPr>
      <w:tblGrid>
        <w:gridCol w:w="1520"/>
        <w:gridCol w:w="1880"/>
        <w:gridCol w:w="10544"/>
      </w:tblGrid>
      <w:tr w:rsidR="00C47612" w:rsidRPr="00150CD2" w14:paraId="64A90F37" w14:textId="77777777" w:rsidTr="00336432">
        <w:trPr>
          <w:tblHeader/>
        </w:trPr>
        <w:tc>
          <w:tcPr>
            <w:tcW w:w="1323" w:type="dxa"/>
            <w:tcBorders>
              <w:bottom w:val="single" w:sz="4" w:space="0" w:color="auto"/>
            </w:tcBorders>
            <w:shd w:val="clear" w:color="auto" w:fill="F2F2F2" w:themeFill="background1" w:themeFillShade="F2"/>
          </w:tcPr>
          <w:p w14:paraId="16BED676" w14:textId="77777777" w:rsidR="00C47612" w:rsidRPr="00150CD2" w:rsidRDefault="00C47612" w:rsidP="00A64F72">
            <w:pPr>
              <w:pStyle w:val="EYTableHeading"/>
              <w:rPr>
                <w:rFonts w:cs="Arial"/>
                <w:sz w:val="24"/>
              </w:rPr>
            </w:pPr>
            <w:r w:rsidRPr="00150CD2">
              <w:rPr>
                <w:rFonts w:cs="Arial"/>
                <w:sz w:val="24"/>
              </w:rPr>
              <w:t>Perspective</w:t>
            </w:r>
          </w:p>
        </w:tc>
        <w:tc>
          <w:tcPr>
            <w:tcW w:w="1872" w:type="dxa"/>
            <w:shd w:val="clear" w:color="auto" w:fill="F2F2F2" w:themeFill="background1" w:themeFillShade="F2"/>
          </w:tcPr>
          <w:p w14:paraId="32361CBF" w14:textId="77777777" w:rsidR="00C47612" w:rsidRPr="00150CD2" w:rsidRDefault="00C47612" w:rsidP="00A64F72">
            <w:pPr>
              <w:pStyle w:val="EYTableHeading"/>
              <w:rPr>
                <w:rFonts w:cs="Arial"/>
                <w:sz w:val="24"/>
              </w:rPr>
            </w:pPr>
            <w:r w:rsidRPr="00150CD2">
              <w:rPr>
                <w:rFonts w:cs="Arial"/>
                <w:sz w:val="24"/>
              </w:rPr>
              <w:t>Indicators</w:t>
            </w:r>
          </w:p>
        </w:tc>
        <w:tc>
          <w:tcPr>
            <w:tcW w:w="10699" w:type="dxa"/>
            <w:shd w:val="clear" w:color="auto" w:fill="F2F2F2" w:themeFill="background1" w:themeFillShade="F2"/>
          </w:tcPr>
          <w:p w14:paraId="60F9A7D9" w14:textId="08E0F6F6" w:rsidR="00C47612" w:rsidRPr="00150CD2" w:rsidRDefault="00C47612" w:rsidP="00A64F72">
            <w:pPr>
              <w:pStyle w:val="EYTableHeading"/>
              <w:rPr>
                <w:rFonts w:cs="Arial"/>
                <w:sz w:val="24"/>
              </w:rPr>
            </w:pPr>
            <w:r w:rsidRPr="00150CD2">
              <w:rPr>
                <w:rFonts w:cs="Arial"/>
                <w:sz w:val="24"/>
              </w:rPr>
              <w:t xml:space="preserve">Insights for adults aged </w:t>
            </w:r>
            <w:r w:rsidR="00BE6223" w:rsidRPr="00150CD2">
              <w:rPr>
                <w:rFonts w:cs="Arial"/>
                <w:sz w:val="24"/>
              </w:rPr>
              <w:t xml:space="preserve">65 and older </w:t>
            </w:r>
            <w:r w:rsidRPr="00150CD2">
              <w:rPr>
                <w:rFonts w:cs="Arial"/>
                <w:sz w:val="24"/>
              </w:rPr>
              <w:t xml:space="preserve">allocated DSS </w:t>
            </w:r>
            <w:r w:rsidR="00625A79" w:rsidRPr="00150CD2">
              <w:rPr>
                <w:rFonts w:cs="Arial"/>
                <w:sz w:val="24"/>
              </w:rPr>
              <w:t xml:space="preserve">over the year to 30 June 2018 </w:t>
            </w:r>
            <w:r w:rsidRPr="00150CD2">
              <w:rPr>
                <w:rFonts w:cs="Arial"/>
                <w:sz w:val="24"/>
              </w:rPr>
              <w:t xml:space="preserve">in MidCentral, compared to other people in MidCentral and other DSS people outside MidCentral – outcomes and service contact indicators over </w:t>
            </w:r>
            <w:r w:rsidR="00625A79" w:rsidRPr="00150CD2">
              <w:rPr>
                <w:rFonts w:cs="Arial"/>
                <w:sz w:val="24"/>
              </w:rPr>
              <w:t>the 3 years to 30 June 2018</w:t>
            </w:r>
          </w:p>
        </w:tc>
      </w:tr>
      <w:tr w:rsidR="00B03049" w:rsidRPr="00150CD2" w14:paraId="028C457A" w14:textId="77777777" w:rsidTr="00336432">
        <w:tc>
          <w:tcPr>
            <w:tcW w:w="1323" w:type="dxa"/>
            <w:tcBorders>
              <w:bottom w:val="nil"/>
            </w:tcBorders>
          </w:tcPr>
          <w:p w14:paraId="44B99396" w14:textId="77777777" w:rsidR="00B03049" w:rsidRPr="00150CD2" w:rsidRDefault="00B03049" w:rsidP="00B03049">
            <w:pPr>
              <w:pStyle w:val="EYTableText"/>
              <w:rPr>
                <w:rFonts w:cs="Arial"/>
                <w:sz w:val="24"/>
              </w:rPr>
            </w:pPr>
            <w:r w:rsidRPr="00150CD2">
              <w:rPr>
                <w:rFonts w:cs="Arial"/>
                <w:sz w:val="24"/>
              </w:rPr>
              <w:t>Adult</w:t>
            </w:r>
          </w:p>
        </w:tc>
        <w:tc>
          <w:tcPr>
            <w:tcW w:w="1872" w:type="dxa"/>
          </w:tcPr>
          <w:p w14:paraId="1E5FBCD5" w14:textId="396EDEE2" w:rsidR="00B03049" w:rsidRPr="00150CD2" w:rsidRDefault="00B03049" w:rsidP="00B03049">
            <w:pPr>
              <w:pStyle w:val="EYTableText"/>
              <w:rPr>
                <w:rFonts w:cs="Arial"/>
                <w:sz w:val="24"/>
              </w:rPr>
            </w:pPr>
            <w:r w:rsidRPr="00150CD2">
              <w:rPr>
                <w:rFonts w:cs="Arial"/>
                <w:sz w:val="24"/>
              </w:rPr>
              <w:t xml:space="preserve">Ambulatory sensitive hospitalisations, </w:t>
            </w:r>
            <w:r w:rsidR="002F7F2D" w:rsidRPr="00150CD2">
              <w:rPr>
                <w:rFonts w:cs="Arial"/>
                <w:sz w:val="24"/>
              </w:rPr>
              <w:t xml:space="preserve">injury related </w:t>
            </w:r>
            <w:r w:rsidRPr="00150CD2">
              <w:rPr>
                <w:rFonts w:cs="Arial"/>
                <w:sz w:val="24"/>
              </w:rPr>
              <w:t>ED contacts and hospitalisations</w:t>
            </w:r>
            <w:r w:rsidRPr="00150CD2">
              <w:rPr>
                <w:rStyle w:val="CommentReference"/>
                <w:rFonts w:cs="Arial"/>
                <w:sz w:val="24"/>
                <w:szCs w:val="24"/>
              </w:rPr>
              <w:t xml:space="preserve"> </w:t>
            </w:r>
          </w:p>
        </w:tc>
        <w:tc>
          <w:tcPr>
            <w:tcW w:w="10699" w:type="dxa"/>
            <w:shd w:val="clear" w:color="auto" w:fill="auto"/>
          </w:tcPr>
          <w:p w14:paraId="60902687" w14:textId="099B0F93" w:rsidR="00B03049" w:rsidRPr="00150CD2" w:rsidRDefault="00525759" w:rsidP="00D143A9">
            <w:pPr>
              <w:pStyle w:val="EYTableText"/>
              <w:spacing w:before="0" w:after="120"/>
              <w:rPr>
                <w:rFonts w:cs="Arial"/>
                <w:sz w:val="24"/>
              </w:rPr>
            </w:pPr>
            <w:r w:rsidRPr="00150CD2">
              <w:rPr>
                <w:rFonts w:cs="Arial"/>
                <w:sz w:val="24"/>
              </w:rPr>
              <w:t xml:space="preserve">Around </w:t>
            </w:r>
            <w:r w:rsidR="00B03049" w:rsidRPr="00150CD2">
              <w:rPr>
                <w:rFonts w:cs="Arial"/>
                <w:sz w:val="24"/>
              </w:rPr>
              <w:t>1 in 4 MidCentral DSS adults aged 65 and over (</w:t>
            </w:r>
            <w:r w:rsidRPr="00150CD2">
              <w:rPr>
                <w:rFonts w:cs="Arial"/>
                <w:sz w:val="24"/>
              </w:rPr>
              <w:t>22</w:t>
            </w:r>
            <w:r w:rsidR="00B03049" w:rsidRPr="00150CD2">
              <w:rPr>
                <w:rFonts w:cs="Arial"/>
                <w:sz w:val="24"/>
              </w:rPr>
              <w:t xml:space="preserve">%) had ambulatory sensitive hospitalisations (ASHs) over </w:t>
            </w:r>
            <w:r w:rsidR="004552DE" w:rsidRPr="00150CD2">
              <w:rPr>
                <w:rFonts w:cs="Arial"/>
                <w:sz w:val="24"/>
              </w:rPr>
              <w:t>the 3 years to June 2018</w:t>
            </w:r>
            <w:r w:rsidR="00B03049" w:rsidRPr="00150CD2">
              <w:rPr>
                <w:rFonts w:cs="Arial"/>
                <w:sz w:val="24"/>
              </w:rPr>
              <w:t>. This rate was similar to that of the national DSS population</w:t>
            </w:r>
            <w:r w:rsidR="003C76E7" w:rsidRPr="00150CD2">
              <w:rPr>
                <w:rFonts w:cs="Arial"/>
                <w:sz w:val="24"/>
              </w:rPr>
              <w:t xml:space="preserve"> aged 65 and over</w:t>
            </w:r>
            <w:r w:rsidR="00B03049" w:rsidRPr="00150CD2">
              <w:rPr>
                <w:rFonts w:cs="Arial"/>
                <w:sz w:val="24"/>
              </w:rPr>
              <w:t>, and higher than the broader MidCentral adult population aged 65 and over (15% had ASHs over the same period).</w:t>
            </w:r>
          </w:p>
          <w:p w14:paraId="1522F8C4" w14:textId="61C7A7C0" w:rsidR="00B03049" w:rsidRPr="00150CD2" w:rsidRDefault="00B03049" w:rsidP="00D143A9">
            <w:pPr>
              <w:pStyle w:val="EYTablebullet1"/>
              <w:spacing w:before="0" w:after="120"/>
              <w:rPr>
                <w:rFonts w:cs="Arial"/>
                <w:sz w:val="24"/>
              </w:rPr>
            </w:pPr>
            <w:r w:rsidRPr="00150CD2">
              <w:rPr>
                <w:rFonts w:cs="Arial"/>
                <w:sz w:val="24"/>
              </w:rPr>
              <w:t xml:space="preserve">As for younger </w:t>
            </w:r>
            <w:r w:rsidR="00A365AD" w:rsidRPr="00150CD2">
              <w:rPr>
                <w:rFonts w:cs="Arial"/>
                <w:sz w:val="24"/>
              </w:rPr>
              <w:t xml:space="preserve">adults </w:t>
            </w:r>
            <w:r w:rsidR="00CB7B7A" w:rsidRPr="00150CD2">
              <w:rPr>
                <w:rFonts w:cs="Arial"/>
                <w:sz w:val="24"/>
              </w:rPr>
              <w:t>in M</w:t>
            </w:r>
            <w:r w:rsidR="00A365AD" w:rsidRPr="00150CD2">
              <w:rPr>
                <w:rFonts w:cs="Arial"/>
                <w:sz w:val="24"/>
              </w:rPr>
              <w:t>idCentral</w:t>
            </w:r>
            <w:r w:rsidRPr="00150CD2">
              <w:rPr>
                <w:rFonts w:cs="Arial"/>
                <w:sz w:val="24"/>
              </w:rPr>
              <w:t>, ASH rates were higher for those with intellectual disabilities (</w:t>
            </w:r>
            <w:r w:rsidR="00525759" w:rsidRPr="00150CD2">
              <w:rPr>
                <w:rFonts w:cs="Arial"/>
                <w:sz w:val="24"/>
              </w:rPr>
              <w:t>33</w:t>
            </w:r>
            <w:r w:rsidRPr="00150CD2">
              <w:rPr>
                <w:rFonts w:cs="Arial"/>
                <w:sz w:val="24"/>
              </w:rPr>
              <w:t xml:space="preserve">% </w:t>
            </w:r>
            <w:r w:rsidR="00E12049" w:rsidRPr="00150CD2">
              <w:rPr>
                <w:rFonts w:cs="Arial"/>
                <w:sz w:val="24"/>
              </w:rPr>
              <w:t>compared with</w:t>
            </w:r>
            <w:r w:rsidRPr="00150CD2">
              <w:rPr>
                <w:rFonts w:cs="Arial"/>
                <w:sz w:val="24"/>
              </w:rPr>
              <w:t xml:space="preserve"> </w:t>
            </w:r>
            <w:r w:rsidR="00525759" w:rsidRPr="00150CD2">
              <w:rPr>
                <w:rFonts w:cs="Arial"/>
                <w:sz w:val="24"/>
              </w:rPr>
              <w:t>26</w:t>
            </w:r>
            <w:r w:rsidRPr="00150CD2">
              <w:rPr>
                <w:rFonts w:cs="Arial"/>
                <w:sz w:val="24"/>
              </w:rPr>
              <w:t xml:space="preserve">% for those with physical disability) and </w:t>
            </w:r>
            <w:r w:rsidR="00DF5F17" w:rsidRPr="00150CD2">
              <w:rPr>
                <w:rFonts w:cs="Arial"/>
                <w:sz w:val="24"/>
              </w:rPr>
              <w:t>high/very high SPA</w:t>
            </w:r>
            <w:r w:rsidRPr="00150CD2">
              <w:rPr>
                <w:rFonts w:cs="Arial"/>
                <w:sz w:val="24"/>
              </w:rPr>
              <w:t xml:space="preserve"> levels (30% </w:t>
            </w:r>
            <w:r w:rsidR="00E12049" w:rsidRPr="00150CD2">
              <w:rPr>
                <w:rFonts w:cs="Arial"/>
                <w:sz w:val="24"/>
              </w:rPr>
              <w:t>compared with</w:t>
            </w:r>
            <w:r w:rsidRPr="00150CD2">
              <w:rPr>
                <w:rFonts w:cs="Arial"/>
                <w:sz w:val="24"/>
              </w:rPr>
              <w:t xml:space="preserve"> </w:t>
            </w:r>
            <w:r w:rsidR="00525759" w:rsidRPr="00150CD2">
              <w:rPr>
                <w:rFonts w:cs="Arial"/>
                <w:sz w:val="24"/>
              </w:rPr>
              <w:t>13</w:t>
            </w:r>
            <w:r w:rsidRPr="00150CD2">
              <w:rPr>
                <w:rFonts w:cs="Arial"/>
                <w:sz w:val="24"/>
              </w:rPr>
              <w:t>% for lower SPA levels).</w:t>
            </w:r>
          </w:p>
          <w:p w14:paraId="28A85265" w14:textId="13854571" w:rsidR="00B03049" w:rsidRPr="00150CD2" w:rsidRDefault="002F7F2D" w:rsidP="00D143A9">
            <w:pPr>
              <w:pStyle w:val="EYTableText"/>
              <w:spacing w:before="0" w:after="120"/>
              <w:rPr>
                <w:rFonts w:cs="Arial"/>
                <w:sz w:val="24"/>
              </w:rPr>
            </w:pPr>
            <w:r w:rsidRPr="00150CD2">
              <w:rPr>
                <w:rFonts w:cs="Arial"/>
                <w:sz w:val="24"/>
              </w:rPr>
              <w:br/>
            </w:r>
            <w:r w:rsidR="00525759" w:rsidRPr="00150CD2">
              <w:rPr>
                <w:rFonts w:cs="Arial"/>
                <w:sz w:val="24"/>
              </w:rPr>
              <w:t xml:space="preserve">Injury related </w:t>
            </w:r>
            <w:r w:rsidR="00B03049" w:rsidRPr="00150CD2">
              <w:rPr>
                <w:rFonts w:cs="Arial"/>
                <w:sz w:val="24"/>
              </w:rPr>
              <w:t xml:space="preserve">ED </w:t>
            </w:r>
            <w:r w:rsidR="00EA78B6" w:rsidRPr="00150CD2">
              <w:rPr>
                <w:rFonts w:cs="Arial"/>
                <w:sz w:val="24"/>
              </w:rPr>
              <w:t xml:space="preserve">visits </w:t>
            </w:r>
            <w:r w:rsidR="00B03049" w:rsidRPr="00150CD2">
              <w:rPr>
                <w:rFonts w:cs="Arial"/>
                <w:sz w:val="24"/>
              </w:rPr>
              <w:t xml:space="preserve">and hospitalisation rates were similar to those of middle aged </w:t>
            </w:r>
            <w:r w:rsidR="00525759" w:rsidRPr="00150CD2">
              <w:rPr>
                <w:rFonts w:cs="Arial"/>
                <w:sz w:val="24"/>
              </w:rPr>
              <w:t xml:space="preserve">MidCentral DSS </w:t>
            </w:r>
            <w:r w:rsidR="00B03049" w:rsidRPr="00150CD2">
              <w:rPr>
                <w:rFonts w:cs="Arial"/>
                <w:sz w:val="24"/>
              </w:rPr>
              <w:t xml:space="preserve">adults </w:t>
            </w:r>
            <w:r w:rsidR="007F1198" w:rsidRPr="00150CD2">
              <w:rPr>
                <w:rFonts w:cs="Arial"/>
                <w:sz w:val="24"/>
              </w:rPr>
              <w:t xml:space="preserve">(aged 26-64), </w:t>
            </w:r>
            <w:r w:rsidR="00625A79" w:rsidRPr="00150CD2">
              <w:rPr>
                <w:rFonts w:cs="Arial"/>
                <w:sz w:val="24"/>
              </w:rPr>
              <w:t xml:space="preserve">and </w:t>
            </w:r>
            <w:r w:rsidR="007E3419" w:rsidRPr="00150CD2">
              <w:rPr>
                <w:rFonts w:cs="Arial"/>
                <w:sz w:val="24"/>
              </w:rPr>
              <w:t xml:space="preserve">other </w:t>
            </w:r>
            <w:r w:rsidR="007F1198" w:rsidRPr="00150CD2">
              <w:rPr>
                <w:rFonts w:cs="Arial"/>
                <w:sz w:val="24"/>
              </w:rPr>
              <w:t>adults aged 65 and over in MidCentral</w:t>
            </w:r>
            <w:r w:rsidR="007E3419" w:rsidRPr="00150CD2">
              <w:rPr>
                <w:rFonts w:cs="Arial"/>
                <w:sz w:val="24"/>
              </w:rPr>
              <w:t xml:space="preserve"> who are not DSS clients. </w:t>
            </w:r>
            <w:r w:rsidR="00EA78B6" w:rsidRPr="00150CD2">
              <w:rPr>
                <w:rFonts w:cs="Arial"/>
                <w:sz w:val="24"/>
              </w:rPr>
              <w:t>They were also lower than those experienced by other DSS clients aged 65 and over outside MidCentral.</w:t>
            </w:r>
          </w:p>
          <w:p w14:paraId="5C6DB54C" w14:textId="5701D876" w:rsidR="00B03049" w:rsidRPr="00150CD2" w:rsidRDefault="00525759" w:rsidP="00D143A9">
            <w:pPr>
              <w:pStyle w:val="EYTablebullet1"/>
              <w:spacing w:before="0" w:after="120"/>
              <w:rPr>
                <w:rFonts w:cs="Arial"/>
                <w:sz w:val="24"/>
              </w:rPr>
            </w:pPr>
            <w:r w:rsidRPr="00150CD2">
              <w:rPr>
                <w:rFonts w:cs="Arial"/>
                <w:sz w:val="24"/>
              </w:rPr>
              <w:t>17</w:t>
            </w:r>
            <w:r w:rsidR="00B03049" w:rsidRPr="00150CD2">
              <w:rPr>
                <w:rFonts w:cs="Arial"/>
                <w:sz w:val="24"/>
              </w:rPr>
              <w:t xml:space="preserve">% of the MidCentral DSS population aged 65 and older had </w:t>
            </w:r>
            <w:r w:rsidR="00625A79" w:rsidRPr="00150CD2">
              <w:rPr>
                <w:rFonts w:cs="Arial"/>
                <w:sz w:val="24"/>
              </w:rPr>
              <w:t xml:space="preserve">injury </w:t>
            </w:r>
            <w:r w:rsidR="00B03049" w:rsidRPr="00150CD2">
              <w:rPr>
                <w:rFonts w:cs="Arial"/>
                <w:sz w:val="24"/>
              </w:rPr>
              <w:t xml:space="preserve">related ED </w:t>
            </w:r>
            <w:r w:rsidR="00EA78B6" w:rsidRPr="00150CD2">
              <w:rPr>
                <w:rFonts w:cs="Arial"/>
                <w:sz w:val="24"/>
              </w:rPr>
              <w:t>visits</w:t>
            </w:r>
            <w:r w:rsidR="00C81579" w:rsidRPr="00150CD2">
              <w:rPr>
                <w:rFonts w:cs="Arial"/>
                <w:sz w:val="24"/>
              </w:rPr>
              <w:t xml:space="preserve"> </w:t>
            </w:r>
            <w:r w:rsidR="00B03049" w:rsidRPr="00150CD2">
              <w:rPr>
                <w:rFonts w:cs="Arial"/>
                <w:sz w:val="24"/>
              </w:rPr>
              <w:t>over a 3 year period</w:t>
            </w:r>
            <w:r w:rsidR="00EA78B6" w:rsidRPr="00150CD2">
              <w:rPr>
                <w:rFonts w:cs="Arial"/>
                <w:sz w:val="24"/>
              </w:rPr>
              <w:t>, comparing with 14% of MidCentral non-DSS adults aged 65 and over.</w:t>
            </w:r>
            <w:r w:rsidR="00B03049" w:rsidRPr="00150CD2">
              <w:rPr>
                <w:rFonts w:cs="Arial"/>
                <w:sz w:val="24"/>
              </w:rPr>
              <w:t xml:space="preserve"> </w:t>
            </w:r>
            <w:r w:rsidR="007E3419" w:rsidRPr="00150CD2">
              <w:rPr>
                <w:rFonts w:cs="Arial"/>
                <w:sz w:val="24"/>
              </w:rPr>
              <w:t xml:space="preserve">Within the MidCentral DSS group, </w:t>
            </w:r>
            <w:r w:rsidR="006C0AE5" w:rsidRPr="00150CD2">
              <w:rPr>
                <w:rFonts w:cs="Arial"/>
                <w:sz w:val="24"/>
              </w:rPr>
              <w:t>injury related ED contact r</w:t>
            </w:r>
            <w:r w:rsidR="00B03049" w:rsidRPr="00150CD2">
              <w:rPr>
                <w:rFonts w:cs="Arial"/>
                <w:sz w:val="24"/>
              </w:rPr>
              <w:t xml:space="preserve">ates were </w:t>
            </w:r>
            <w:r w:rsidR="006C0AE5" w:rsidRPr="00150CD2">
              <w:rPr>
                <w:rFonts w:cs="Arial"/>
                <w:sz w:val="24"/>
              </w:rPr>
              <w:t xml:space="preserve">slightly higher for men (23%) and those with intellectual disability (25%). </w:t>
            </w:r>
            <w:r w:rsidR="00570211" w:rsidRPr="00150CD2">
              <w:rPr>
                <w:rFonts w:cs="Arial"/>
                <w:sz w:val="24"/>
              </w:rPr>
              <w:br/>
              <w:t xml:space="preserve">Over the same period, </w:t>
            </w:r>
            <w:r w:rsidR="00EA78B6" w:rsidRPr="00150CD2">
              <w:rPr>
                <w:rFonts w:cs="Arial"/>
                <w:sz w:val="24"/>
              </w:rPr>
              <w:t>23% of DSS adult aged 65 and over outside MidCentral had injury related ED contacts.</w:t>
            </w:r>
          </w:p>
          <w:p w14:paraId="32E12968" w14:textId="09013361" w:rsidR="007E3419" w:rsidRPr="00150CD2" w:rsidRDefault="007E3419" w:rsidP="00D143A9">
            <w:pPr>
              <w:pStyle w:val="EYTablebullet1"/>
              <w:spacing w:before="0" w:after="120"/>
              <w:rPr>
                <w:rFonts w:cs="Arial"/>
                <w:sz w:val="24"/>
              </w:rPr>
            </w:pPr>
            <w:r w:rsidRPr="00150CD2">
              <w:rPr>
                <w:rFonts w:cs="Arial"/>
                <w:sz w:val="24"/>
              </w:rPr>
              <w:t xml:space="preserve">8% </w:t>
            </w:r>
            <w:r w:rsidR="00B75642" w:rsidRPr="00150CD2">
              <w:rPr>
                <w:rFonts w:cs="Arial"/>
                <w:sz w:val="24"/>
              </w:rPr>
              <w:t xml:space="preserve">of the MidCentral DSS population </w:t>
            </w:r>
            <w:r w:rsidRPr="00150CD2">
              <w:rPr>
                <w:rFonts w:cs="Arial"/>
                <w:sz w:val="24"/>
              </w:rPr>
              <w:t>had injury related hospital admissions</w:t>
            </w:r>
            <w:r w:rsidR="00570211" w:rsidRPr="00150CD2">
              <w:rPr>
                <w:rFonts w:cs="Arial"/>
                <w:sz w:val="24"/>
              </w:rPr>
              <w:t xml:space="preserve"> over a 3 year period</w:t>
            </w:r>
            <w:r w:rsidR="00EA78B6" w:rsidRPr="00150CD2">
              <w:rPr>
                <w:rFonts w:cs="Arial"/>
                <w:sz w:val="24"/>
              </w:rPr>
              <w:t>, a similar rate to that of MidCentral non-DSS adults aged 65 and over (8%). Over the same period, 14% of DSS adults aged 65 and over outside MidCentral had injury related hospital admissions.</w:t>
            </w:r>
          </w:p>
          <w:p w14:paraId="3E3CDF71" w14:textId="4DE299EB" w:rsidR="00B03049" w:rsidRPr="00150CD2" w:rsidRDefault="002F7F2D" w:rsidP="00D143A9">
            <w:pPr>
              <w:pStyle w:val="EYTableText"/>
              <w:spacing w:before="0" w:after="120"/>
              <w:rPr>
                <w:rFonts w:cs="Arial"/>
                <w:sz w:val="24"/>
              </w:rPr>
            </w:pPr>
            <w:r w:rsidRPr="00150CD2">
              <w:rPr>
                <w:rFonts w:cs="Arial"/>
                <w:sz w:val="24"/>
              </w:rPr>
              <w:br/>
            </w:r>
            <w:r w:rsidR="00B03049" w:rsidRPr="00150CD2">
              <w:rPr>
                <w:rFonts w:cs="Arial"/>
                <w:sz w:val="24"/>
              </w:rPr>
              <w:t>8% of MidCentral DSS adults aged 65 and over had one of eight major chronic conditions/significant health events identified by the Ministry (coronary heart disease, gout, chronic obstructive pulmonary disease, diabetes, cancer, stroke, traumatic brain injury and acute myocardial infarction). This is similar to chronic condition rates in both the national DSS and broader non-DSS population</w:t>
            </w:r>
            <w:r w:rsidR="003C76E7" w:rsidRPr="00150CD2">
              <w:rPr>
                <w:rFonts w:cs="Arial"/>
                <w:sz w:val="24"/>
              </w:rPr>
              <w:t>, although it is important to note that the number of MidCentral DSS clients with chronic conditions is small and rates may vary over time</w:t>
            </w:r>
            <w:r w:rsidR="001A02CE" w:rsidRPr="00150CD2">
              <w:rPr>
                <w:rFonts w:cs="Arial"/>
                <w:sz w:val="24"/>
              </w:rPr>
              <w:t>. (Note this comparison is not age standardised – chronic conditions rates may differ for specific age groups post age 65.)</w:t>
            </w:r>
          </w:p>
          <w:p w14:paraId="5D6B9050" w14:textId="76D6DC02" w:rsidR="001661C2" w:rsidRPr="00150CD2" w:rsidRDefault="001661C2" w:rsidP="00D143A9">
            <w:pPr>
              <w:pStyle w:val="EYTablebullet1"/>
              <w:spacing w:before="0" w:after="120"/>
              <w:rPr>
                <w:rFonts w:cs="Arial"/>
                <w:sz w:val="24"/>
              </w:rPr>
            </w:pPr>
            <w:r w:rsidRPr="00150CD2">
              <w:rPr>
                <w:rFonts w:cs="Arial"/>
                <w:sz w:val="24"/>
              </w:rPr>
              <w:t>Within the MidCentral DSS group, women and people with physical and other non-intellectual disabilities experienced higher rates of chronic conditions (13%</w:t>
            </w:r>
            <w:r w:rsidR="00EA78B6" w:rsidRPr="00150CD2">
              <w:rPr>
                <w:rFonts w:cs="Arial"/>
                <w:sz w:val="24"/>
              </w:rPr>
              <w:t xml:space="preserve"> in </w:t>
            </w:r>
            <w:r w:rsidR="005D4A47" w:rsidRPr="00150CD2">
              <w:rPr>
                <w:rFonts w:cs="Arial"/>
                <w:sz w:val="24"/>
              </w:rPr>
              <w:t>both groups</w:t>
            </w:r>
            <w:r w:rsidRPr="00150CD2">
              <w:rPr>
                <w:rFonts w:cs="Arial"/>
                <w:sz w:val="24"/>
              </w:rPr>
              <w:t xml:space="preserve"> having one or more chronic conditions). </w:t>
            </w:r>
          </w:p>
        </w:tc>
      </w:tr>
      <w:tr w:rsidR="00B03049" w:rsidRPr="00150CD2" w14:paraId="55CE8643" w14:textId="77777777" w:rsidTr="00336432">
        <w:tc>
          <w:tcPr>
            <w:tcW w:w="1323" w:type="dxa"/>
            <w:tcBorders>
              <w:top w:val="nil"/>
              <w:bottom w:val="nil"/>
            </w:tcBorders>
          </w:tcPr>
          <w:p w14:paraId="5A5208D3" w14:textId="77777777" w:rsidR="00B03049" w:rsidRPr="00150CD2" w:rsidRDefault="00B03049" w:rsidP="00B03049">
            <w:pPr>
              <w:pStyle w:val="EYTableText"/>
              <w:rPr>
                <w:rFonts w:cs="Arial"/>
                <w:sz w:val="24"/>
              </w:rPr>
            </w:pPr>
          </w:p>
        </w:tc>
        <w:tc>
          <w:tcPr>
            <w:tcW w:w="1872" w:type="dxa"/>
          </w:tcPr>
          <w:p w14:paraId="182966A4" w14:textId="510DCD25" w:rsidR="00B03049" w:rsidRPr="00150CD2" w:rsidRDefault="006D71F0" w:rsidP="00B03049">
            <w:pPr>
              <w:pStyle w:val="EYTableText"/>
              <w:rPr>
                <w:rFonts w:cs="Arial"/>
                <w:sz w:val="24"/>
              </w:rPr>
            </w:pPr>
            <w:r w:rsidRPr="00150CD2">
              <w:rPr>
                <w:rFonts w:cs="Arial"/>
                <w:sz w:val="24"/>
              </w:rPr>
              <w:t>R</w:t>
            </w:r>
            <w:r w:rsidR="00C22B51" w:rsidRPr="00150CD2">
              <w:rPr>
                <w:rFonts w:cs="Arial"/>
                <w:sz w:val="24"/>
              </w:rPr>
              <w:t xml:space="preserve">esidential </w:t>
            </w:r>
            <w:r w:rsidR="00EC399C" w:rsidRPr="00150CD2">
              <w:rPr>
                <w:rFonts w:cs="Arial"/>
                <w:sz w:val="24"/>
              </w:rPr>
              <w:t>services</w:t>
            </w:r>
          </w:p>
        </w:tc>
        <w:tc>
          <w:tcPr>
            <w:tcW w:w="10699" w:type="dxa"/>
            <w:shd w:val="clear" w:color="auto" w:fill="auto"/>
          </w:tcPr>
          <w:p w14:paraId="6E469B88" w14:textId="519F97FF" w:rsidR="00B03049" w:rsidRPr="00150CD2" w:rsidRDefault="00525759" w:rsidP="00D143A9">
            <w:pPr>
              <w:pStyle w:val="EYTablebullet1"/>
              <w:spacing w:before="0" w:after="120"/>
              <w:rPr>
                <w:rFonts w:cs="Arial"/>
                <w:sz w:val="24"/>
              </w:rPr>
            </w:pPr>
            <w:r w:rsidRPr="00150CD2">
              <w:rPr>
                <w:rFonts w:cs="Arial"/>
                <w:sz w:val="24"/>
              </w:rPr>
              <w:t>39</w:t>
            </w:r>
            <w:r w:rsidR="00B03049" w:rsidRPr="00150CD2">
              <w:rPr>
                <w:rFonts w:cs="Arial"/>
                <w:sz w:val="24"/>
              </w:rPr>
              <w:t xml:space="preserve">% of MidCentral DSS adults aged 65 and older </w:t>
            </w:r>
            <w:r w:rsidRPr="00150CD2">
              <w:rPr>
                <w:rFonts w:cs="Arial"/>
                <w:sz w:val="24"/>
              </w:rPr>
              <w:t xml:space="preserve">were allocated </w:t>
            </w:r>
            <w:r w:rsidR="00B03049" w:rsidRPr="00150CD2">
              <w:rPr>
                <w:rFonts w:cs="Arial"/>
                <w:sz w:val="24"/>
              </w:rPr>
              <w:t xml:space="preserve">residential services </w:t>
            </w:r>
            <w:r w:rsidRPr="00150CD2">
              <w:rPr>
                <w:rFonts w:cs="Arial"/>
                <w:sz w:val="24"/>
              </w:rPr>
              <w:t>over the year to 30</w:t>
            </w:r>
            <w:r w:rsidR="00B03049" w:rsidRPr="00150CD2">
              <w:rPr>
                <w:rFonts w:cs="Arial"/>
                <w:sz w:val="24"/>
              </w:rPr>
              <w:t xml:space="preserve"> June 2018, with </w:t>
            </w:r>
            <w:r w:rsidRPr="00150CD2">
              <w:rPr>
                <w:rFonts w:cs="Arial"/>
                <w:sz w:val="24"/>
              </w:rPr>
              <w:t>6% transitioning</w:t>
            </w:r>
            <w:r w:rsidR="00B03049" w:rsidRPr="00150CD2">
              <w:rPr>
                <w:rFonts w:cs="Arial"/>
                <w:sz w:val="24"/>
              </w:rPr>
              <w:t xml:space="preserve"> into residential </w:t>
            </w:r>
            <w:r w:rsidR="00861F92" w:rsidRPr="00150CD2">
              <w:rPr>
                <w:rFonts w:cs="Arial"/>
                <w:sz w:val="24"/>
              </w:rPr>
              <w:t xml:space="preserve">services </w:t>
            </w:r>
            <w:r w:rsidRPr="00150CD2">
              <w:rPr>
                <w:rFonts w:cs="Arial"/>
                <w:sz w:val="24"/>
              </w:rPr>
              <w:t>for the first time</w:t>
            </w:r>
            <w:r w:rsidR="00861F92" w:rsidRPr="00150CD2">
              <w:rPr>
                <w:rFonts w:cs="Arial"/>
                <w:sz w:val="24"/>
              </w:rPr>
              <w:t xml:space="preserve"> </w:t>
            </w:r>
            <w:r w:rsidR="00B03049" w:rsidRPr="00150CD2">
              <w:rPr>
                <w:rFonts w:cs="Arial"/>
                <w:sz w:val="24"/>
              </w:rPr>
              <w:t xml:space="preserve">during </w:t>
            </w:r>
            <w:r w:rsidRPr="00150CD2">
              <w:rPr>
                <w:rFonts w:cs="Arial"/>
                <w:sz w:val="24"/>
              </w:rPr>
              <w:t xml:space="preserve">the 3 years to June 2018. This was higher than the transition rate for DSS adults aged 65 plus outside MidCentral (2% transitioned into residential </w:t>
            </w:r>
            <w:r w:rsidR="00EC399C" w:rsidRPr="00150CD2">
              <w:rPr>
                <w:rFonts w:cs="Arial"/>
                <w:sz w:val="24"/>
              </w:rPr>
              <w:t xml:space="preserve">services </w:t>
            </w:r>
            <w:r w:rsidRPr="00150CD2">
              <w:rPr>
                <w:rFonts w:cs="Arial"/>
                <w:sz w:val="24"/>
              </w:rPr>
              <w:t>over the same period).</w:t>
            </w:r>
            <w:r w:rsidR="00B03049" w:rsidRPr="00150CD2">
              <w:rPr>
                <w:rFonts w:cs="Arial"/>
                <w:sz w:val="24"/>
              </w:rPr>
              <w:t xml:space="preserve"> </w:t>
            </w:r>
          </w:p>
          <w:p w14:paraId="32B7F213" w14:textId="28D27553" w:rsidR="00B03049" w:rsidRPr="00150CD2" w:rsidRDefault="00B03049" w:rsidP="00D143A9">
            <w:pPr>
              <w:pStyle w:val="EYTablebullet1"/>
              <w:spacing w:before="0" w:after="120"/>
              <w:rPr>
                <w:rFonts w:cs="Arial"/>
                <w:sz w:val="24"/>
              </w:rPr>
            </w:pPr>
            <w:r w:rsidRPr="00150CD2">
              <w:rPr>
                <w:rFonts w:cs="Arial"/>
                <w:color w:val="2E2E38" w:themeColor="text1"/>
                <w:sz w:val="24"/>
              </w:rPr>
              <w:t xml:space="preserve">As for younger ages, people with intellectual disabilities and high/very high SPA levels were more likely to receive residential </w:t>
            </w:r>
            <w:r w:rsidR="00A90330" w:rsidRPr="00150CD2">
              <w:rPr>
                <w:rFonts w:cs="Arial"/>
                <w:color w:val="2E2E38" w:themeColor="text1"/>
                <w:sz w:val="24"/>
              </w:rPr>
              <w:t xml:space="preserve">services </w:t>
            </w:r>
            <w:r w:rsidRPr="00150CD2">
              <w:rPr>
                <w:rFonts w:cs="Arial"/>
                <w:color w:val="2E2E38" w:themeColor="text1"/>
                <w:sz w:val="24"/>
              </w:rPr>
              <w:t>support as those with physical disability or low/medium SPA levels.</w:t>
            </w:r>
          </w:p>
        </w:tc>
      </w:tr>
      <w:tr w:rsidR="00B03049" w:rsidRPr="00150CD2" w14:paraId="0A0BD8AB" w14:textId="77777777" w:rsidTr="00336432">
        <w:tc>
          <w:tcPr>
            <w:tcW w:w="1323" w:type="dxa"/>
            <w:tcBorders>
              <w:top w:val="nil"/>
              <w:bottom w:val="nil"/>
            </w:tcBorders>
          </w:tcPr>
          <w:p w14:paraId="6F019D7E" w14:textId="77777777" w:rsidR="00B03049" w:rsidRPr="00150CD2" w:rsidRDefault="00B03049" w:rsidP="00B03049">
            <w:pPr>
              <w:pStyle w:val="EYTableText"/>
              <w:rPr>
                <w:rFonts w:cs="Arial"/>
                <w:sz w:val="24"/>
              </w:rPr>
            </w:pPr>
          </w:p>
        </w:tc>
        <w:tc>
          <w:tcPr>
            <w:tcW w:w="1872" w:type="dxa"/>
          </w:tcPr>
          <w:p w14:paraId="2C03CCDB" w14:textId="3FA7C8C4" w:rsidR="00B03049" w:rsidRPr="00150CD2" w:rsidRDefault="00B03049" w:rsidP="00B03049">
            <w:pPr>
              <w:pStyle w:val="EYTableText"/>
              <w:rPr>
                <w:rFonts w:cs="Arial"/>
                <w:sz w:val="24"/>
              </w:rPr>
            </w:pPr>
            <w:r w:rsidRPr="00150CD2">
              <w:rPr>
                <w:rFonts w:cs="Arial"/>
                <w:sz w:val="24"/>
              </w:rPr>
              <w:t>Driver licen</w:t>
            </w:r>
            <w:r w:rsidR="001E5F4B" w:rsidRPr="00150CD2">
              <w:rPr>
                <w:rFonts w:cs="Arial"/>
                <w:sz w:val="24"/>
              </w:rPr>
              <w:t>c</w:t>
            </w:r>
            <w:r w:rsidRPr="00150CD2">
              <w:rPr>
                <w:rFonts w:cs="Arial"/>
                <w:sz w:val="24"/>
              </w:rPr>
              <w:t>es</w:t>
            </w:r>
          </w:p>
        </w:tc>
        <w:tc>
          <w:tcPr>
            <w:tcW w:w="10699" w:type="dxa"/>
            <w:shd w:val="clear" w:color="auto" w:fill="auto"/>
          </w:tcPr>
          <w:p w14:paraId="28D6BE8F" w14:textId="77777777" w:rsidR="00B03049" w:rsidRPr="00150CD2" w:rsidRDefault="00B03049" w:rsidP="00D143A9">
            <w:pPr>
              <w:pStyle w:val="EYTablebullet1"/>
              <w:numPr>
                <w:ilvl w:val="0"/>
                <w:numId w:val="0"/>
              </w:numPr>
              <w:spacing w:before="0" w:after="120"/>
              <w:ind w:left="284" w:hanging="284"/>
              <w:rPr>
                <w:rFonts w:cs="Arial"/>
                <w:sz w:val="24"/>
              </w:rPr>
            </w:pPr>
            <w:r w:rsidRPr="00150CD2">
              <w:rPr>
                <w:rFonts w:cs="Arial"/>
                <w:sz w:val="24"/>
              </w:rPr>
              <w:t>The MidCentral DSS adult population has similar licence rates to that of the national DSS population:</w:t>
            </w:r>
          </w:p>
          <w:p w14:paraId="515934FC" w14:textId="5C706BE6" w:rsidR="00B03049" w:rsidRPr="00150CD2" w:rsidRDefault="00B03049" w:rsidP="00D143A9">
            <w:pPr>
              <w:pStyle w:val="EYTablebullet1"/>
              <w:spacing w:before="0" w:after="120"/>
              <w:rPr>
                <w:rFonts w:cs="Arial"/>
                <w:sz w:val="24"/>
              </w:rPr>
            </w:pPr>
            <w:r w:rsidRPr="00150CD2">
              <w:rPr>
                <w:rFonts w:cs="Arial"/>
                <w:sz w:val="24"/>
              </w:rPr>
              <w:t>2</w:t>
            </w:r>
            <w:r w:rsidR="001661C2" w:rsidRPr="00150CD2">
              <w:rPr>
                <w:rFonts w:cs="Arial"/>
                <w:sz w:val="24"/>
              </w:rPr>
              <w:t>7</w:t>
            </w:r>
            <w:r w:rsidRPr="00150CD2">
              <w:rPr>
                <w:rFonts w:cs="Arial"/>
                <w:sz w:val="24"/>
              </w:rPr>
              <w:t>% of DSS adults aged 65</w:t>
            </w:r>
            <w:r w:rsidR="001661C2" w:rsidRPr="00150CD2">
              <w:rPr>
                <w:rFonts w:cs="Arial"/>
                <w:sz w:val="24"/>
              </w:rPr>
              <w:t>-79</w:t>
            </w:r>
            <w:r w:rsidRPr="00150CD2">
              <w:rPr>
                <w:rFonts w:cs="Arial"/>
                <w:sz w:val="24"/>
              </w:rPr>
              <w:t xml:space="preserve"> had their full driver licence at June 2018, similar to the national DSS population but significantly lower than the MidCentral population (</w:t>
            </w:r>
            <w:r w:rsidR="001661C2" w:rsidRPr="00150CD2">
              <w:rPr>
                <w:rFonts w:cs="Arial"/>
                <w:sz w:val="24"/>
              </w:rPr>
              <w:t>82</w:t>
            </w:r>
            <w:r w:rsidRPr="00150CD2">
              <w:rPr>
                <w:rFonts w:cs="Arial"/>
                <w:sz w:val="24"/>
              </w:rPr>
              <w:t>% with a full licence).</w:t>
            </w:r>
          </w:p>
          <w:p w14:paraId="66529ADC" w14:textId="7296F118" w:rsidR="00B03049" w:rsidRPr="00150CD2" w:rsidRDefault="00B03049" w:rsidP="00D143A9">
            <w:pPr>
              <w:pStyle w:val="EYTablebullet1"/>
              <w:spacing w:before="0" w:after="120"/>
              <w:rPr>
                <w:rFonts w:cs="Arial"/>
                <w:sz w:val="24"/>
              </w:rPr>
            </w:pPr>
            <w:r w:rsidRPr="00150CD2">
              <w:rPr>
                <w:rFonts w:cs="Arial"/>
                <w:sz w:val="24"/>
              </w:rPr>
              <w:t>Within the MidCentral DSS group, licence rates are lower for those with intellectual disability (</w:t>
            </w:r>
            <w:r w:rsidR="00DE70E0" w:rsidRPr="00150CD2">
              <w:rPr>
                <w:rFonts w:cs="Arial"/>
                <w:sz w:val="24"/>
              </w:rPr>
              <w:t xml:space="preserve">less than </w:t>
            </w:r>
            <w:r w:rsidRPr="00150CD2">
              <w:rPr>
                <w:rFonts w:cs="Arial"/>
                <w:sz w:val="24"/>
              </w:rPr>
              <w:t xml:space="preserve">5% compared with </w:t>
            </w:r>
            <w:r w:rsidR="001661C2" w:rsidRPr="00150CD2">
              <w:rPr>
                <w:rFonts w:cs="Arial"/>
                <w:sz w:val="24"/>
              </w:rPr>
              <w:t>43</w:t>
            </w:r>
            <w:r w:rsidRPr="00150CD2">
              <w:rPr>
                <w:rFonts w:cs="Arial"/>
                <w:sz w:val="24"/>
              </w:rPr>
              <w:t xml:space="preserve">% for those with physical disability) and with </w:t>
            </w:r>
            <w:r w:rsidR="00DF5F17" w:rsidRPr="00150CD2">
              <w:rPr>
                <w:rFonts w:cs="Arial"/>
                <w:sz w:val="24"/>
              </w:rPr>
              <w:t>high/very high SPA</w:t>
            </w:r>
            <w:r w:rsidRPr="00150CD2">
              <w:rPr>
                <w:rFonts w:cs="Arial"/>
                <w:sz w:val="24"/>
              </w:rPr>
              <w:t xml:space="preserve"> levels (</w:t>
            </w:r>
            <w:r w:rsidR="001661C2" w:rsidRPr="00150CD2">
              <w:rPr>
                <w:rFonts w:cs="Arial"/>
                <w:sz w:val="24"/>
              </w:rPr>
              <w:t>8</w:t>
            </w:r>
            <w:r w:rsidRPr="00150CD2">
              <w:rPr>
                <w:rFonts w:cs="Arial"/>
                <w:sz w:val="24"/>
              </w:rPr>
              <w:t xml:space="preserve">% have licences). </w:t>
            </w:r>
          </w:p>
        </w:tc>
      </w:tr>
      <w:tr w:rsidR="00B03049" w:rsidRPr="00150CD2" w14:paraId="3679B13A" w14:textId="77777777" w:rsidTr="00336432">
        <w:tc>
          <w:tcPr>
            <w:tcW w:w="1323" w:type="dxa"/>
            <w:tcBorders>
              <w:top w:val="nil"/>
              <w:bottom w:val="nil"/>
            </w:tcBorders>
          </w:tcPr>
          <w:p w14:paraId="242125AA" w14:textId="77777777" w:rsidR="00B03049" w:rsidRPr="00150CD2" w:rsidRDefault="00B03049" w:rsidP="00B03049">
            <w:pPr>
              <w:pStyle w:val="EYTableText"/>
              <w:rPr>
                <w:rFonts w:cs="Arial"/>
                <w:sz w:val="24"/>
              </w:rPr>
            </w:pPr>
          </w:p>
        </w:tc>
        <w:tc>
          <w:tcPr>
            <w:tcW w:w="1872" w:type="dxa"/>
          </w:tcPr>
          <w:p w14:paraId="26AEB550" w14:textId="77777777" w:rsidR="00B03049" w:rsidRPr="00150CD2" w:rsidRDefault="00B03049" w:rsidP="00B03049">
            <w:pPr>
              <w:pStyle w:val="EYTableText"/>
              <w:rPr>
                <w:rFonts w:cs="Arial"/>
                <w:sz w:val="24"/>
              </w:rPr>
            </w:pPr>
            <w:r w:rsidRPr="00150CD2">
              <w:rPr>
                <w:rFonts w:cs="Arial"/>
                <w:sz w:val="24"/>
              </w:rPr>
              <w:t>Safety – victimisation</w:t>
            </w:r>
          </w:p>
        </w:tc>
        <w:tc>
          <w:tcPr>
            <w:tcW w:w="10699" w:type="dxa"/>
            <w:shd w:val="clear" w:color="auto" w:fill="auto"/>
          </w:tcPr>
          <w:p w14:paraId="073C7C50" w14:textId="7FCA328B" w:rsidR="00B03049" w:rsidRPr="00150CD2" w:rsidRDefault="001661C2" w:rsidP="00D143A9">
            <w:pPr>
              <w:pStyle w:val="EYTableText"/>
              <w:spacing w:before="0" w:after="120"/>
              <w:rPr>
                <w:rFonts w:cs="Arial"/>
                <w:sz w:val="24"/>
              </w:rPr>
            </w:pPr>
            <w:r w:rsidRPr="00150CD2">
              <w:rPr>
                <w:rFonts w:cs="Arial"/>
                <w:sz w:val="24"/>
              </w:rPr>
              <w:t>A small proportion (5</w:t>
            </w:r>
            <w:r w:rsidR="00B03049" w:rsidRPr="00150CD2">
              <w:rPr>
                <w:rFonts w:cs="Arial"/>
                <w:sz w:val="24"/>
              </w:rPr>
              <w:t>%</w:t>
            </w:r>
            <w:r w:rsidRPr="00150CD2">
              <w:rPr>
                <w:rFonts w:cs="Arial"/>
                <w:sz w:val="24"/>
              </w:rPr>
              <w:t>)</w:t>
            </w:r>
            <w:r w:rsidR="00B03049" w:rsidRPr="00150CD2">
              <w:rPr>
                <w:rFonts w:cs="Arial"/>
                <w:sz w:val="24"/>
              </w:rPr>
              <w:t xml:space="preserve"> of MidCentral DSS </w:t>
            </w:r>
            <w:r w:rsidR="00ED47D5" w:rsidRPr="00150CD2">
              <w:rPr>
                <w:rFonts w:cs="Arial"/>
                <w:sz w:val="24"/>
              </w:rPr>
              <w:t xml:space="preserve">people aged 65 and older </w:t>
            </w:r>
            <w:r w:rsidR="00B03049" w:rsidRPr="00150CD2">
              <w:rPr>
                <w:rFonts w:cs="Arial"/>
                <w:sz w:val="24"/>
              </w:rPr>
              <w:t xml:space="preserve">were recorded by Police as being victims of a crime over </w:t>
            </w:r>
            <w:r w:rsidR="002F7F2D" w:rsidRPr="00150CD2">
              <w:rPr>
                <w:rFonts w:cs="Arial"/>
                <w:sz w:val="24"/>
              </w:rPr>
              <w:t>the 3 years to June 2018</w:t>
            </w:r>
            <w:r w:rsidR="00B03049" w:rsidRPr="00150CD2">
              <w:rPr>
                <w:rFonts w:cs="Arial"/>
                <w:sz w:val="24"/>
              </w:rPr>
              <w:t>. This rate was similar to both DSS and non-DSS MidCentral populations.</w:t>
            </w:r>
          </w:p>
        </w:tc>
      </w:tr>
      <w:tr w:rsidR="00B03049" w:rsidRPr="00150CD2" w14:paraId="08D58934" w14:textId="77777777" w:rsidTr="00336432">
        <w:tc>
          <w:tcPr>
            <w:tcW w:w="1323" w:type="dxa"/>
            <w:tcBorders>
              <w:top w:val="nil"/>
              <w:bottom w:val="nil"/>
            </w:tcBorders>
          </w:tcPr>
          <w:p w14:paraId="7590BF54" w14:textId="77777777" w:rsidR="00B03049" w:rsidRPr="00150CD2" w:rsidRDefault="00B03049" w:rsidP="00B03049">
            <w:pPr>
              <w:pStyle w:val="EYTableText"/>
              <w:rPr>
                <w:rFonts w:cs="Arial"/>
                <w:sz w:val="24"/>
              </w:rPr>
            </w:pPr>
          </w:p>
        </w:tc>
        <w:tc>
          <w:tcPr>
            <w:tcW w:w="1872" w:type="dxa"/>
          </w:tcPr>
          <w:p w14:paraId="4D0901BC" w14:textId="77777777" w:rsidR="00B03049" w:rsidRPr="00150CD2" w:rsidRDefault="00B03049" w:rsidP="00B03049">
            <w:pPr>
              <w:pStyle w:val="EYTableText"/>
              <w:rPr>
                <w:rFonts w:cs="Arial"/>
                <w:sz w:val="24"/>
              </w:rPr>
            </w:pPr>
            <w:r w:rsidRPr="00150CD2">
              <w:rPr>
                <w:rFonts w:cs="Arial"/>
                <w:sz w:val="24"/>
              </w:rPr>
              <w:t>Family and relationships</w:t>
            </w:r>
          </w:p>
        </w:tc>
        <w:tc>
          <w:tcPr>
            <w:tcW w:w="10699" w:type="dxa"/>
            <w:shd w:val="clear" w:color="auto" w:fill="auto"/>
          </w:tcPr>
          <w:p w14:paraId="1142880C" w14:textId="3B5D3E5C" w:rsidR="00DB314F" w:rsidRPr="00150CD2" w:rsidRDefault="00B03049" w:rsidP="00DB314F">
            <w:pPr>
              <w:pStyle w:val="EYTableText"/>
              <w:spacing w:before="0" w:after="120"/>
              <w:rPr>
                <w:rFonts w:cs="Arial"/>
                <w:i/>
                <w:iCs/>
                <w:sz w:val="24"/>
              </w:rPr>
            </w:pPr>
            <w:r w:rsidRPr="00150CD2">
              <w:rPr>
                <w:rFonts w:cs="Arial"/>
                <w:i/>
                <w:sz w:val="24"/>
              </w:rPr>
              <w:t xml:space="preserve">The following observations should be treated as estimates and care taken in interpretation, as there are known limitations around the coverage of relationship records in administrative datasets for older adults. The actual rate of lifetime partnership is likely to be higher. Informal and unreported relationships are not reflected in these estimates. </w:t>
            </w:r>
            <w:r w:rsidR="00DB314F" w:rsidRPr="00150CD2">
              <w:rPr>
                <w:rFonts w:cs="Arial"/>
                <w:i/>
                <w:iCs/>
                <w:sz w:val="24"/>
              </w:rPr>
              <w:t xml:space="preserve">Refer to </w:t>
            </w:r>
            <w:r w:rsidR="00DB314F" w:rsidRPr="00150CD2">
              <w:rPr>
                <w:rFonts w:cs="Arial"/>
                <w:i/>
                <w:iCs/>
                <w:sz w:val="24"/>
              </w:rPr>
              <w:fldChar w:fldCharType="begin"/>
            </w:r>
            <w:r w:rsidR="00DB314F" w:rsidRPr="00150CD2">
              <w:rPr>
                <w:rFonts w:cs="Arial"/>
                <w:i/>
                <w:iCs/>
                <w:sz w:val="24"/>
              </w:rPr>
              <w:instrText xml:space="preserve"> REF _Ref44353599 \r \h  \* MERGEFORMAT </w:instrText>
            </w:r>
            <w:r w:rsidR="00DB314F" w:rsidRPr="00150CD2">
              <w:rPr>
                <w:rFonts w:cs="Arial"/>
                <w:i/>
                <w:iCs/>
                <w:sz w:val="24"/>
              </w:rPr>
            </w:r>
            <w:r w:rsidR="00DB314F" w:rsidRPr="00150CD2">
              <w:rPr>
                <w:rFonts w:cs="Arial"/>
                <w:i/>
                <w:iCs/>
                <w:sz w:val="24"/>
              </w:rPr>
              <w:fldChar w:fldCharType="separate"/>
            </w:r>
            <w:r w:rsidR="00053D9A" w:rsidRPr="00150CD2">
              <w:rPr>
                <w:rFonts w:cs="Arial"/>
                <w:i/>
                <w:iCs/>
                <w:sz w:val="24"/>
              </w:rPr>
              <w:t>Appendix D</w:t>
            </w:r>
            <w:r w:rsidR="00DB314F" w:rsidRPr="00150CD2">
              <w:rPr>
                <w:rFonts w:cs="Arial"/>
                <w:i/>
                <w:iCs/>
                <w:sz w:val="24"/>
              </w:rPr>
              <w:fldChar w:fldCharType="end"/>
            </w:r>
            <w:r w:rsidR="00DB314F" w:rsidRPr="00150CD2">
              <w:rPr>
                <w:rFonts w:cs="Arial"/>
                <w:i/>
                <w:iCs/>
                <w:sz w:val="24"/>
              </w:rPr>
              <w:t xml:space="preserve"> for further information.</w:t>
            </w:r>
          </w:p>
          <w:p w14:paraId="0A8C35D3" w14:textId="3C9B36B7" w:rsidR="00B03049" w:rsidRPr="00150CD2" w:rsidRDefault="00B03049" w:rsidP="00D143A9">
            <w:pPr>
              <w:pStyle w:val="EYTableText"/>
              <w:spacing w:before="0" w:after="120"/>
              <w:rPr>
                <w:rFonts w:cs="Arial"/>
                <w:sz w:val="24"/>
              </w:rPr>
            </w:pPr>
            <w:r w:rsidRPr="00150CD2">
              <w:rPr>
                <w:rFonts w:cs="Arial"/>
                <w:sz w:val="24"/>
              </w:rPr>
              <w:t>For the MidCentral DSS adult population aged over 65:</w:t>
            </w:r>
          </w:p>
          <w:p w14:paraId="3FF99A9F" w14:textId="1B9D55B6" w:rsidR="00B03049" w:rsidRPr="00150CD2" w:rsidRDefault="00B03049" w:rsidP="00D143A9">
            <w:pPr>
              <w:pStyle w:val="EYTablebullet1"/>
              <w:spacing w:before="0" w:after="120"/>
              <w:rPr>
                <w:rFonts w:cs="Arial"/>
                <w:sz w:val="24"/>
              </w:rPr>
            </w:pPr>
            <w:r w:rsidRPr="00150CD2">
              <w:rPr>
                <w:rFonts w:cs="Arial"/>
                <w:sz w:val="24"/>
              </w:rPr>
              <w:t>1</w:t>
            </w:r>
            <w:r w:rsidR="002F7F2D" w:rsidRPr="00150CD2">
              <w:rPr>
                <w:rFonts w:cs="Arial"/>
                <w:sz w:val="24"/>
              </w:rPr>
              <w:t>4</w:t>
            </w:r>
            <w:r w:rsidRPr="00150CD2">
              <w:rPr>
                <w:rFonts w:cs="Arial"/>
                <w:sz w:val="24"/>
              </w:rPr>
              <w:t>% reported being in a marriage or civil union over the 3 year period.</w:t>
            </w:r>
          </w:p>
          <w:p w14:paraId="65AD9DBA" w14:textId="06A2FE5D" w:rsidR="00B03049" w:rsidRPr="00150CD2" w:rsidRDefault="00B03049" w:rsidP="00D143A9">
            <w:pPr>
              <w:pStyle w:val="EYTablebullet1"/>
              <w:spacing w:before="0" w:after="120"/>
              <w:rPr>
                <w:rFonts w:cs="Arial"/>
                <w:sz w:val="24"/>
              </w:rPr>
            </w:pPr>
            <w:r w:rsidRPr="00150CD2">
              <w:rPr>
                <w:rFonts w:cs="Arial"/>
                <w:sz w:val="24"/>
              </w:rPr>
              <w:t>3</w:t>
            </w:r>
            <w:r w:rsidR="002F7F2D" w:rsidRPr="00150CD2">
              <w:rPr>
                <w:rFonts w:cs="Arial"/>
                <w:sz w:val="24"/>
              </w:rPr>
              <w:t>7</w:t>
            </w:r>
            <w:r w:rsidRPr="00150CD2">
              <w:rPr>
                <w:rFonts w:cs="Arial"/>
                <w:sz w:val="24"/>
              </w:rPr>
              <w:t xml:space="preserve">% reported ever having </w:t>
            </w:r>
            <w:r w:rsidR="008A5CE9" w:rsidRPr="00150CD2">
              <w:rPr>
                <w:rFonts w:cs="Arial"/>
                <w:sz w:val="24"/>
              </w:rPr>
              <w:t>been</w:t>
            </w:r>
            <w:r w:rsidRPr="00150CD2">
              <w:rPr>
                <w:rFonts w:cs="Arial"/>
                <w:sz w:val="24"/>
              </w:rPr>
              <w:t xml:space="preserve"> in a </w:t>
            </w:r>
            <w:r w:rsidR="00E12049" w:rsidRPr="00150CD2">
              <w:rPr>
                <w:rFonts w:cs="Arial"/>
                <w:sz w:val="24"/>
              </w:rPr>
              <w:t xml:space="preserve">formal relationship (“formal relationships” include </w:t>
            </w:r>
            <w:r w:rsidRPr="00150CD2">
              <w:rPr>
                <w:rFonts w:cs="Arial"/>
                <w:sz w:val="24"/>
              </w:rPr>
              <w:t>marriage</w:t>
            </w:r>
            <w:r w:rsidR="00E12049" w:rsidRPr="00150CD2">
              <w:rPr>
                <w:rFonts w:cs="Arial"/>
                <w:sz w:val="24"/>
              </w:rPr>
              <w:t>s and civil unions, as well as de facto relationships reported to MSD before age 25). Note that this is likely to be understated given limitations around the coverage of administrative information for older New Zealanders.</w:t>
            </w:r>
          </w:p>
          <w:p w14:paraId="2A9F976A" w14:textId="77777777" w:rsidR="00B03049" w:rsidRPr="00150CD2" w:rsidRDefault="00B03049" w:rsidP="00D143A9">
            <w:pPr>
              <w:pStyle w:val="EYTableText"/>
              <w:spacing w:before="0" w:after="120"/>
              <w:rPr>
                <w:rFonts w:cs="Arial"/>
                <w:sz w:val="24"/>
              </w:rPr>
            </w:pPr>
            <w:r w:rsidRPr="00150CD2">
              <w:rPr>
                <w:rFonts w:cs="Arial"/>
                <w:sz w:val="24"/>
              </w:rPr>
              <w:t>For the broader MidCentral population aged over 65, 47% reported being in a formal partnership over the 3 year period.</w:t>
            </w:r>
          </w:p>
          <w:p w14:paraId="68BBD489" w14:textId="4E40BDAC" w:rsidR="00ED47D5" w:rsidRPr="00150CD2" w:rsidRDefault="00281B85" w:rsidP="00D143A9">
            <w:pPr>
              <w:pStyle w:val="EYTableText"/>
              <w:spacing w:before="0" w:after="120"/>
              <w:rPr>
                <w:rFonts w:cs="Arial"/>
                <w:sz w:val="24"/>
              </w:rPr>
            </w:pPr>
            <w:r w:rsidRPr="00150CD2">
              <w:rPr>
                <w:rFonts w:cs="Arial"/>
                <w:sz w:val="24"/>
              </w:rPr>
              <w:t>We are unable to describe the proportion with adult children, given limitations around births and immigration data for this cohort.</w:t>
            </w:r>
          </w:p>
        </w:tc>
      </w:tr>
      <w:tr w:rsidR="00B03049" w:rsidRPr="00150CD2" w14:paraId="510AB9E0" w14:textId="77777777" w:rsidTr="00336432">
        <w:tc>
          <w:tcPr>
            <w:tcW w:w="1323" w:type="dxa"/>
            <w:tcBorders>
              <w:top w:val="nil"/>
            </w:tcBorders>
          </w:tcPr>
          <w:p w14:paraId="562AC1E2" w14:textId="77777777" w:rsidR="00B03049" w:rsidRPr="00150CD2" w:rsidRDefault="00B03049" w:rsidP="00B03049">
            <w:pPr>
              <w:pStyle w:val="EYTableText"/>
              <w:rPr>
                <w:rFonts w:cs="Arial"/>
                <w:sz w:val="24"/>
              </w:rPr>
            </w:pPr>
          </w:p>
        </w:tc>
        <w:tc>
          <w:tcPr>
            <w:tcW w:w="1872" w:type="dxa"/>
          </w:tcPr>
          <w:p w14:paraId="415CDADC" w14:textId="2053923B" w:rsidR="00B03049" w:rsidRPr="00150CD2" w:rsidRDefault="00B03049" w:rsidP="00B03049">
            <w:pPr>
              <w:pStyle w:val="EYTableText"/>
              <w:rPr>
                <w:rFonts w:cs="Arial"/>
                <w:sz w:val="24"/>
              </w:rPr>
            </w:pPr>
            <w:r w:rsidRPr="00150CD2">
              <w:rPr>
                <w:rFonts w:cs="Arial"/>
                <w:sz w:val="24"/>
              </w:rPr>
              <w:t>Income and housing support</w:t>
            </w:r>
          </w:p>
        </w:tc>
        <w:tc>
          <w:tcPr>
            <w:tcW w:w="10699" w:type="dxa"/>
            <w:shd w:val="clear" w:color="auto" w:fill="auto"/>
          </w:tcPr>
          <w:p w14:paraId="407FBCEA" w14:textId="1DF793BA" w:rsidR="00B03049" w:rsidRPr="00150CD2" w:rsidRDefault="00B03049" w:rsidP="00D143A9">
            <w:pPr>
              <w:pStyle w:val="EYTablebullet1"/>
              <w:spacing w:before="0" w:after="120"/>
              <w:rPr>
                <w:rFonts w:cs="Arial"/>
                <w:color w:val="2E2E38" w:themeColor="text1"/>
                <w:sz w:val="24"/>
              </w:rPr>
            </w:pPr>
            <w:r w:rsidRPr="00150CD2">
              <w:rPr>
                <w:rFonts w:cs="Arial"/>
                <w:sz w:val="24"/>
              </w:rPr>
              <w:t>A small proportion of MidCentral DSS adults aged 65 and over (1</w:t>
            </w:r>
            <w:r w:rsidR="002F7F2D" w:rsidRPr="00150CD2">
              <w:rPr>
                <w:rFonts w:cs="Arial"/>
                <w:sz w:val="24"/>
              </w:rPr>
              <w:t>6</w:t>
            </w:r>
            <w:r w:rsidRPr="00150CD2">
              <w:rPr>
                <w:rFonts w:cs="Arial"/>
                <w:sz w:val="24"/>
              </w:rPr>
              <w:t xml:space="preserve">%) drew on </w:t>
            </w:r>
            <w:r w:rsidR="00595EE3" w:rsidRPr="00150CD2">
              <w:rPr>
                <w:rFonts w:cs="Arial"/>
                <w:sz w:val="24"/>
              </w:rPr>
              <w:t xml:space="preserve">third-tier </w:t>
            </w:r>
            <w:r w:rsidRPr="00150CD2">
              <w:rPr>
                <w:rFonts w:cs="Arial"/>
                <w:sz w:val="24"/>
              </w:rPr>
              <w:t>MSD support payments</w:t>
            </w:r>
            <w:r w:rsidR="001E5F4B" w:rsidRPr="00150CD2">
              <w:rPr>
                <w:rStyle w:val="FootnoteReference"/>
                <w:rFonts w:ascii="Arial" w:hAnsi="Arial" w:cs="Arial"/>
                <w:sz w:val="24"/>
                <w:szCs w:val="24"/>
              </w:rPr>
              <w:footnoteReference w:id="37"/>
            </w:r>
            <w:r w:rsidRPr="00150CD2">
              <w:rPr>
                <w:rFonts w:cs="Arial"/>
                <w:sz w:val="24"/>
              </w:rPr>
              <w:t xml:space="preserve"> during the 3 year period. This proportion was similar to that of the national DSS population, but around 2</w:t>
            </w:r>
            <w:r w:rsidR="002F7F2D" w:rsidRPr="00150CD2">
              <w:rPr>
                <w:rFonts w:cs="Arial"/>
                <w:sz w:val="24"/>
              </w:rPr>
              <w:t>.5</w:t>
            </w:r>
            <w:r w:rsidR="00CA4326" w:rsidRPr="00150CD2">
              <w:rPr>
                <w:rFonts w:cs="Arial"/>
                <w:sz w:val="24"/>
              </w:rPr>
              <w:t xml:space="preserve"> times </w:t>
            </w:r>
            <w:r w:rsidRPr="00150CD2">
              <w:rPr>
                <w:rFonts w:cs="Arial"/>
                <w:sz w:val="24"/>
              </w:rPr>
              <w:t>higher than for other MidCentral adults</w:t>
            </w:r>
            <w:r w:rsidR="002F7F2D" w:rsidRPr="00150CD2">
              <w:rPr>
                <w:rFonts w:cs="Arial"/>
                <w:sz w:val="24"/>
              </w:rPr>
              <w:t xml:space="preserve"> (6% received </w:t>
            </w:r>
            <w:r w:rsidR="00595EE3" w:rsidRPr="00150CD2">
              <w:rPr>
                <w:rFonts w:cs="Arial"/>
                <w:sz w:val="24"/>
              </w:rPr>
              <w:t xml:space="preserve">third-tier </w:t>
            </w:r>
            <w:r w:rsidR="002F7F2D" w:rsidRPr="00150CD2">
              <w:rPr>
                <w:rFonts w:cs="Arial"/>
                <w:sz w:val="24"/>
              </w:rPr>
              <w:t>MSD support payments)</w:t>
            </w:r>
            <w:r w:rsidRPr="00150CD2">
              <w:rPr>
                <w:rFonts w:cs="Arial"/>
                <w:sz w:val="24"/>
              </w:rPr>
              <w:t>. Reflecting differences in the overall NZ population, those with physical disabilities and low/medium SPA levels were more likely to draw on these sources of support.</w:t>
            </w:r>
          </w:p>
          <w:p w14:paraId="110D949B" w14:textId="0FD2AB91" w:rsidR="00B03049" w:rsidRPr="00150CD2" w:rsidRDefault="002F7F2D" w:rsidP="00D143A9">
            <w:pPr>
              <w:pStyle w:val="EYTablebullet1"/>
              <w:spacing w:before="0" w:after="120"/>
              <w:rPr>
                <w:rFonts w:cs="Arial"/>
                <w:color w:val="2E2E38" w:themeColor="text1"/>
                <w:sz w:val="24"/>
              </w:rPr>
            </w:pPr>
            <w:r w:rsidRPr="00150CD2">
              <w:rPr>
                <w:rFonts w:cs="Arial"/>
                <w:color w:val="2E2E38" w:themeColor="text1"/>
                <w:sz w:val="24"/>
              </w:rPr>
              <w:t>7</w:t>
            </w:r>
            <w:r w:rsidR="00B03049" w:rsidRPr="00150CD2">
              <w:rPr>
                <w:rFonts w:cs="Arial"/>
                <w:color w:val="2E2E38" w:themeColor="text1"/>
                <w:sz w:val="24"/>
              </w:rPr>
              <w:t xml:space="preserve">% of MidCentral DSS adults aged 65 and over lived in social housing for some/all of the 3 year period, similar to the national DSS average and around </w:t>
            </w:r>
            <w:r w:rsidRPr="00150CD2">
              <w:rPr>
                <w:rFonts w:cs="Arial"/>
                <w:color w:val="2E2E38" w:themeColor="text1"/>
                <w:sz w:val="24"/>
              </w:rPr>
              <w:t>5</w:t>
            </w:r>
            <w:r w:rsidR="00CA4326" w:rsidRPr="00150CD2">
              <w:rPr>
                <w:rFonts w:cs="Arial"/>
                <w:color w:val="2E2E38" w:themeColor="text1"/>
                <w:sz w:val="24"/>
              </w:rPr>
              <w:t xml:space="preserve"> times </w:t>
            </w:r>
            <w:r w:rsidR="00B03049" w:rsidRPr="00150CD2">
              <w:rPr>
                <w:rFonts w:cs="Arial"/>
                <w:color w:val="2E2E38" w:themeColor="text1"/>
                <w:sz w:val="24"/>
              </w:rPr>
              <w:t>higher than the non-DSS MidCentral adult population</w:t>
            </w:r>
            <w:r w:rsidRPr="00150CD2">
              <w:rPr>
                <w:rFonts w:cs="Arial"/>
                <w:color w:val="2E2E38" w:themeColor="text1"/>
                <w:sz w:val="24"/>
              </w:rPr>
              <w:t xml:space="preserve"> aged 65 and over</w:t>
            </w:r>
            <w:r w:rsidR="00B03049" w:rsidRPr="00150CD2">
              <w:rPr>
                <w:rFonts w:cs="Arial"/>
                <w:color w:val="2E2E38" w:themeColor="text1"/>
                <w:sz w:val="24"/>
              </w:rPr>
              <w:t>.</w:t>
            </w:r>
          </w:p>
        </w:tc>
      </w:tr>
    </w:tbl>
    <w:p w14:paraId="10FA852A" w14:textId="346834BB" w:rsidR="00BC401C" w:rsidRPr="00150CD2" w:rsidRDefault="00BC401C" w:rsidP="00BC401C">
      <w:pPr>
        <w:pStyle w:val="EYBodytextwithparaspace"/>
        <w:rPr>
          <w:rFonts w:cs="Arial"/>
        </w:rPr>
      </w:pPr>
      <w:bookmarkStart w:id="117" w:name="_Toc40564659"/>
      <w:bookmarkStart w:id="118" w:name="_Toc33638929"/>
      <w:bookmarkStart w:id="119" w:name="_Toc33638963"/>
      <w:bookmarkStart w:id="120" w:name="_Toc33645484"/>
      <w:bookmarkStart w:id="121" w:name="_Toc33896009"/>
      <w:bookmarkStart w:id="122" w:name="_Toc33980633"/>
      <w:bookmarkStart w:id="123" w:name="_Toc34052750"/>
      <w:bookmarkStart w:id="124" w:name="_Toc33638931"/>
      <w:bookmarkStart w:id="125" w:name="_Toc33638965"/>
      <w:bookmarkStart w:id="126" w:name="_Toc33645486"/>
      <w:bookmarkStart w:id="127" w:name="_Toc33896011"/>
      <w:bookmarkStart w:id="128" w:name="_Toc33980635"/>
      <w:bookmarkStart w:id="129" w:name="_Toc34052752"/>
      <w:bookmarkStart w:id="130" w:name="_Toc40564660"/>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23B21137" w14:textId="77777777" w:rsidR="005F6775" w:rsidRPr="00150CD2" w:rsidRDefault="005F6775" w:rsidP="00184038">
      <w:pPr>
        <w:pStyle w:val="EYHeading1"/>
        <w:numPr>
          <w:ilvl w:val="0"/>
          <w:numId w:val="0"/>
        </w:numPr>
        <w:sectPr w:rsidR="005F6775" w:rsidRPr="00150CD2" w:rsidSect="005F6775">
          <w:footerReference w:type="default" r:id="rId25"/>
          <w:pgSz w:w="16834" w:h="11909" w:orient="landscape" w:code="9"/>
          <w:pgMar w:top="1440" w:right="1440" w:bottom="1440" w:left="1440" w:header="720" w:footer="720" w:gutter="0"/>
          <w:cols w:space="720"/>
          <w:docGrid w:linePitch="360"/>
        </w:sectPr>
      </w:pPr>
    </w:p>
    <w:p w14:paraId="49640348" w14:textId="3D190B87" w:rsidR="00692DD5" w:rsidRPr="00150CD2" w:rsidRDefault="003A2EAA" w:rsidP="00184038">
      <w:pPr>
        <w:pStyle w:val="EYHeading1"/>
      </w:pPr>
      <w:bookmarkStart w:id="131" w:name="_Ref34056683"/>
      <w:bookmarkStart w:id="132" w:name="_Toc46365145"/>
      <w:bookmarkStart w:id="133" w:name="_Toc48752363"/>
      <w:r w:rsidRPr="00150CD2">
        <w:t>National DSS clients – wellbeing observations from population surveys</w:t>
      </w:r>
      <w:bookmarkEnd w:id="131"/>
      <w:bookmarkEnd w:id="132"/>
      <w:bookmarkEnd w:id="133"/>
    </w:p>
    <w:p w14:paraId="2AB82139" w14:textId="1FFA4A1D" w:rsidR="003A2EAA" w:rsidRPr="00150CD2" w:rsidRDefault="003A2EAA" w:rsidP="004026F6">
      <w:pPr>
        <w:pStyle w:val="EYBodytextwithparaspace"/>
        <w:rPr>
          <w:rFonts w:cs="Arial"/>
        </w:rPr>
      </w:pPr>
      <w:r w:rsidRPr="00150CD2">
        <w:rPr>
          <w:rFonts w:cs="Arial"/>
        </w:rPr>
        <w:t xml:space="preserve">This section </w:t>
      </w:r>
      <w:r w:rsidR="00D515EB" w:rsidRPr="00150CD2">
        <w:rPr>
          <w:rFonts w:cs="Arial"/>
        </w:rPr>
        <w:t>provides a high level description of wellbeing aspects for the national DSS population across a range of lifecourse areas</w:t>
      </w:r>
      <w:r w:rsidR="0072214A" w:rsidRPr="00150CD2">
        <w:rPr>
          <w:rFonts w:cs="Arial"/>
        </w:rPr>
        <w:t>, particularly those not described by administrative data</w:t>
      </w:r>
      <w:r w:rsidR="00D515EB" w:rsidRPr="00150CD2">
        <w:rPr>
          <w:rFonts w:cs="Arial"/>
        </w:rPr>
        <w:t xml:space="preserve">. </w:t>
      </w:r>
      <w:r w:rsidR="0072214A" w:rsidRPr="00150CD2">
        <w:rPr>
          <w:rFonts w:cs="Arial"/>
        </w:rPr>
        <w:t xml:space="preserve">It </w:t>
      </w:r>
      <w:r w:rsidR="00507EDD" w:rsidRPr="00150CD2">
        <w:rPr>
          <w:rFonts w:cs="Arial"/>
        </w:rPr>
        <w:t>highlights</w:t>
      </w:r>
      <w:r w:rsidRPr="00150CD2">
        <w:rPr>
          <w:rFonts w:cs="Arial"/>
        </w:rPr>
        <w:t xml:space="preserve"> responses by </w:t>
      </w:r>
      <w:r w:rsidR="00003A2A" w:rsidRPr="00150CD2">
        <w:rPr>
          <w:rFonts w:cs="Arial"/>
        </w:rPr>
        <w:t>people currently or previously allocated DSS funding</w:t>
      </w:r>
      <w:r w:rsidR="00E0004B" w:rsidRPr="00150CD2">
        <w:rPr>
          <w:rStyle w:val="FootnoteReference"/>
          <w:rFonts w:ascii="Arial" w:hAnsi="Arial" w:cs="Arial"/>
        </w:rPr>
        <w:footnoteReference w:id="38"/>
      </w:r>
      <w:r w:rsidR="008454A4" w:rsidRPr="00150CD2">
        <w:rPr>
          <w:rFonts w:cs="Arial"/>
        </w:rPr>
        <w:t xml:space="preserve"> </w:t>
      </w:r>
      <w:r w:rsidRPr="00150CD2">
        <w:rPr>
          <w:rFonts w:cs="Arial"/>
        </w:rPr>
        <w:t xml:space="preserve">to </w:t>
      </w:r>
      <w:r w:rsidR="00507EDD" w:rsidRPr="00150CD2">
        <w:rPr>
          <w:rFonts w:cs="Arial"/>
        </w:rPr>
        <w:t xml:space="preserve">selected </w:t>
      </w:r>
      <w:r w:rsidR="0060574E" w:rsidRPr="00150CD2">
        <w:rPr>
          <w:rFonts w:cs="Arial"/>
        </w:rPr>
        <w:t xml:space="preserve">2013 Disability Survey, </w:t>
      </w:r>
      <w:r w:rsidRPr="00150CD2">
        <w:rPr>
          <w:rFonts w:cs="Arial"/>
        </w:rPr>
        <w:t>2014</w:t>
      </w:r>
      <w:r w:rsidR="000E3B8C" w:rsidRPr="00150CD2">
        <w:rPr>
          <w:rFonts w:cs="Arial"/>
        </w:rPr>
        <w:t xml:space="preserve"> and 2016</w:t>
      </w:r>
      <w:r w:rsidRPr="00150CD2">
        <w:rPr>
          <w:rFonts w:cs="Arial"/>
        </w:rPr>
        <w:t xml:space="preserve"> General Social Survey questions around wellbeing, including aspects such as material wellbeing, life satisfaction, health, safety and </w:t>
      </w:r>
      <w:r w:rsidR="005A43BC" w:rsidRPr="00150CD2">
        <w:rPr>
          <w:rFonts w:cs="Arial"/>
        </w:rPr>
        <w:t xml:space="preserve">social </w:t>
      </w:r>
      <w:r w:rsidRPr="00150CD2">
        <w:rPr>
          <w:rFonts w:cs="Arial"/>
        </w:rPr>
        <w:t>connectedness.</w:t>
      </w:r>
    </w:p>
    <w:p w14:paraId="09A75E27" w14:textId="2498D635" w:rsidR="00D515EB" w:rsidRPr="00150CD2" w:rsidRDefault="00683D71" w:rsidP="004026F6">
      <w:pPr>
        <w:pStyle w:val="EYBodytextwithparaspace"/>
        <w:rPr>
          <w:rFonts w:cs="Arial"/>
        </w:rPr>
      </w:pPr>
      <w:r w:rsidRPr="00150CD2">
        <w:rPr>
          <w:rFonts w:cs="Arial"/>
        </w:rPr>
        <w:t>These observations are intended to provide a starting point for:</w:t>
      </w:r>
    </w:p>
    <w:p w14:paraId="7AD7A742" w14:textId="347992EE" w:rsidR="0072214A" w:rsidRPr="00150CD2" w:rsidRDefault="00683D71" w:rsidP="0072214A">
      <w:pPr>
        <w:pStyle w:val="EYBulletnoparaspace"/>
        <w:rPr>
          <w:rFonts w:cs="Arial"/>
        </w:rPr>
      </w:pPr>
      <w:r w:rsidRPr="00150CD2">
        <w:rPr>
          <w:rFonts w:cs="Arial"/>
        </w:rPr>
        <w:t xml:space="preserve">Identifying wellbeing areas </w:t>
      </w:r>
      <w:r w:rsidR="0072214A" w:rsidRPr="00150CD2">
        <w:rPr>
          <w:rFonts w:cs="Arial"/>
        </w:rPr>
        <w:t>where there appear to be substantial differences between the DSS and non-DSS population</w:t>
      </w:r>
    </w:p>
    <w:p w14:paraId="37068456" w14:textId="2C0E8823" w:rsidR="00683D71" w:rsidRPr="00150CD2" w:rsidRDefault="00683D71" w:rsidP="00D532B7">
      <w:pPr>
        <w:pStyle w:val="EYBulletnoparaspace"/>
        <w:rPr>
          <w:rFonts w:cs="Arial"/>
        </w:rPr>
      </w:pPr>
      <w:r w:rsidRPr="00150CD2">
        <w:rPr>
          <w:rFonts w:cs="Arial"/>
        </w:rPr>
        <w:t xml:space="preserve">Supporting findings from other research </w:t>
      </w:r>
      <w:r w:rsidR="00A154F3" w:rsidRPr="00150CD2">
        <w:rPr>
          <w:rFonts w:cs="Arial"/>
        </w:rPr>
        <w:t>around areas of disparity and potential unmet need</w:t>
      </w:r>
    </w:p>
    <w:p w14:paraId="629A12E8" w14:textId="597ED408" w:rsidR="00D515EB" w:rsidRPr="00150CD2" w:rsidRDefault="00D515EB" w:rsidP="00D532B7">
      <w:pPr>
        <w:pStyle w:val="EYBulletnoparaspace"/>
        <w:rPr>
          <w:rFonts w:cs="Arial"/>
        </w:rPr>
      </w:pPr>
      <w:r w:rsidRPr="00150CD2">
        <w:rPr>
          <w:rFonts w:cs="Arial"/>
        </w:rPr>
        <w:t>Support</w:t>
      </w:r>
      <w:r w:rsidR="00683D71" w:rsidRPr="00150CD2">
        <w:rPr>
          <w:rFonts w:cs="Arial"/>
        </w:rPr>
        <w:t>ing</w:t>
      </w:r>
      <w:r w:rsidRPr="00150CD2">
        <w:rPr>
          <w:rFonts w:cs="Arial"/>
        </w:rPr>
        <w:t xml:space="preserve"> </w:t>
      </w:r>
      <w:r w:rsidR="0072214A" w:rsidRPr="00150CD2">
        <w:rPr>
          <w:rFonts w:cs="Arial"/>
        </w:rPr>
        <w:t xml:space="preserve">the Ministry’s </w:t>
      </w:r>
      <w:r w:rsidR="00A021B5" w:rsidRPr="00150CD2">
        <w:rPr>
          <w:rFonts w:cs="Arial"/>
        </w:rPr>
        <w:t>reasonableness checks</w:t>
      </w:r>
      <w:r w:rsidR="0072214A" w:rsidRPr="00150CD2">
        <w:rPr>
          <w:rFonts w:cs="Arial"/>
        </w:rPr>
        <w:t xml:space="preserve"> of survey observations </w:t>
      </w:r>
      <w:r w:rsidR="00D532B7" w:rsidRPr="00150CD2">
        <w:rPr>
          <w:rFonts w:cs="Arial"/>
        </w:rPr>
        <w:t>collected</w:t>
      </w:r>
      <w:r w:rsidR="0072214A" w:rsidRPr="00150CD2">
        <w:rPr>
          <w:rFonts w:cs="Arial"/>
        </w:rPr>
        <w:t xml:space="preserve"> from the Mana Whaikaha cohort prior to the prototype’s commencement</w:t>
      </w:r>
      <w:r w:rsidR="0072214A" w:rsidRPr="00150CD2">
        <w:rPr>
          <w:rFonts w:cs="Arial"/>
        </w:rPr>
        <w:br/>
      </w:r>
    </w:p>
    <w:p w14:paraId="18A44A57" w14:textId="21B0F6FC" w:rsidR="00BF17A5" w:rsidRPr="00150CD2" w:rsidRDefault="00A154F3" w:rsidP="0072214A">
      <w:pPr>
        <w:pStyle w:val="EYBodytextwithparaspace"/>
        <w:rPr>
          <w:rFonts w:cs="Arial"/>
          <w:bCs/>
        </w:rPr>
      </w:pPr>
      <w:r w:rsidRPr="00150CD2">
        <w:rPr>
          <w:rFonts w:cs="Arial"/>
          <w:bCs/>
        </w:rPr>
        <w:t xml:space="preserve">This data is subject to </w:t>
      </w:r>
      <w:r w:rsidR="00403E7B" w:rsidRPr="00150CD2">
        <w:rPr>
          <w:rFonts w:cs="Arial"/>
          <w:bCs/>
        </w:rPr>
        <w:t xml:space="preserve">some key </w:t>
      </w:r>
      <w:r w:rsidR="00BF17A5" w:rsidRPr="00150CD2">
        <w:rPr>
          <w:rFonts w:cs="Arial"/>
          <w:bCs/>
        </w:rPr>
        <w:t>limitations</w:t>
      </w:r>
      <w:r w:rsidR="00403E7B" w:rsidRPr="00150CD2">
        <w:rPr>
          <w:rFonts w:cs="Arial"/>
          <w:bCs/>
        </w:rPr>
        <w:t>:</w:t>
      </w:r>
      <w:r w:rsidR="00BF17A5" w:rsidRPr="00150CD2">
        <w:rPr>
          <w:rFonts w:cs="Arial"/>
          <w:bCs/>
        </w:rPr>
        <w:t xml:space="preserve"> </w:t>
      </w:r>
    </w:p>
    <w:p w14:paraId="2BBC3D60" w14:textId="6D61A92F" w:rsidR="0072214A" w:rsidRPr="00150CD2" w:rsidRDefault="00BF17A5" w:rsidP="00D532B7">
      <w:pPr>
        <w:pStyle w:val="EYBulletedText1"/>
        <w:rPr>
          <w:rFonts w:cs="Arial"/>
          <w:bCs/>
        </w:rPr>
      </w:pPr>
      <w:r w:rsidRPr="00150CD2">
        <w:rPr>
          <w:rFonts w:cs="Arial"/>
          <w:b/>
          <w:bCs/>
          <w:u w:val="single"/>
        </w:rPr>
        <w:t>T</w:t>
      </w:r>
      <w:r w:rsidR="0072214A" w:rsidRPr="00150CD2">
        <w:rPr>
          <w:rFonts w:cs="Arial"/>
          <w:b/>
          <w:bCs/>
          <w:u w:val="single"/>
        </w:rPr>
        <w:t>hese observations should be treated as indicative only, rather than representative of the overall DSS population</w:t>
      </w:r>
      <w:r w:rsidR="0072214A" w:rsidRPr="00150CD2">
        <w:rPr>
          <w:rFonts w:cs="Arial"/>
        </w:rPr>
        <w:t xml:space="preserve">. </w:t>
      </w:r>
      <w:r w:rsidRPr="00150CD2">
        <w:rPr>
          <w:rFonts w:cs="Arial"/>
          <w:bCs/>
        </w:rPr>
        <w:t xml:space="preserve">This is because a relatively small number of current and previous DSS clients responded to the surveys and response weighting was not feasible. </w:t>
      </w:r>
    </w:p>
    <w:p w14:paraId="7D7E351C" w14:textId="77777777" w:rsidR="00D106A4" w:rsidRPr="00150CD2" w:rsidRDefault="00BF17A5" w:rsidP="00A154F3">
      <w:pPr>
        <w:pStyle w:val="EYBulletedText1"/>
        <w:rPr>
          <w:rFonts w:cs="Arial"/>
          <w:bCs/>
        </w:rPr>
      </w:pPr>
      <w:r w:rsidRPr="00150CD2">
        <w:rPr>
          <w:rFonts w:cs="Arial"/>
          <w:bCs/>
        </w:rPr>
        <w:t>Population surveys</w:t>
      </w:r>
      <w:r w:rsidR="00403E7B" w:rsidRPr="00150CD2">
        <w:rPr>
          <w:rFonts w:cs="Arial"/>
          <w:bCs/>
        </w:rPr>
        <w:t xml:space="preserve"> </w:t>
      </w:r>
      <w:r w:rsidRPr="00150CD2">
        <w:rPr>
          <w:rFonts w:cs="Arial"/>
          <w:bCs/>
        </w:rPr>
        <w:t xml:space="preserve">cover a broader range of </w:t>
      </w:r>
      <w:r w:rsidR="00683D71" w:rsidRPr="00150CD2">
        <w:rPr>
          <w:rFonts w:cs="Arial"/>
          <w:bCs/>
        </w:rPr>
        <w:t>wellbeing areas</w:t>
      </w:r>
      <w:r w:rsidRPr="00150CD2">
        <w:rPr>
          <w:rFonts w:cs="Arial"/>
          <w:bCs/>
        </w:rPr>
        <w:t xml:space="preserve"> than administrative data but </w:t>
      </w:r>
      <w:r w:rsidR="00403E7B" w:rsidRPr="00150CD2">
        <w:rPr>
          <w:rFonts w:cs="Arial"/>
          <w:bCs/>
        </w:rPr>
        <w:t xml:space="preserve">do not provide </w:t>
      </w:r>
      <w:r w:rsidR="00683D71" w:rsidRPr="00150CD2">
        <w:rPr>
          <w:rFonts w:cs="Arial"/>
          <w:bCs/>
        </w:rPr>
        <w:t>detailed information on wellbeing and needs.</w:t>
      </w:r>
      <w:r w:rsidR="00A154F3" w:rsidRPr="00150CD2">
        <w:rPr>
          <w:rFonts w:cs="Arial"/>
          <w:bCs/>
        </w:rPr>
        <w:t xml:space="preserve"> This section focuses on selected survey questions and is not intended to be an exhaustive analysis of the population surveys.</w:t>
      </w:r>
    </w:p>
    <w:p w14:paraId="19F9FB74" w14:textId="4CD91142" w:rsidR="00A3582A" w:rsidRPr="00150CD2" w:rsidRDefault="00D106A4" w:rsidP="00D106A4">
      <w:pPr>
        <w:pStyle w:val="EYBodytextwithparaspace"/>
        <w:rPr>
          <w:rFonts w:cs="Arial"/>
        </w:rPr>
      </w:pPr>
      <w:r w:rsidRPr="00150CD2">
        <w:rPr>
          <w:rFonts w:cs="Arial"/>
        </w:rPr>
        <w:t xml:space="preserve">Further information on the approach used is set out in </w:t>
      </w:r>
      <w:r w:rsidRPr="00150CD2">
        <w:rPr>
          <w:rFonts w:cs="Arial"/>
        </w:rPr>
        <w:fldChar w:fldCharType="begin"/>
      </w:r>
      <w:r w:rsidRPr="00150CD2">
        <w:rPr>
          <w:rFonts w:cs="Arial"/>
        </w:rPr>
        <w:instrText xml:space="preserve"> REF _Ref45109750 \r \h </w:instrText>
      </w:r>
      <w:r w:rsidR="00150CD2">
        <w:rPr>
          <w:rFonts w:cs="Arial"/>
        </w:rPr>
        <w:instrText xml:space="preserve"> \* MERGEFORMAT </w:instrText>
      </w:r>
      <w:r w:rsidRPr="00150CD2">
        <w:rPr>
          <w:rFonts w:cs="Arial"/>
        </w:rPr>
      </w:r>
      <w:r w:rsidRPr="00150CD2">
        <w:rPr>
          <w:rFonts w:cs="Arial"/>
        </w:rPr>
        <w:fldChar w:fldCharType="separate"/>
      </w:r>
      <w:r w:rsidR="00053D9A" w:rsidRPr="00150CD2">
        <w:rPr>
          <w:rFonts w:cs="Arial"/>
        </w:rPr>
        <w:t>Appendix G</w:t>
      </w:r>
      <w:r w:rsidRPr="00150CD2">
        <w:rPr>
          <w:rFonts w:cs="Arial"/>
        </w:rPr>
        <w:fldChar w:fldCharType="end"/>
      </w:r>
      <w:r w:rsidRPr="00150CD2">
        <w:rPr>
          <w:rFonts w:cs="Arial"/>
        </w:rPr>
        <w:t>.</w:t>
      </w:r>
    </w:p>
    <w:p w14:paraId="0BF2F7D2" w14:textId="0FFC31EB" w:rsidR="00E0004B" w:rsidRPr="00150CD2" w:rsidRDefault="00E918CE" w:rsidP="00184038">
      <w:pPr>
        <w:pStyle w:val="EYHeading2"/>
      </w:pPr>
      <w:bookmarkStart w:id="134" w:name="_Toc46365146"/>
      <w:bookmarkStart w:id="135" w:name="_Toc48752364"/>
      <w:r w:rsidRPr="00150CD2">
        <w:t>A brief introduction to the population surveys</w:t>
      </w:r>
      <w:bookmarkEnd w:id="134"/>
      <w:bookmarkEnd w:id="135"/>
    </w:p>
    <w:p w14:paraId="22CE8367" w14:textId="08D5810A" w:rsidR="007F5D5C" w:rsidRPr="00150CD2" w:rsidRDefault="000D3CFD" w:rsidP="00BF17A5">
      <w:pPr>
        <w:pStyle w:val="EYBodytextwithparaspace"/>
        <w:rPr>
          <w:rFonts w:cs="Arial"/>
        </w:rPr>
      </w:pPr>
      <w:r w:rsidRPr="00150CD2">
        <w:rPr>
          <w:rFonts w:cs="Arial"/>
        </w:rPr>
        <w:t xml:space="preserve">The </w:t>
      </w:r>
      <w:r w:rsidRPr="00150CD2">
        <w:rPr>
          <w:rFonts w:cs="Arial"/>
          <w:b/>
          <w:bCs/>
        </w:rPr>
        <w:t>2013 Disability Survey</w:t>
      </w:r>
      <w:r w:rsidRPr="00150CD2">
        <w:rPr>
          <w:rFonts w:cs="Arial"/>
        </w:rPr>
        <w:t xml:space="preserve"> (DS) contains responses by </w:t>
      </w:r>
      <w:r w:rsidR="00E0004B" w:rsidRPr="00150CD2">
        <w:rPr>
          <w:rFonts w:cs="Arial"/>
        </w:rPr>
        <w:t>adult</w:t>
      </w:r>
      <w:r w:rsidR="00935DFA" w:rsidRPr="00150CD2">
        <w:rPr>
          <w:rFonts w:cs="Arial"/>
        </w:rPr>
        <w:t xml:space="preserve">s and parents/carers of children </w:t>
      </w:r>
      <w:r w:rsidRPr="00150CD2">
        <w:rPr>
          <w:rFonts w:cs="Arial"/>
        </w:rPr>
        <w:t>to a range of questions around impairments, wellbeing areas, service access and needs</w:t>
      </w:r>
      <w:r w:rsidR="00935DFA" w:rsidRPr="00150CD2">
        <w:rPr>
          <w:rFonts w:cs="Arial"/>
        </w:rPr>
        <w:t>.</w:t>
      </w:r>
      <w:r w:rsidRPr="00150CD2">
        <w:rPr>
          <w:rFonts w:cs="Arial"/>
        </w:rPr>
        <w:t xml:space="preserve"> </w:t>
      </w:r>
      <w:r w:rsidR="00935DFA" w:rsidRPr="00150CD2">
        <w:rPr>
          <w:rFonts w:cs="Arial"/>
        </w:rPr>
        <w:t>The survey was administered by Statistics NZ following the 2013 Census</w:t>
      </w:r>
      <w:r w:rsidR="007F5D5C" w:rsidRPr="00150CD2">
        <w:rPr>
          <w:rFonts w:cs="Arial"/>
        </w:rPr>
        <w:t>. It sample</w:t>
      </w:r>
      <w:r w:rsidR="00497DC6" w:rsidRPr="00150CD2">
        <w:rPr>
          <w:rFonts w:cs="Arial"/>
        </w:rPr>
        <w:t>d</w:t>
      </w:r>
      <w:r w:rsidR="007F5D5C" w:rsidRPr="00150CD2">
        <w:rPr>
          <w:rFonts w:cs="Arial"/>
        </w:rPr>
        <w:t xml:space="preserve"> the adult population aged 15 and over and parents/carers of children aged 0-14, and was designed to provide good coverage of people who identified themselves or their child as being disabled. Some questions were applicable to both disabled and non-disabled people, while others are only applicable to disabled people. </w:t>
      </w:r>
    </w:p>
    <w:p w14:paraId="5778AB79" w14:textId="3AD10F06" w:rsidR="00497DC6" w:rsidRPr="00150CD2" w:rsidRDefault="00497DC6">
      <w:pPr>
        <w:pStyle w:val="EYBodytextwithparaspace"/>
        <w:rPr>
          <w:rFonts w:cs="Arial"/>
        </w:rPr>
      </w:pPr>
      <w:r w:rsidRPr="00150CD2">
        <w:rPr>
          <w:rFonts w:cs="Arial"/>
        </w:rPr>
        <w:t xml:space="preserve">The </w:t>
      </w:r>
      <w:r w:rsidRPr="00150CD2">
        <w:rPr>
          <w:rFonts w:cs="Arial"/>
          <w:b/>
          <w:bCs/>
        </w:rPr>
        <w:t>General Social Survey</w:t>
      </w:r>
      <w:r w:rsidRPr="00150CD2">
        <w:rPr>
          <w:rFonts w:cs="Arial"/>
        </w:rPr>
        <w:t xml:space="preserve"> (GSS) contains responses by adults aged 15 and over to a range of questions around wellbeing areas. The survey is administered by Statistics NZ every two years and is designed to cover a wide range of social and economic outcomes for different population groups.</w:t>
      </w:r>
      <w:r w:rsidR="00E918CE" w:rsidRPr="00150CD2">
        <w:rPr>
          <w:rFonts w:cs="Arial"/>
        </w:rPr>
        <w:t xml:space="preserve"> </w:t>
      </w:r>
      <w:r w:rsidR="00412FD1" w:rsidRPr="00150CD2">
        <w:rPr>
          <w:rFonts w:cs="Arial"/>
        </w:rPr>
        <w:t xml:space="preserve"> The 2014 and 2016 surveys were the most recent waves prior to 30 June 2018.</w:t>
      </w:r>
    </w:p>
    <w:p w14:paraId="61A51CA0" w14:textId="5899B765" w:rsidR="007F5D5C" w:rsidRPr="00150CD2" w:rsidRDefault="007F5D5C" w:rsidP="007F5D5C">
      <w:pPr>
        <w:pStyle w:val="EYBodytextwithparaspace"/>
        <w:rPr>
          <w:rFonts w:cs="Arial"/>
        </w:rPr>
      </w:pPr>
      <w:r w:rsidRPr="00150CD2">
        <w:rPr>
          <w:rFonts w:cs="Arial"/>
        </w:rPr>
        <w:t>Survey respondents who had ever been allocated DSS funding were identified through Statistics NZ’s IDI, which links the 2013 Disability Survey, 2014 and 2016 General Social Survey datasets with Ministry of Health DSS datasets.</w:t>
      </w:r>
    </w:p>
    <w:p w14:paraId="172B8291" w14:textId="60EEF322" w:rsidR="00823BE6" w:rsidRPr="00150CD2" w:rsidRDefault="007F5D5C" w:rsidP="00823BE6">
      <w:pPr>
        <w:pStyle w:val="EYBodytextwithparaspace"/>
        <w:rPr>
          <w:rFonts w:cs="Arial"/>
        </w:rPr>
      </w:pPr>
      <w:r w:rsidRPr="00150CD2">
        <w:rPr>
          <w:rFonts w:cs="Arial"/>
        </w:rPr>
        <w:t>Further information on the methodology, questions and findings from these surveys can be found on Statistics NZ’s website.</w:t>
      </w:r>
    </w:p>
    <w:p w14:paraId="008122B0" w14:textId="0877F2B3" w:rsidR="00B617CD" w:rsidRPr="00150CD2" w:rsidRDefault="00B617CD" w:rsidP="00823BE6">
      <w:pPr>
        <w:pStyle w:val="EYBodytextwithparaspace"/>
        <w:rPr>
          <w:rFonts w:cs="Arial"/>
        </w:rPr>
      </w:pPr>
    </w:p>
    <w:p w14:paraId="52F2419A" w14:textId="08DE98D6" w:rsidR="00CA43CF" w:rsidRPr="00150CD2" w:rsidRDefault="00CA43CF" w:rsidP="00184038">
      <w:pPr>
        <w:pStyle w:val="EYHeading2"/>
      </w:pPr>
      <w:bookmarkStart w:id="136" w:name="_Toc46365147"/>
      <w:bookmarkStart w:id="137" w:name="_Toc48752365"/>
      <w:r w:rsidRPr="00150CD2">
        <w:t>Child DSS clients</w:t>
      </w:r>
      <w:bookmarkEnd w:id="136"/>
      <w:bookmarkEnd w:id="137"/>
    </w:p>
    <w:p w14:paraId="30B2F608" w14:textId="772CF045" w:rsidR="009B56A7" w:rsidRPr="00150CD2" w:rsidRDefault="00935CD4" w:rsidP="001B763C">
      <w:pPr>
        <w:pStyle w:val="EYBodytextwithparaspace"/>
        <w:rPr>
          <w:rFonts w:cs="Arial"/>
        </w:rPr>
      </w:pPr>
      <w:r w:rsidRPr="00150CD2">
        <w:rPr>
          <w:rFonts w:cs="Arial"/>
        </w:rPr>
        <w:t xml:space="preserve">The 2013 Disability Survey </w:t>
      </w:r>
      <w:r w:rsidR="004D3CC7" w:rsidRPr="00150CD2">
        <w:rPr>
          <w:rFonts w:cs="Arial"/>
        </w:rPr>
        <w:t xml:space="preserve">(DS) </w:t>
      </w:r>
      <w:r w:rsidRPr="00150CD2">
        <w:rPr>
          <w:rFonts w:cs="Arial"/>
        </w:rPr>
        <w:t xml:space="preserve">contains responses by parents, carers and household members for around </w:t>
      </w:r>
      <w:r w:rsidR="001B7D1A" w:rsidRPr="00150CD2">
        <w:rPr>
          <w:rFonts w:cs="Arial"/>
        </w:rPr>
        <w:t>350</w:t>
      </w:r>
      <w:r w:rsidRPr="00150CD2">
        <w:rPr>
          <w:rFonts w:cs="Arial"/>
        </w:rPr>
        <w:t xml:space="preserve"> DSS child</w:t>
      </w:r>
      <w:r w:rsidR="00B931DC" w:rsidRPr="00150CD2">
        <w:rPr>
          <w:rFonts w:cs="Arial"/>
        </w:rPr>
        <w:t>ren</w:t>
      </w:r>
      <w:r w:rsidR="00AF1661" w:rsidRPr="00150CD2">
        <w:rPr>
          <w:rFonts w:cs="Arial"/>
        </w:rPr>
        <w:t xml:space="preserve"> aged 0-1</w:t>
      </w:r>
      <w:r w:rsidR="004776FC" w:rsidRPr="00150CD2">
        <w:rPr>
          <w:rFonts w:cs="Arial"/>
        </w:rPr>
        <w:t>4</w:t>
      </w:r>
      <w:r w:rsidR="001B7D1A" w:rsidRPr="00150CD2">
        <w:rPr>
          <w:rFonts w:cs="Arial"/>
        </w:rPr>
        <w:t xml:space="preserve">. </w:t>
      </w:r>
      <w:r w:rsidR="00B931DC" w:rsidRPr="00150CD2">
        <w:rPr>
          <w:rFonts w:cs="Arial"/>
        </w:rPr>
        <w:br/>
      </w:r>
      <w:r w:rsidR="005A43BC" w:rsidRPr="00150CD2">
        <w:rPr>
          <w:rFonts w:cs="Arial"/>
        </w:rPr>
        <w:t xml:space="preserve">The </w:t>
      </w:r>
      <w:r w:rsidR="00B931DC" w:rsidRPr="00150CD2">
        <w:rPr>
          <w:rFonts w:cs="Arial"/>
        </w:rPr>
        <w:t xml:space="preserve">2013 </w:t>
      </w:r>
      <w:r w:rsidR="005A43BC" w:rsidRPr="00150CD2">
        <w:rPr>
          <w:rFonts w:cs="Arial"/>
        </w:rPr>
        <w:t>Disability Survey includes two other population groups for comparison to DSS children:</w:t>
      </w:r>
    </w:p>
    <w:p w14:paraId="2B9CECFF" w14:textId="49B0D2E5" w:rsidR="005A43BC" w:rsidRPr="00150CD2" w:rsidRDefault="009C0C3C" w:rsidP="00E07AB9">
      <w:pPr>
        <w:pStyle w:val="EYBulletnoparaspace"/>
        <w:rPr>
          <w:rFonts w:cs="Arial"/>
        </w:rPr>
      </w:pPr>
      <w:r w:rsidRPr="00150CD2">
        <w:rPr>
          <w:rFonts w:cs="Arial"/>
        </w:rPr>
        <w:t>C</w:t>
      </w:r>
      <w:r w:rsidR="005A43BC" w:rsidRPr="00150CD2">
        <w:rPr>
          <w:rFonts w:cs="Arial"/>
        </w:rPr>
        <w:t>hildren with impairments who have never been allocated DSS funding</w:t>
      </w:r>
      <w:r w:rsidRPr="00150CD2">
        <w:rPr>
          <w:rFonts w:cs="Arial"/>
        </w:rPr>
        <w:t xml:space="preserve"> (around 980 children)</w:t>
      </w:r>
    </w:p>
    <w:p w14:paraId="259F103C" w14:textId="630A8274" w:rsidR="005A43BC" w:rsidRPr="00150CD2" w:rsidRDefault="005A43BC" w:rsidP="00E07AB9">
      <w:pPr>
        <w:pStyle w:val="EYBulletnoparaspace"/>
        <w:rPr>
          <w:rFonts w:cs="Arial"/>
        </w:rPr>
      </w:pPr>
      <w:r w:rsidRPr="00150CD2">
        <w:rPr>
          <w:rFonts w:cs="Arial"/>
        </w:rPr>
        <w:t>Children with no impairments</w:t>
      </w:r>
      <w:r w:rsidR="00B931DC" w:rsidRPr="00150CD2">
        <w:rPr>
          <w:rFonts w:cs="Arial"/>
        </w:rPr>
        <w:t xml:space="preserve"> (around 5,200 children)</w:t>
      </w:r>
    </w:p>
    <w:p w14:paraId="5E99F473" w14:textId="37CCBA9C" w:rsidR="00935CD4" w:rsidRPr="00150CD2" w:rsidRDefault="00355F66" w:rsidP="00935CD4">
      <w:pPr>
        <w:pStyle w:val="EYBodytextwithparaspace"/>
        <w:rPr>
          <w:rFonts w:cs="Arial"/>
        </w:rPr>
      </w:pPr>
      <w:r w:rsidRPr="00150CD2">
        <w:rPr>
          <w:rFonts w:cs="Arial"/>
        </w:rPr>
        <w:br/>
      </w:r>
      <w:r w:rsidR="00935CD4" w:rsidRPr="00150CD2">
        <w:rPr>
          <w:rFonts w:cs="Arial"/>
        </w:rPr>
        <w:t xml:space="preserve">The 2014 and 2016 General Social Survey </w:t>
      </w:r>
      <w:r w:rsidR="004049A2" w:rsidRPr="00150CD2">
        <w:rPr>
          <w:rFonts w:cs="Arial"/>
        </w:rPr>
        <w:t xml:space="preserve">(GSS) </w:t>
      </w:r>
      <w:r w:rsidR="00A61E9A" w:rsidRPr="00150CD2">
        <w:rPr>
          <w:rFonts w:cs="Arial"/>
        </w:rPr>
        <w:t>contains responses from</w:t>
      </w:r>
      <w:r w:rsidR="00907A1A" w:rsidRPr="00150CD2">
        <w:rPr>
          <w:rFonts w:cs="Arial"/>
        </w:rPr>
        <w:t xml:space="preserve"> parent/carer/household respondents </w:t>
      </w:r>
      <w:r w:rsidR="00A61E9A" w:rsidRPr="00150CD2">
        <w:rPr>
          <w:rFonts w:cs="Arial"/>
        </w:rPr>
        <w:t xml:space="preserve">who are linked to </w:t>
      </w:r>
      <w:r w:rsidR="00907A1A" w:rsidRPr="00150CD2">
        <w:rPr>
          <w:rFonts w:cs="Arial"/>
        </w:rPr>
        <w:t xml:space="preserve">around </w:t>
      </w:r>
      <w:r w:rsidR="00E07AB9" w:rsidRPr="00150CD2">
        <w:rPr>
          <w:rFonts w:cs="Arial"/>
        </w:rPr>
        <w:t>160</w:t>
      </w:r>
      <w:r w:rsidR="00935CD4" w:rsidRPr="00150CD2">
        <w:rPr>
          <w:rFonts w:cs="Arial"/>
        </w:rPr>
        <w:t xml:space="preserve"> DSS child</w:t>
      </w:r>
      <w:r w:rsidR="00B931DC" w:rsidRPr="00150CD2">
        <w:rPr>
          <w:rFonts w:cs="Arial"/>
        </w:rPr>
        <w:t>ren</w:t>
      </w:r>
      <w:r w:rsidR="00AF1661" w:rsidRPr="00150CD2">
        <w:rPr>
          <w:rFonts w:cs="Arial"/>
        </w:rPr>
        <w:t xml:space="preserve"> aged </w:t>
      </w:r>
      <w:r w:rsidR="00A61E9A" w:rsidRPr="00150CD2">
        <w:rPr>
          <w:rFonts w:cs="Arial"/>
        </w:rPr>
        <w:t>0-14</w:t>
      </w:r>
      <w:r w:rsidR="00B931DC" w:rsidRPr="00150CD2">
        <w:rPr>
          <w:rFonts w:cs="Arial"/>
        </w:rPr>
        <w:t>, along with around 7,100 non-DSS children</w:t>
      </w:r>
      <w:r w:rsidR="00907A1A" w:rsidRPr="00150CD2">
        <w:rPr>
          <w:rFonts w:cs="Arial"/>
        </w:rPr>
        <w:t>.</w:t>
      </w:r>
      <w:r w:rsidR="00A61E9A" w:rsidRPr="00150CD2">
        <w:rPr>
          <w:rFonts w:cs="Arial"/>
        </w:rPr>
        <w:t xml:space="preserve"> This survey did not contain questions relating to children so our observations are limited to those describing parent/carer or household characteristics.</w:t>
      </w:r>
    </w:p>
    <w:p w14:paraId="18A6B098" w14:textId="188C7034" w:rsidR="00780305" w:rsidRPr="00150CD2" w:rsidRDefault="00F34C13" w:rsidP="00780305">
      <w:pPr>
        <w:pStyle w:val="EYBodytextwithparaspace"/>
        <w:rPr>
          <w:rFonts w:cs="Arial"/>
        </w:rPr>
      </w:pPr>
      <w:r w:rsidRPr="00150CD2">
        <w:rPr>
          <w:rFonts w:cs="Arial"/>
        </w:rPr>
        <w:fldChar w:fldCharType="begin"/>
      </w:r>
      <w:r w:rsidRPr="00150CD2">
        <w:rPr>
          <w:rFonts w:cs="Arial"/>
        </w:rPr>
        <w:instrText xml:space="preserve"> REF _Ref45400933 \h </w:instrText>
      </w:r>
      <w:r w:rsidR="00150CD2">
        <w:rPr>
          <w:rFonts w:cs="Arial"/>
        </w:rPr>
        <w:instrText xml:space="preserve"> \* MERGEFORMAT </w:instrText>
      </w:r>
      <w:r w:rsidRPr="00150CD2">
        <w:rPr>
          <w:rFonts w:cs="Arial"/>
        </w:rPr>
      </w:r>
      <w:r w:rsidRPr="00150CD2">
        <w:rPr>
          <w:rFonts w:cs="Arial"/>
        </w:rPr>
        <w:fldChar w:fldCharType="separate"/>
      </w:r>
      <w:r w:rsidR="00053D9A" w:rsidRPr="00150CD2">
        <w:rPr>
          <w:rFonts w:cs="Arial"/>
        </w:rPr>
        <w:t xml:space="preserve">Figure </w:t>
      </w:r>
      <w:r w:rsidR="00053D9A" w:rsidRPr="00150CD2">
        <w:rPr>
          <w:rFonts w:cs="Arial"/>
          <w:noProof/>
        </w:rPr>
        <w:t>8</w:t>
      </w:r>
      <w:r w:rsidRPr="00150CD2">
        <w:rPr>
          <w:rFonts w:cs="Arial"/>
        </w:rPr>
        <w:fldChar w:fldCharType="end"/>
      </w:r>
      <w:r w:rsidRPr="00150CD2">
        <w:rPr>
          <w:rFonts w:cs="Arial"/>
        </w:rPr>
        <w:t xml:space="preserve"> and </w:t>
      </w:r>
      <w:r w:rsidRPr="00150CD2">
        <w:rPr>
          <w:rFonts w:cs="Arial"/>
        </w:rPr>
        <w:fldChar w:fldCharType="begin"/>
      </w:r>
      <w:r w:rsidRPr="00150CD2">
        <w:rPr>
          <w:rFonts w:cs="Arial"/>
        </w:rPr>
        <w:instrText xml:space="preserve"> REF _Ref45400939 \h </w:instrText>
      </w:r>
      <w:r w:rsidR="00150CD2">
        <w:rPr>
          <w:rFonts w:cs="Arial"/>
        </w:rPr>
        <w:instrText xml:space="preserve"> \* MERGEFORMAT </w:instrText>
      </w:r>
      <w:r w:rsidRPr="00150CD2">
        <w:rPr>
          <w:rFonts w:cs="Arial"/>
        </w:rPr>
      </w:r>
      <w:r w:rsidRPr="00150CD2">
        <w:rPr>
          <w:rFonts w:cs="Arial"/>
        </w:rPr>
        <w:fldChar w:fldCharType="separate"/>
      </w:r>
      <w:r w:rsidR="00053D9A" w:rsidRPr="00150CD2">
        <w:rPr>
          <w:rFonts w:cs="Arial"/>
        </w:rPr>
        <w:t xml:space="preserve">Figure </w:t>
      </w:r>
      <w:r w:rsidR="00053D9A" w:rsidRPr="00150CD2">
        <w:rPr>
          <w:rFonts w:cs="Arial"/>
          <w:noProof/>
        </w:rPr>
        <w:t>9</w:t>
      </w:r>
      <w:r w:rsidRPr="00150CD2">
        <w:rPr>
          <w:rFonts w:cs="Arial"/>
        </w:rPr>
        <w:fldChar w:fldCharType="end"/>
      </w:r>
      <w:r w:rsidRPr="00150CD2">
        <w:rPr>
          <w:rFonts w:cs="Arial"/>
        </w:rPr>
        <w:t xml:space="preserve"> </w:t>
      </w:r>
      <w:r w:rsidR="00780305" w:rsidRPr="00150CD2">
        <w:rPr>
          <w:rFonts w:cs="Arial"/>
        </w:rPr>
        <w:t>highlight responses to some of the key wellbeing related questions</w:t>
      </w:r>
      <w:r w:rsidRPr="00150CD2">
        <w:rPr>
          <w:rFonts w:cs="Arial"/>
        </w:rPr>
        <w:t>. Differences between DSS respondents and non-DSS respondents are statistically significant at the 95</w:t>
      </w:r>
      <w:r w:rsidRPr="00150CD2">
        <w:rPr>
          <w:rFonts w:cs="Arial"/>
          <w:vertAlign w:val="superscript"/>
        </w:rPr>
        <w:t>th</w:t>
      </w:r>
      <w:r w:rsidRPr="00150CD2">
        <w:rPr>
          <w:rFonts w:cs="Arial"/>
        </w:rPr>
        <w:t xml:space="preserve"> percentile level (unless otherwise noted). </w:t>
      </w:r>
    </w:p>
    <w:p w14:paraId="6B760285" w14:textId="664EDC46" w:rsidR="00F061C7" w:rsidRPr="00150CD2" w:rsidRDefault="00F061C7">
      <w:pPr>
        <w:autoSpaceDE/>
        <w:autoSpaceDN/>
        <w:adjustRightInd/>
        <w:rPr>
          <w:rFonts w:cs="Arial"/>
          <w:b/>
          <w:bCs/>
          <w:color w:val="808080"/>
          <w:sz w:val="16"/>
          <w:szCs w:val="18"/>
        </w:rPr>
      </w:pPr>
      <w:r w:rsidRPr="00150CD2">
        <w:rPr>
          <w:rFonts w:cs="Arial"/>
        </w:rPr>
        <w:br w:type="page"/>
      </w:r>
    </w:p>
    <w:p w14:paraId="639DA25F" w14:textId="3DB95BEA" w:rsidR="00F30FC3" w:rsidRPr="00150CD2" w:rsidRDefault="0091605D" w:rsidP="0091605D">
      <w:pPr>
        <w:pStyle w:val="Caption"/>
        <w:rPr>
          <w:rFonts w:cs="Arial"/>
          <w:lang w:val="en-US"/>
        </w:rPr>
      </w:pPr>
      <w:bookmarkStart w:id="138" w:name="_Ref45400933"/>
      <w:bookmarkStart w:id="139" w:name="_Hlk47197018"/>
      <w:r w:rsidRPr="00150CD2">
        <w:rPr>
          <w:rFonts w:cs="Arial"/>
        </w:rPr>
        <w:t xml:space="preserve">Figure </w:t>
      </w:r>
      <w:r w:rsidRPr="00150CD2">
        <w:rPr>
          <w:rFonts w:cs="Arial"/>
        </w:rPr>
        <w:fldChar w:fldCharType="begin"/>
      </w:r>
      <w:r w:rsidRPr="00150CD2">
        <w:rPr>
          <w:rFonts w:cs="Arial"/>
        </w:rPr>
        <w:instrText xml:space="preserve"> SEQ Figure \* ARABIC </w:instrText>
      </w:r>
      <w:r w:rsidRPr="00150CD2">
        <w:rPr>
          <w:rFonts w:cs="Arial"/>
        </w:rPr>
        <w:fldChar w:fldCharType="separate"/>
      </w:r>
      <w:r w:rsidR="00053D9A" w:rsidRPr="00150CD2">
        <w:rPr>
          <w:rFonts w:cs="Arial"/>
          <w:noProof/>
        </w:rPr>
        <w:t>8</w:t>
      </w:r>
      <w:r w:rsidRPr="00150CD2">
        <w:rPr>
          <w:rFonts w:cs="Arial"/>
        </w:rPr>
        <w:fldChar w:fldCharType="end"/>
      </w:r>
      <w:bookmarkEnd w:id="138"/>
      <w:r w:rsidRPr="00150CD2">
        <w:rPr>
          <w:rFonts w:cs="Arial"/>
        </w:rPr>
        <w:t xml:space="preserve">: </w:t>
      </w:r>
      <w:bookmarkStart w:id="140" w:name="_Hlk40113289"/>
      <w:r w:rsidRPr="00150CD2">
        <w:rPr>
          <w:rFonts w:cs="Arial"/>
        </w:rPr>
        <w:t xml:space="preserve">Selected Disability Survey responses </w:t>
      </w:r>
      <w:r w:rsidR="005826EF" w:rsidRPr="00150CD2">
        <w:rPr>
          <w:rFonts w:cs="Arial"/>
        </w:rPr>
        <w:t>for</w:t>
      </w:r>
      <w:r w:rsidRPr="00150CD2">
        <w:rPr>
          <w:rFonts w:cs="Arial"/>
        </w:rPr>
        <w:t xml:space="preserve"> children ever allocated DSS funding, compared to other </w:t>
      </w:r>
      <w:r w:rsidR="005826EF" w:rsidRPr="00150CD2">
        <w:rPr>
          <w:rFonts w:cs="Arial"/>
        </w:rPr>
        <w:t xml:space="preserve">children </w:t>
      </w:r>
      <w:r w:rsidR="00F30FC3" w:rsidRPr="00150CD2">
        <w:rPr>
          <w:rFonts w:cs="Arial"/>
        </w:rPr>
        <w:t xml:space="preserve">with and without impairments who have </w:t>
      </w:r>
      <w:r w:rsidR="005826EF" w:rsidRPr="00150CD2">
        <w:rPr>
          <w:rFonts w:cs="Arial"/>
        </w:rPr>
        <w:t xml:space="preserve">never </w:t>
      </w:r>
      <w:r w:rsidR="00F30FC3" w:rsidRPr="00150CD2">
        <w:rPr>
          <w:rFonts w:cs="Arial"/>
        </w:rPr>
        <w:t xml:space="preserve">been </w:t>
      </w:r>
      <w:r w:rsidR="005826EF" w:rsidRPr="00150CD2">
        <w:rPr>
          <w:rFonts w:cs="Arial"/>
        </w:rPr>
        <w:t>allocated DSS funding</w:t>
      </w:r>
      <w:bookmarkEnd w:id="139"/>
      <w:bookmarkEnd w:id="140"/>
    </w:p>
    <w:tbl>
      <w:tblPr>
        <w:tblStyle w:val="TableGrid1"/>
        <w:tblW w:w="5000" w:type="pct"/>
        <w:tblLayout w:type="fixed"/>
        <w:tblCellMar>
          <w:top w:w="58" w:type="dxa"/>
          <w:left w:w="115" w:type="dxa"/>
          <w:bottom w:w="58" w:type="dxa"/>
          <w:right w:w="115" w:type="dxa"/>
        </w:tblCellMar>
        <w:tblLook w:val="04A0" w:firstRow="1" w:lastRow="0" w:firstColumn="1" w:lastColumn="0" w:noHBand="0" w:noVBand="1"/>
        <w:tblCaption w:val="Figure 8 - Selected Disability Survey responses for DSS and non-DSS children"/>
        <w:tblDescription w:val="Figure 8 chart highlights differences in selected Disability Survey responses for children ever allocated DSS funding, compared to other children with and without impairments who have never been allocated DSS funding. &#10;&#10;Below is a description of the key differences:&#10;1. Child health: A lower proportion of DSS children and other children with impairments were described as being in “good” to “excellent” health, compared to children without impairments.&#10;&#10;2. Child contact with friends: A smaller proportion of DSS children had visited friends in the 4 weeks prior to the survey, compared to other children with impairments. Both DSS and non-DSS children with impairments were less likely to have visited friends than children without impairments.&#10;&#10;3. Child contact with community: A slightly smaller proportion of DSS children had gone out with family or friends (e.g. to shops or movies) in the 4 weeks prior to the survey, compared to other children with impairments. Both DSS and non-DSS children with impairments were less likely to have gone out than children without impairments.&#10;&#10;4. Support at home: A higher proportion of DSS children had had unmet need for respite care or carer support in the 12 months prior to the survey, compared to other children with impairments.&#10;&#10;5. Support at school: Over half of DSS children aged 5-14 needed help at school, or more help at school than currently provided. A similar proportion of non-DSS children with impairments also needed help at school, or more help than currently provided.&#10;&#10;6. Carer stress: A higher proportion of parents/carers of DSS children reported feeling stressed “often” in the 4 weeks prior to the survey, compared to parents/carers of other children with impairments."/>
      </w:tblPr>
      <w:tblGrid>
        <w:gridCol w:w="3685"/>
        <w:gridCol w:w="1719"/>
        <w:gridCol w:w="1703"/>
        <w:gridCol w:w="1912"/>
      </w:tblGrid>
      <w:tr w:rsidR="00F0111F" w:rsidRPr="00150CD2" w14:paraId="5497454F" w14:textId="77777777" w:rsidTr="00BB45F4">
        <w:trPr>
          <w:tblHeader/>
        </w:trPr>
        <w:tc>
          <w:tcPr>
            <w:tcW w:w="2043" w:type="pct"/>
            <w:tcBorders>
              <w:bottom w:val="single" w:sz="4" w:space="0" w:color="auto"/>
              <w:right w:val="nil"/>
            </w:tcBorders>
            <w:shd w:val="clear" w:color="auto" w:fill="F2F2F2"/>
          </w:tcPr>
          <w:p w14:paraId="6A8E0B3A" w14:textId="77777777" w:rsidR="00F30FC3" w:rsidRPr="00150CD2" w:rsidRDefault="00F30FC3" w:rsidP="005A46E6">
            <w:pPr>
              <w:autoSpaceDE/>
              <w:autoSpaceDN/>
              <w:adjustRightInd/>
              <w:spacing w:before="60" w:after="60"/>
              <w:rPr>
                <w:rFonts w:cs="Arial"/>
                <w:b/>
                <w:color w:val="808080"/>
                <w:sz w:val="24"/>
                <w:szCs w:val="24"/>
                <w:lang w:val="en-NZ"/>
              </w:rPr>
            </w:pPr>
            <w:bookmarkStart w:id="141" w:name="_Hlk45524127"/>
            <w:r w:rsidRPr="00150CD2">
              <w:rPr>
                <w:rFonts w:cs="Arial"/>
                <w:b/>
                <w:color w:val="808080"/>
                <w:sz w:val="24"/>
                <w:szCs w:val="24"/>
                <w:lang w:val="en-NZ"/>
              </w:rPr>
              <w:t>Wellbeing indicators</w:t>
            </w:r>
          </w:p>
        </w:tc>
        <w:tc>
          <w:tcPr>
            <w:tcW w:w="953" w:type="pct"/>
            <w:tcBorders>
              <w:left w:val="nil"/>
              <w:bottom w:val="single" w:sz="4" w:space="0" w:color="auto"/>
              <w:right w:val="nil"/>
            </w:tcBorders>
            <w:shd w:val="clear" w:color="auto" w:fill="F2F2F2"/>
            <w:tcMar>
              <w:left w:w="288" w:type="dxa"/>
            </w:tcMar>
          </w:tcPr>
          <w:p w14:paraId="66519F69" w14:textId="62093969" w:rsidR="00F30FC3" w:rsidRPr="00150CD2" w:rsidRDefault="00F30FC3" w:rsidP="00F0111F">
            <w:pPr>
              <w:autoSpaceDE/>
              <w:autoSpaceDN/>
              <w:adjustRightInd/>
              <w:spacing w:before="60" w:after="60"/>
              <w:jc w:val="center"/>
              <w:rPr>
                <w:rFonts w:cs="Arial"/>
                <w:b/>
                <w:color w:val="808080"/>
                <w:sz w:val="24"/>
                <w:szCs w:val="24"/>
                <w:lang w:val="en-NZ"/>
              </w:rPr>
            </w:pPr>
            <w:r w:rsidRPr="00150CD2">
              <w:rPr>
                <w:rFonts w:cs="Arial"/>
                <w:b/>
                <w:color w:val="808080"/>
                <w:sz w:val="24"/>
                <w:szCs w:val="24"/>
                <w:lang w:val="en-NZ"/>
              </w:rPr>
              <w:t>DSS children</w:t>
            </w:r>
          </w:p>
        </w:tc>
        <w:tc>
          <w:tcPr>
            <w:tcW w:w="944" w:type="pct"/>
            <w:tcBorders>
              <w:left w:val="nil"/>
              <w:bottom w:val="single" w:sz="4" w:space="0" w:color="auto"/>
              <w:right w:val="nil"/>
            </w:tcBorders>
            <w:shd w:val="clear" w:color="auto" w:fill="F2F2F2"/>
          </w:tcPr>
          <w:p w14:paraId="645D7C33" w14:textId="3B186DD9" w:rsidR="00F30FC3" w:rsidRPr="00150CD2" w:rsidRDefault="00F30FC3" w:rsidP="005A46E6">
            <w:pPr>
              <w:autoSpaceDE/>
              <w:autoSpaceDN/>
              <w:adjustRightInd/>
              <w:spacing w:before="60" w:after="60"/>
              <w:jc w:val="center"/>
              <w:rPr>
                <w:rFonts w:cs="Arial"/>
                <w:b/>
                <w:color w:val="808080"/>
                <w:sz w:val="24"/>
                <w:szCs w:val="24"/>
                <w:lang w:val="en-NZ"/>
              </w:rPr>
            </w:pPr>
            <w:r w:rsidRPr="00150CD2">
              <w:rPr>
                <w:rFonts w:cs="Arial"/>
                <w:b/>
                <w:color w:val="808080"/>
                <w:sz w:val="24"/>
                <w:szCs w:val="24"/>
                <w:lang w:val="en-NZ"/>
              </w:rPr>
              <w:t>Non-DSS children with impairments</w:t>
            </w:r>
          </w:p>
        </w:tc>
        <w:tc>
          <w:tcPr>
            <w:tcW w:w="1060" w:type="pct"/>
            <w:tcBorders>
              <w:left w:val="nil"/>
              <w:bottom w:val="single" w:sz="4" w:space="0" w:color="auto"/>
            </w:tcBorders>
            <w:shd w:val="clear" w:color="auto" w:fill="F2F2F2"/>
            <w:tcMar>
              <w:right w:w="216" w:type="dxa"/>
            </w:tcMar>
          </w:tcPr>
          <w:p w14:paraId="584A8430" w14:textId="59E222D7" w:rsidR="00F30FC3" w:rsidRPr="00150CD2" w:rsidRDefault="00F30FC3" w:rsidP="005A46E6">
            <w:pPr>
              <w:autoSpaceDE/>
              <w:autoSpaceDN/>
              <w:adjustRightInd/>
              <w:spacing w:before="60" w:after="60"/>
              <w:jc w:val="center"/>
              <w:rPr>
                <w:rFonts w:cs="Arial"/>
                <w:b/>
                <w:color w:val="808080"/>
                <w:sz w:val="24"/>
                <w:szCs w:val="24"/>
                <w:lang w:val="en-NZ"/>
              </w:rPr>
            </w:pPr>
            <w:r w:rsidRPr="00150CD2">
              <w:rPr>
                <w:rFonts w:cs="Arial"/>
                <w:b/>
                <w:color w:val="808080"/>
                <w:sz w:val="24"/>
                <w:szCs w:val="24"/>
                <w:lang w:val="en-NZ"/>
              </w:rPr>
              <w:t>Non-DSS children without impairments</w:t>
            </w:r>
          </w:p>
        </w:tc>
      </w:tr>
      <w:tr w:rsidR="00C704F4" w:rsidRPr="00150CD2" w14:paraId="4CFD2333" w14:textId="41545645" w:rsidTr="00BB45F4">
        <w:tc>
          <w:tcPr>
            <w:tcW w:w="2043" w:type="pct"/>
            <w:tcBorders>
              <w:top w:val="single" w:sz="4" w:space="0" w:color="auto"/>
              <w:bottom w:val="single" w:sz="4" w:space="0" w:color="A6A6A6" w:themeColor="background1" w:themeShade="A6"/>
              <w:right w:val="nil"/>
            </w:tcBorders>
            <w:vAlign w:val="center"/>
          </w:tcPr>
          <w:p w14:paraId="266DA65F" w14:textId="77777777" w:rsidR="00C704F4" w:rsidRPr="00150CD2" w:rsidRDefault="00C704F4" w:rsidP="005A46E6">
            <w:pPr>
              <w:pStyle w:val="EYTableText"/>
              <w:rPr>
                <w:rFonts w:eastAsiaTheme="minorHAnsi" w:cs="Arial"/>
                <w:b/>
                <w:sz w:val="24"/>
                <w:lang w:val="en-US"/>
              </w:rPr>
            </w:pPr>
            <w:r w:rsidRPr="00150CD2">
              <w:rPr>
                <w:rFonts w:eastAsiaTheme="minorHAnsi" w:cs="Arial"/>
                <w:b/>
                <w:sz w:val="24"/>
                <w:lang w:val="en-US"/>
              </w:rPr>
              <w:t>Child health</w:t>
            </w:r>
          </w:p>
          <w:p w14:paraId="57945165" w14:textId="14AA3281" w:rsidR="00C704F4" w:rsidRPr="00150CD2" w:rsidRDefault="00C704F4" w:rsidP="005A46E6">
            <w:pPr>
              <w:pStyle w:val="EYTableText"/>
              <w:rPr>
                <w:rFonts w:cs="Arial"/>
                <w:sz w:val="24"/>
                <w:lang w:val="en-US"/>
              </w:rPr>
            </w:pPr>
            <w:r w:rsidRPr="00150CD2">
              <w:rPr>
                <w:rFonts w:eastAsiaTheme="minorHAnsi" w:cs="Arial"/>
                <w:sz w:val="24"/>
                <w:lang w:val="en-US"/>
              </w:rPr>
              <w:t>Proportion of children whose health was described as ‘’good” to “excellent” *</w:t>
            </w:r>
          </w:p>
        </w:tc>
        <w:tc>
          <w:tcPr>
            <w:tcW w:w="2957" w:type="pct"/>
            <w:gridSpan w:val="3"/>
            <w:tcBorders>
              <w:left w:val="nil"/>
              <w:bottom w:val="single" w:sz="4" w:space="0" w:color="A6A6A6" w:themeColor="background1" w:themeShade="A6"/>
            </w:tcBorders>
          </w:tcPr>
          <w:p w14:paraId="5B7E744D" w14:textId="568CE09F" w:rsidR="00310513" w:rsidRPr="00150CD2" w:rsidRDefault="009E40DB" w:rsidP="00BB45F4">
            <w:pPr>
              <w:autoSpaceDE/>
              <w:autoSpaceDN/>
              <w:adjustRightInd/>
              <w:rPr>
                <w:rFonts w:cs="Arial"/>
                <w:sz w:val="24"/>
                <w:szCs w:val="24"/>
                <w:lang w:val="en-US"/>
              </w:rPr>
            </w:pPr>
            <w:r w:rsidRPr="00150CD2">
              <w:rPr>
                <w:rFonts w:cs="Arial"/>
                <w:noProof/>
                <w:sz w:val="24"/>
                <w:szCs w:val="24"/>
                <w:lang w:val="en-US"/>
              </w:rPr>
              <w:drawing>
                <wp:inline distT="0" distB="0" distL="0" distR="0" wp14:anchorId="75920FB2" wp14:editId="6E606BD2">
                  <wp:extent cx="3264195" cy="760007"/>
                  <wp:effectExtent l="0" t="0" r="0" b="2540"/>
                  <wp:docPr id="12" name="Picture 12" descr="Child health: A lower proportion of DSS children and other children with impairments were described as being in “good” to “excellent” health, compared to children without impair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l="2754" t="2235" r="3282" b="85962"/>
                          <a:stretch/>
                        </pic:blipFill>
                        <pic:spPr bwMode="auto">
                          <a:xfrm>
                            <a:off x="0" y="0"/>
                            <a:ext cx="3264982" cy="76019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704F4" w:rsidRPr="00150CD2" w14:paraId="021A0E09" w14:textId="1CF934BC" w:rsidTr="00BB45F4">
        <w:trPr>
          <w:trHeight w:val="965"/>
        </w:trPr>
        <w:tc>
          <w:tcPr>
            <w:tcW w:w="2043" w:type="pct"/>
            <w:tcBorders>
              <w:top w:val="single" w:sz="4" w:space="0" w:color="A6A6A6" w:themeColor="background1" w:themeShade="A6"/>
              <w:bottom w:val="single" w:sz="4" w:space="0" w:color="A6A6A6" w:themeColor="background1" w:themeShade="A6"/>
              <w:right w:val="nil"/>
            </w:tcBorders>
            <w:vAlign w:val="center"/>
          </w:tcPr>
          <w:p w14:paraId="263C3E0F" w14:textId="4C6E1E96" w:rsidR="00C704F4" w:rsidRPr="00150CD2" w:rsidRDefault="00C704F4" w:rsidP="005A46E6">
            <w:pPr>
              <w:pStyle w:val="EYTableText"/>
              <w:rPr>
                <w:rFonts w:eastAsiaTheme="minorHAnsi" w:cs="Arial"/>
                <w:b/>
                <w:sz w:val="24"/>
                <w:lang w:val="en-US"/>
              </w:rPr>
            </w:pPr>
            <w:r w:rsidRPr="00150CD2">
              <w:rPr>
                <w:rFonts w:eastAsiaTheme="minorHAnsi" w:cs="Arial"/>
                <w:b/>
                <w:sz w:val="24"/>
                <w:lang w:val="en-US"/>
              </w:rPr>
              <w:t>Child contact with friends</w:t>
            </w:r>
          </w:p>
          <w:p w14:paraId="702599D1" w14:textId="3C3F5156" w:rsidR="00C704F4" w:rsidRPr="00150CD2" w:rsidRDefault="00C704F4" w:rsidP="005A46E6">
            <w:pPr>
              <w:pStyle w:val="EYTableText"/>
              <w:rPr>
                <w:rFonts w:cs="Arial"/>
                <w:sz w:val="24"/>
                <w:lang w:val="en-US"/>
              </w:rPr>
            </w:pPr>
            <w:r w:rsidRPr="00150CD2">
              <w:rPr>
                <w:rFonts w:eastAsiaTheme="minorHAnsi" w:cs="Arial"/>
                <w:sz w:val="24"/>
                <w:lang w:val="en-US"/>
              </w:rPr>
              <w:t>Proportion of children aged 5-14 who had visited friends in the previous four weeks</w:t>
            </w:r>
          </w:p>
        </w:tc>
        <w:tc>
          <w:tcPr>
            <w:tcW w:w="2957" w:type="pct"/>
            <w:gridSpan w:val="3"/>
            <w:tcBorders>
              <w:top w:val="single" w:sz="4" w:space="0" w:color="A6A6A6" w:themeColor="background1" w:themeShade="A6"/>
              <w:left w:val="nil"/>
              <w:bottom w:val="single" w:sz="4" w:space="0" w:color="A6A6A6" w:themeColor="background1" w:themeShade="A6"/>
            </w:tcBorders>
          </w:tcPr>
          <w:p w14:paraId="1F68C4AD" w14:textId="55421811" w:rsidR="00C704F4" w:rsidRPr="00150CD2" w:rsidRDefault="009E40DB" w:rsidP="00BB45F4">
            <w:pPr>
              <w:autoSpaceDE/>
              <w:autoSpaceDN/>
              <w:adjustRightInd/>
              <w:spacing w:before="20" w:after="20"/>
              <w:rPr>
                <w:rFonts w:cs="Arial"/>
                <w:sz w:val="24"/>
                <w:szCs w:val="24"/>
                <w:lang w:val="en-US"/>
              </w:rPr>
            </w:pPr>
            <w:r w:rsidRPr="00150CD2">
              <w:rPr>
                <w:rFonts w:cs="Arial"/>
                <w:noProof/>
                <w:sz w:val="24"/>
                <w:szCs w:val="24"/>
                <w:lang w:val="en-US"/>
              </w:rPr>
              <w:drawing>
                <wp:inline distT="0" distB="0" distL="0" distR="0" wp14:anchorId="63A227D4" wp14:editId="1B856D00">
                  <wp:extent cx="3232298" cy="749220"/>
                  <wp:effectExtent l="0" t="0" r="6350" b="0"/>
                  <wp:docPr id="195" name="Picture 195" descr="Child contact with friends: A smaller proportion of DSS children had visited friends in the 4 weeks prior to the survey, compared to other children with impairments. Both DSS and non-DSS children with impairments were less likely to have visited friends than children without impair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l="2755" t="14363" r="4164" b="73998"/>
                          <a:stretch/>
                        </pic:blipFill>
                        <pic:spPr bwMode="auto">
                          <a:xfrm>
                            <a:off x="0" y="0"/>
                            <a:ext cx="3234259" cy="7496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704F4" w:rsidRPr="00150CD2" w14:paraId="70EFC012" w14:textId="77777777" w:rsidTr="00BB45F4">
        <w:trPr>
          <w:trHeight w:val="965"/>
        </w:trPr>
        <w:tc>
          <w:tcPr>
            <w:tcW w:w="2043" w:type="pct"/>
            <w:tcBorders>
              <w:top w:val="single" w:sz="4" w:space="0" w:color="A6A6A6" w:themeColor="background1" w:themeShade="A6"/>
              <w:bottom w:val="single" w:sz="4" w:space="0" w:color="A6A6A6" w:themeColor="background1" w:themeShade="A6"/>
              <w:right w:val="nil"/>
            </w:tcBorders>
            <w:vAlign w:val="center"/>
          </w:tcPr>
          <w:p w14:paraId="589D1031" w14:textId="5BF0E8DF" w:rsidR="00C704F4" w:rsidRPr="00150CD2" w:rsidRDefault="00C704F4" w:rsidP="00F30FC3">
            <w:pPr>
              <w:pStyle w:val="EYTableText"/>
              <w:rPr>
                <w:rFonts w:eastAsiaTheme="minorHAnsi" w:cs="Arial"/>
                <w:b/>
                <w:sz w:val="24"/>
                <w:lang w:val="en-US"/>
              </w:rPr>
            </w:pPr>
            <w:r w:rsidRPr="00150CD2">
              <w:rPr>
                <w:rFonts w:eastAsiaTheme="minorHAnsi" w:cs="Arial"/>
                <w:b/>
                <w:sz w:val="24"/>
                <w:lang w:val="en-US"/>
              </w:rPr>
              <w:t>Child contact with community</w:t>
            </w:r>
          </w:p>
          <w:p w14:paraId="60BBDE24" w14:textId="68DB1AB4" w:rsidR="00C704F4" w:rsidRPr="00150CD2" w:rsidRDefault="00C704F4" w:rsidP="00F30FC3">
            <w:pPr>
              <w:pStyle w:val="EYTableText"/>
              <w:rPr>
                <w:rFonts w:eastAsiaTheme="minorHAnsi" w:cs="Arial"/>
                <w:b/>
                <w:sz w:val="24"/>
                <w:lang w:val="en-US"/>
              </w:rPr>
            </w:pPr>
            <w:r w:rsidRPr="00150CD2">
              <w:rPr>
                <w:rFonts w:eastAsiaTheme="minorHAnsi" w:cs="Arial"/>
                <w:sz w:val="24"/>
                <w:lang w:val="en-US"/>
              </w:rPr>
              <w:t>Proportion of children aged 5-14 who had gone out with family or friends (e.g. shops or movies) in the previous four weeks</w:t>
            </w:r>
          </w:p>
        </w:tc>
        <w:tc>
          <w:tcPr>
            <w:tcW w:w="2957" w:type="pct"/>
            <w:gridSpan w:val="3"/>
            <w:tcBorders>
              <w:top w:val="single" w:sz="4" w:space="0" w:color="A6A6A6" w:themeColor="background1" w:themeShade="A6"/>
              <w:left w:val="nil"/>
              <w:bottom w:val="single" w:sz="4" w:space="0" w:color="A6A6A6" w:themeColor="background1" w:themeShade="A6"/>
            </w:tcBorders>
          </w:tcPr>
          <w:p w14:paraId="2245F5B4" w14:textId="5C6C5C77" w:rsidR="00C704F4" w:rsidRPr="00150CD2" w:rsidRDefault="009E40DB" w:rsidP="00BB45F4">
            <w:pPr>
              <w:autoSpaceDE/>
              <w:autoSpaceDN/>
              <w:adjustRightInd/>
              <w:spacing w:before="20" w:after="20"/>
              <w:rPr>
                <w:rFonts w:cs="Arial"/>
                <w:sz w:val="24"/>
                <w:szCs w:val="24"/>
                <w:lang w:val="en-US"/>
              </w:rPr>
            </w:pPr>
            <w:r w:rsidRPr="00150CD2">
              <w:rPr>
                <w:rFonts w:cs="Arial"/>
                <w:noProof/>
                <w:sz w:val="24"/>
                <w:szCs w:val="24"/>
                <w:lang w:val="en-US"/>
              </w:rPr>
              <w:drawing>
                <wp:inline distT="0" distB="0" distL="0" distR="0" wp14:anchorId="44241F6A" wp14:editId="2B65E6A4">
                  <wp:extent cx="3242930" cy="759422"/>
                  <wp:effectExtent l="0" t="0" r="0" b="3175"/>
                  <wp:docPr id="196" name="Picture 196" descr="Child contact with community: A slightly smaller proportion of DSS children had gone out with family or friends (e.g. to shops or movies) in the 4 weeks prior to the survey, compared to other children with impairments. Both DSS and non-DSS children with impairments were less likely to have gone out than children without impair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l="3060" t="26162" r="3601" b="62046"/>
                          <a:stretch/>
                        </pic:blipFill>
                        <pic:spPr bwMode="auto">
                          <a:xfrm>
                            <a:off x="0" y="0"/>
                            <a:ext cx="3243266" cy="75950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704F4" w:rsidRPr="00150CD2" w14:paraId="221E1215" w14:textId="77777777" w:rsidTr="00BB45F4">
        <w:trPr>
          <w:trHeight w:val="965"/>
        </w:trPr>
        <w:tc>
          <w:tcPr>
            <w:tcW w:w="2043" w:type="pct"/>
            <w:tcBorders>
              <w:top w:val="single" w:sz="4" w:space="0" w:color="A6A6A6" w:themeColor="background1" w:themeShade="A6"/>
              <w:bottom w:val="single" w:sz="4" w:space="0" w:color="A6A6A6" w:themeColor="background1" w:themeShade="A6"/>
              <w:right w:val="nil"/>
            </w:tcBorders>
            <w:vAlign w:val="center"/>
          </w:tcPr>
          <w:p w14:paraId="056DD2A4" w14:textId="77777777" w:rsidR="00C704F4" w:rsidRPr="00150CD2" w:rsidRDefault="00C704F4" w:rsidP="005A46E6">
            <w:pPr>
              <w:pStyle w:val="EYTableText"/>
              <w:rPr>
                <w:rFonts w:eastAsiaTheme="minorHAnsi" w:cs="Arial"/>
                <w:b/>
                <w:sz w:val="24"/>
                <w:lang w:val="en-US"/>
              </w:rPr>
            </w:pPr>
            <w:bookmarkStart w:id="142" w:name="_Hlk47197662"/>
            <w:r w:rsidRPr="00150CD2">
              <w:rPr>
                <w:rFonts w:eastAsiaTheme="minorHAnsi" w:cs="Arial"/>
                <w:b/>
                <w:sz w:val="24"/>
                <w:lang w:val="en-US"/>
              </w:rPr>
              <w:t>Support at home</w:t>
            </w:r>
          </w:p>
          <w:p w14:paraId="38A86FE5" w14:textId="6B95BED9" w:rsidR="00C704F4" w:rsidRPr="00150CD2" w:rsidRDefault="00C704F4" w:rsidP="005A46E6">
            <w:pPr>
              <w:pStyle w:val="EYTableText"/>
              <w:rPr>
                <w:rFonts w:eastAsiaTheme="minorHAnsi" w:cs="Arial"/>
                <w:bCs/>
                <w:sz w:val="24"/>
                <w:lang w:val="en-US"/>
              </w:rPr>
            </w:pPr>
            <w:r w:rsidRPr="00150CD2">
              <w:rPr>
                <w:rFonts w:eastAsiaTheme="minorHAnsi" w:cs="Arial"/>
                <w:bCs/>
                <w:sz w:val="24"/>
                <w:lang w:val="en-US"/>
              </w:rPr>
              <w:t>Proportion of children with unmet need for respite care or carer support in the last 12 months</w:t>
            </w:r>
            <w:bookmarkEnd w:id="142"/>
          </w:p>
        </w:tc>
        <w:tc>
          <w:tcPr>
            <w:tcW w:w="2957" w:type="pct"/>
            <w:gridSpan w:val="3"/>
            <w:tcBorders>
              <w:top w:val="single" w:sz="4" w:space="0" w:color="A6A6A6" w:themeColor="background1" w:themeShade="A6"/>
              <w:left w:val="nil"/>
              <w:bottom w:val="single" w:sz="4" w:space="0" w:color="A6A6A6" w:themeColor="background1" w:themeShade="A6"/>
            </w:tcBorders>
          </w:tcPr>
          <w:p w14:paraId="30D979B0" w14:textId="332215B0" w:rsidR="00C704F4" w:rsidRPr="00150CD2" w:rsidRDefault="00F07540" w:rsidP="00BB45F4">
            <w:pPr>
              <w:autoSpaceDE/>
              <w:autoSpaceDN/>
              <w:adjustRightInd/>
              <w:spacing w:before="20" w:after="20"/>
              <w:rPr>
                <w:rFonts w:cs="Arial"/>
                <w:sz w:val="24"/>
                <w:szCs w:val="24"/>
                <w:lang w:val="en-US"/>
              </w:rPr>
            </w:pPr>
            <w:r w:rsidRPr="00150CD2">
              <w:rPr>
                <w:rFonts w:cs="Arial"/>
                <w:noProof/>
                <w:sz w:val="24"/>
                <w:szCs w:val="24"/>
                <w:lang w:val="en-US"/>
              </w:rPr>
              <w:drawing>
                <wp:inline distT="0" distB="0" distL="0" distR="0" wp14:anchorId="3DA6D30F" wp14:editId="4998FB8E">
                  <wp:extent cx="3179135" cy="701657"/>
                  <wp:effectExtent l="0" t="0" r="2540" b="3810"/>
                  <wp:docPr id="21" name="Picture 21" descr="Support at home: A higher proportion of DSS children had had unmet need for respite care or carer support in the 12 months prior to the survey, compared to other children with impair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a:extLst>
                              <a:ext uri="{28A0092B-C50C-407E-A947-70E740481C1C}">
                                <a14:useLocalDpi xmlns:a14="http://schemas.microsoft.com/office/drawing/2010/main" val="0"/>
                              </a:ext>
                            </a:extLst>
                          </a:blip>
                          <a:srcRect l="2757" t="38677" r="5506" b="50398"/>
                          <a:stretch/>
                        </pic:blipFill>
                        <pic:spPr bwMode="auto">
                          <a:xfrm>
                            <a:off x="0" y="0"/>
                            <a:ext cx="3187608" cy="70352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704F4" w:rsidRPr="00150CD2" w14:paraId="5ED28B10" w14:textId="17F180E7" w:rsidTr="00BB45F4">
        <w:trPr>
          <w:trHeight w:val="965"/>
        </w:trPr>
        <w:tc>
          <w:tcPr>
            <w:tcW w:w="2043" w:type="pct"/>
            <w:tcBorders>
              <w:top w:val="single" w:sz="4" w:space="0" w:color="A6A6A6" w:themeColor="background1" w:themeShade="A6"/>
              <w:bottom w:val="single" w:sz="4" w:space="0" w:color="A6A6A6" w:themeColor="background1" w:themeShade="A6"/>
              <w:right w:val="nil"/>
            </w:tcBorders>
            <w:vAlign w:val="center"/>
          </w:tcPr>
          <w:p w14:paraId="3C992931" w14:textId="77777777" w:rsidR="00C704F4" w:rsidRPr="00150CD2" w:rsidRDefault="00C704F4" w:rsidP="005A46E6">
            <w:pPr>
              <w:pStyle w:val="EYTableText"/>
              <w:rPr>
                <w:rFonts w:eastAsiaTheme="minorHAnsi" w:cs="Arial"/>
                <w:b/>
                <w:sz w:val="24"/>
                <w:lang w:val="en-US"/>
              </w:rPr>
            </w:pPr>
            <w:bookmarkStart w:id="143" w:name="_Hlk47198038"/>
            <w:r w:rsidRPr="00150CD2">
              <w:rPr>
                <w:rFonts w:eastAsiaTheme="minorHAnsi" w:cs="Arial"/>
                <w:b/>
                <w:sz w:val="24"/>
                <w:lang w:val="en-US"/>
              </w:rPr>
              <w:t>Support at school</w:t>
            </w:r>
          </w:p>
          <w:p w14:paraId="5ACDFFF0" w14:textId="2E5BF382" w:rsidR="00C704F4" w:rsidRPr="00150CD2" w:rsidRDefault="00C704F4" w:rsidP="005A46E6">
            <w:pPr>
              <w:pStyle w:val="EYTableText"/>
              <w:rPr>
                <w:rFonts w:cs="Arial"/>
                <w:sz w:val="24"/>
                <w:lang w:val="en-US"/>
              </w:rPr>
            </w:pPr>
            <w:r w:rsidRPr="00150CD2">
              <w:rPr>
                <w:rFonts w:eastAsiaTheme="minorHAnsi" w:cs="Arial"/>
                <w:sz w:val="24"/>
                <w:lang w:val="en-US"/>
              </w:rPr>
              <w:t>Proportion of children aged 5-14 who need help / more help at school than currently provided *</w:t>
            </w:r>
            <w:bookmarkEnd w:id="143"/>
          </w:p>
        </w:tc>
        <w:tc>
          <w:tcPr>
            <w:tcW w:w="2957" w:type="pct"/>
            <w:gridSpan w:val="3"/>
            <w:tcBorders>
              <w:top w:val="single" w:sz="4" w:space="0" w:color="A6A6A6" w:themeColor="background1" w:themeShade="A6"/>
              <w:left w:val="nil"/>
              <w:bottom w:val="single" w:sz="4" w:space="0" w:color="A6A6A6" w:themeColor="background1" w:themeShade="A6"/>
            </w:tcBorders>
          </w:tcPr>
          <w:p w14:paraId="26EAE5C7" w14:textId="7554F5A6" w:rsidR="00C704F4" w:rsidRPr="00150CD2" w:rsidRDefault="00F07540" w:rsidP="00BB45F4">
            <w:pPr>
              <w:autoSpaceDE/>
              <w:autoSpaceDN/>
              <w:adjustRightInd/>
              <w:spacing w:before="20" w:after="20"/>
              <w:rPr>
                <w:rFonts w:cs="Arial"/>
                <w:sz w:val="24"/>
                <w:szCs w:val="24"/>
                <w:lang w:val="en-US"/>
              </w:rPr>
            </w:pPr>
            <w:r w:rsidRPr="00150CD2">
              <w:rPr>
                <w:rFonts w:cs="Arial"/>
                <w:noProof/>
                <w:sz w:val="24"/>
                <w:szCs w:val="24"/>
                <w:lang w:val="en-US"/>
              </w:rPr>
              <w:drawing>
                <wp:inline distT="0" distB="0" distL="0" distR="0" wp14:anchorId="5760CE79" wp14:editId="1FF472DD">
                  <wp:extent cx="3200400" cy="723814"/>
                  <wp:effectExtent l="0" t="0" r="0" b="635"/>
                  <wp:docPr id="200" name="Picture 200" descr="Support at school: Over half of DSS children aged 5-14 needed help at school, or more help at school than currently provided. A similar proportion of non-DSS children with impairments also needed help at school, or more help than currently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a:extLst>
                              <a:ext uri="{28A0092B-C50C-407E-A947-70E740481C1C}">
                                <a14:useLocalDpi xmlns:a14="http://schemas.microsoft.com/office/drawing/2010/main" val="0"/>
                              </a:ext>
                            </a:extLst>
                          </a:blip>
                          <a:srcRect l="2756" t="50165" r="5066" b="38586"/>
                          <a:stretch/>
                        </pic:blipFill>
                        <pic:spPr bwMode="auto">
                          <a:xfrm>
                            <a:off x="0" y="0"/>
                            <a:ext cx="3202929" cy="72438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704F4" w:rsidRPr="00150CD2" w14:paraId="4EC2762E" w14:textId="77777777" w:rsidTr="00BB45F4">
        <w:trPr>
          <w:trHeight w:val="965"/>
        </w:trPr>
        <w:tc>
          <w:tcPr>
            <w:tcW w:w="2043" w:type="pct"/>
            <w:tcBorders>
              <w:top w:val="single" w:sz="4" w:space="0" w:color="A6A6A6" w:themeColor="background1" w:themeShade="A6"/>
              <w:bottom w:val="single" w:sz="4" w:space="0" w:color="auto"/>
              <w:right w:val="nil"/>
            </w:tcBorders>
          </w:tcPr>
          <w:p w14:paraId="3FE89930" w14:textId="7E794FD7" w:rsidR="00C704F4" w:rsidRPr="00150CD2" w:rsidRDefault="00BD6CA4" w:rsidP="0082360E">
            <w:pPr>
              <w:pStyle w:val="EYTableText"/>
              <w:rPr>
                <w:rFonts w:eastAsiaTheme="minorHAnsi" w:cs="Arial"/>
                <w:b/>
                <w:sz w:val="24"/>
                <w:lang w:val="en-US"/>
              </w:rPr>
            </w:pPr>
            <w:r w:rsidRPr="00150CD2">
              <w:rPr>
                <w:rFonts w:eastAsiaTheme="minorHAnsi" w:cs="Arial"/>
                <w:b/>
                <w:sz w:val="24"/>
                <w:lang w:val="en-US"/>
              </w:rPr>
              <w:t>Carer</w:t>
            </w:r>
            <w:r w:rsidR="00C704F4" w:rsidRPr="00150CD2">
              <w:rPr>
                <w:rFonts w:eastAsiaTheme="minorHAnsi" w:cs="Arial"/>
                <w:b/>
                <w:sz w:val="24"/>
                <w:lang w:val="en-US"/>
              </w:rPr>
              <w:t xml:space="preserve"> stress</w:t>
            </w:r>
          </w:p>
          <w:p w14:paraId="250F8509" w14:textId="6D6D946F" w:rsidR="00C704F4" w:rsidRPr="00150CD2" w:rsidRDefault="00C704F4" w:rsidP="0082360E">
            <w:pPr>
              <w:pStyle w:val="EYTableText"/>
              <w:rPr>
                <w:rFonts w:eastAsiaTheme="minorHAnsi" w:cs="Arial"/>
                <w:b/>
                <w:sz w:val="24"/>
                <w:lang w:val="en-US"/>
              </w:rPr>
            </w:pPr>
            <w:r w:rsidRPr="00150CD2">
              <w:rPr>
                <w:rFonts w:eastAsiaTheme="minorHAnsi" w:cs="Arial"/>
                <w:sz w:val="24"/>
                <w:lang w:val="en-US"/>
              </w:rPr>
              <w:t>Proportion of carers described as feeling stressed “often” over the previous 4 weeks</w:t>
            </w:r>
          </w:p>
        </w:tc>
        <w:tc>
          <w:tcPr>
            <w:tcW w:w="2957" w:type="pct"/>
            <w:gridSpan w:val="3"/>
            <w:tcBorders>
              <w:top w:val="single" w:sz="4" w:space="0" w:color="A6A6A6" w:themeColor="background1" w:themeShade="A6"/>
              <w:left w:val="nil"/>
            </w:tcBorders>
          </w:tcPr>
          <w:p w14:paraId="5F6F5FFE" w14:textId="300EBA32" w:rsidR="00C704F4" w:rsidRPr="00150CD2" w:rsidRDefault="00F07540" w:rsidP="00BB45F4">
            <w:pPr>
              <w:autoSpaceDE/>
              <w:autoSpaceDN/>
              <w:adjustRightInd/>
              <w:spacing w:before="20" w:after="20"/>
              <w:rPr>
                <w:rFonts w:cs="Arial"/>
                <w:sz w:val="24"/>
                <w:szCs w:val="24"/>
                <w:lang w:val="en-US"/>
              </w:rPr>
            </w:pPr>
            <w:r w:rsidRPr="00150CD2">
              <w:rPr>
                <w:rFonts w:cs="Arial"/>
                <w:noProof/>
                <w:sz w:val="24"/>
                <w:szCs w:val="24"/>
                <w:lang w:val="en-US"/>
              </w:rPr>
              <w:drawing>
                <wp:inline distT="0" distB="0" distL="0" distR="0" wp14:anchorId="4009CBBB" wp14:editId="5EF5B85B">
                  <wp:extent cx="3200400" cy="728294"/>
                  <wp:effectExtent l="0" t="0" r="0" b="0"/>
                  <wp:docPr id="201" name="Picture 201" descr="Carer stress: A higher proportion of parents/carers of DSS children reported feeling stressed “often” in the 4 weeks prior to the survey, compared to parents/carers of other children with impair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a:extLst>
                              <a:ext uri="{28A0092B-C50C-407E-A947-70E740481C1C}">
                                <a14:useLocalDpi xmlns:a14="http://schemas.microsoft.com/office/drawing/2010/main" val="0"/>
                              </a:ext>
                            </a:extLst>
                          </a:blip>
                          <a:srcRect l="3062" t="62134" r="4651" b="26533"/>
                          <a:stretch/>
                        </pic:blipFill>
                        <pic:spPr bwMode="auto">
                          <a:xfrm>
                            <a:off x="0" y="0"/>
                            <a:ext cx="3206741" cy="72973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0912CC3" w14:textId="7B36D574" w:rsidR="00263AAE" w:rsidRPr="00150CD2" w:rsidRDefault="00263AAE" w:rsidP="00263AAE">
      <w:pPr>
        <w:pStyle w:val="EYSource"/>
        <w:rPr>
          <w:rFonts w:cs="Arial"/>
        </w:rPr>
      </w:pPr>
      <w:bookmarkStart w:id="144" w:name="_Hlk45524164"/>
      <w:bookmarkEnd w:id="141"/>
      <w:r w:rsidRPr="00150CD2">
        <w:rPr>
          <w:rFonts w:cs="Arial"/>
        </w:rPr>
        <w:t>* Difference with non-DSS children with impairments does not appear statistically significant at the 95</w:t>
      </w:r>
      <w:r w:rsidRPr="00150CD2">
        <w:rPr>
          <w:rFonts w:cs="Arial"/>
          <w:vertAlign w:val="superscript"/>
        </w:rPr>
        <w:t>th</w:t>
      </w:r>
      <w:r w:rsidRPr="00150CD2">
        <w:rPr>
          <w:rFonts w:cs="Arial"/>
        </w:rPr>
        <w:t xml:space="preserve"> percentile level. Difference with non-DSS children without impairments is significant.</w:t>
      </w:r>
    </w:p>
    <w:bookmarkEnd w:id="144"/>
    <w:p w14:paraId="19A6E842" w14:textId="2468E346" w:rsidR="00F30FC3" w:rsidRPr="00150CD2" w:rsidRDefault="00F30FC3" w:rsidP="0091605D">
      <w:pPr>
        <w:pStyle w:val="Caption"/>
        <w:rPr>
          <w:rFonts w:cs="Arial"/>
        </w:rPr>
      </w:pPr>
    </w:p>
    <w:p w14:paraId="62A8D4FE" w14:textId="32FD2EAD" w:rsidR="005D379C" w:rsidRPr="00150CD2" w:rsidRDefault="005D379C" w:rsidP="00D532B7">
      <w:pPr>
        <w:pStyle w:val="Caption"/>
        <w:keepNext/>
        <w:rPr>
          <w:rFonts w:cs="Arial"/>
          <w:lang w:val="en-US"/>
        </w:rPr>
      </w:pPr>
      <w:bookmarkStart w:id="145" w:name="_Ref45400939"/>
      <w:r w:rsidRPr="00150CD2">
        <w:rPr>
          <w:rFonts w:cs="Arial"/>
        </w:rPr>
        <w:t xml:space="preserve">Figure </w:t>
      </w:r>
      <w:r w:rsidRPr="00150CD2">
        <w:rPr>
          <w:rFonts w:cs="Arial"/>
        </w:rPr>
        <w:fldChar w:fldCharType="begin"/>
      </w:r>
      <w:r w:rsidRPr="00150CD2">
        <w:rPr>
          <w:rFonts w:cs="Arial"/>
        </w:rPr>
        <w:instrText xml:space="preserve"> SEQ Figure \* ARABIC </w:instrText>
      </w:r>
      <w:r w:rsidRPr="00150CD2">
        <w:rPr>
          <w:rFonts w:cs="Arial"/>
        </w:rPr>
        <w:fldChar w:fldCharType="separate"/>
      </w:r>
      <w:r w:rsidR="00053D9A" w:rsidRPr="00150CD2">
        <w:rPr>
          <w:rFonts w:cs="Arial"/>
          <w:noProof/>
        </w:rPr>
        <w:t>9</w:t>
      </w:r>
      <w:r w:rsidRPr="00150CD2">
        <w:rPr>
          <w:rFonts w:cs="Arial"/>
        </w:rPr>
        <w:fldChar w:fldCharType="end"/>
      </w:r>
      <w:bookmarkEnd w:id="145"/>
      <w:r w:rsidRPr="00150CD2">
        <w:rPr>
          <w:rFonts w:cs="Arial"/>
        </w:rPr>
        <w:t>: Selected General Social Survey responses for children ever allocated DSS funding, compared to other children who have never been allocated DSS funding</w:t>
      </w:r>
    </w:p>
    <w:tbl>
      <w:tblPr>
        <w:tblStyle w:val="TableGrid1"/>
        <w:tblW w:w="5002" w:type="pct"/>
        <w:tblLayout w:type="fixed"/>
        <w:tblCellMar>
          <w:top w:w="58" w:type="dxa"/>
          <w:left w:w="115" w:type="dxa"/>
          <w:bottom w:w="58" w:type="dxa"/>
          <w:right w:w="115" w:type="dxa"/>
        </w:tblCellMar>
        <w:tblLook w:val="04A0" w:firstRow="1" w:lastRow="0" w:firstColumn="1" w:lastColumn="0" w:noHBand="0" w:noVBand="1"/>
        <w:tblCaption w:val="Figure 9 - Selected General Social Survey responses for DSS and non-DSS children"/>
        <w:tblDescription w:val="Figure 9 chart highlights differences in selected General Social Survey responses for children ever allocated DSS funding, compared to other children who have never been allocated DSS funding. &#10;Below is a description of the key differences:&#10;&#10;1. Parent life worthwhileness: Parents of DSS children rated their life worthwhileness (sense of purpose) at the same levels as parents of other children.&#10;&#10;2. Parent self-rated health: A smaller proportion of parents of DSS children rated their health as being “good” to “excellent”, compared to parents of other children. Note that this difference is not statistically significant as the GSS sample size is relatively small."/>
      </w:tblPr>
      <w:tblGrid>
        <w:gridCol w:w="3594"/>
        <w:gridCol w:w="1980"/>
        <w:gridCol w:w="3449"/>
      </w:tblGrid>
      <w:tr w:rsidR="005D379C" w:rsidRPr="00150CD2" w14:paraId="541F6E03" w14:textId="77777777" w:rsidTr="00336432">
        <w:trPr>
          <w:tblHeader/>
        </w:trPr>
        <w:tc>
          <w:tcPr>
            <w:tcW w:w="1992" w:type="pct"/>
            <w:tcBorders>
              <w:bottom w:val="single" w:sz="4" w:space="0" w:color="auto"/>
              <w:right w:val="nil"/>
            </w:tcBorders>
            <w:shd w:val="clear" w:color="auto" w:fill="F2F2F2"/>
          </w:tcPr>
          <w:p w14:paraId="52E96DF6" w14:textId="77777777" w:rsidR="00F30FC3" w:rsidRPr="00150CD2" w:rsidRDefault="00F30FC3" w:rsidP="005A46E6">
            <w:pPr>
              <w:autoSpaceDE/>
              <w:autoSpaceDN/>
              <w:adjustRightInd/>
              <w:spacing w:before="60" w:after="60"/>
              <w:rPr>
                <w:rFonts w:cs="Arial"/>
                <w:b/>
                <w:color w:val="808080"/>
                <w:sz w:val="24"/>
                <w:szCs w:val="24"/>
                <w:lang w:val="en-NZ"/>
              </w:rPr>
            </w:pPr>
            <w:bookmarkStart w:id="146" w:name="_Hlk45524158"/>
            <w:r w:rsidRPr="00150CD2">
              <w:rPr>
                <w:rFonts w:cs="Arial"/>
                <w:b/>
                <w:color w:val="808080"/>
                <w:sz w:val="24"/>
                <w:szCs w:val="24"/>
                <w:lang w:val="en-NZ"/>
              </w:rPr>
              <w:t>Wellbeing indicators</w:t>
            </w:r>
          </w:p>
        </w:tc>
        <w:tc>
          <w:tcPr>
            <w:tcW w:w="1097" w:type="pct"/>
            <w:tcBorders>
              <w:left w:val="nil"/>
              <w:right w:val="nil"/>
            </w:tcBorders>
            <w:shd w:val="clear" w:color="auto" w:fill="F2F2F2"/>
          </w:tcPr>
          <w:p w14:paraId="602C5CA5" w14:textId="77777777" w:rsidR="00F30FC3" w:rsidRPr="00150CD2" w:rsidRDefault="00F30FC3" w:rsidP="008B17AF">
            <w:pPr>
              <w:autoSpaceDE/>
              <w:autoSpaceDN/>
              <w:adjustRightInd/>
              <w:spacing w:before="60" w:after="60"/>
              <w:jc w:val="right"/>
              <w:rPr>
                <w:rFonts w:cs="Arial"/>
                <w:b/>
                <w:color w:val="808080"/>
                <w:sz w:val="24"/>
                <w:szCs w:val="24"/>
                <w:lang w:val="en-NZ"/>
              </w:rPr>
            </w:pPr>
            <w:r w:rsidRPr="00150CD2">
              <w:rPr>
                <w:rFonts w:cs="Arial"/>
                <w:b/>
                <w:color w:val="808080"/>
                <w:sz w:val="24"/>
                <w:szCs w:val="24"/>
                <w:lang w:val="en-NZ"/>
              </w:rPr>
              <w:t>DSS children</w:t>
            </w:r>
          </w:p>
        </w:tc>
        <w:tc>
          <w:tcPr>
            <w:tcW w:w="1911" w:type="pct"/>
            <w:tcBorders>
              <w:left w:val="nil"/>
            </w:tcBorders>
            <w:shd w:val="clear" w:color="auto" w:fill="F2F2F2"/>
          </w:tcPr>
          <w:p w14:paraId="720A5156" w14:textId="79F85B7A" w:rsidR="00F30FC3" w:rsidRPr="00150CD2" w:rsidRDefault="00F30FC3" w:rsidP="005A46E6">
            <w:pPr>
              <w:autoSpaceDE/>
              <w:autoSpaceDN/>
              <w:adjustRightInd/>
              <w:spacing w:before="60" w:after="60"/>
              <w:jc w:val="center"/>
              <w:rPr>
                <w:rFonts w:cs="Arial"/>
                <w:b/>
                <w:color w:val="808080"/>
                <w:sz w:val="24"/>
                <w:szCs w:val="24"/>
                <w:lang w:val="en-NZ"/>
              </w:rPr>
            </w:pPr>
            <w:r w:rsidRPr="00150CD2">
              <w:rPr>
                <w:rFonts w:cs="Arial"/>
                <w:b/>
                <w:color w:val="808080"/>
                <w:sz w:val="24"/>
                <w:szCs w:val="24"/>
                <w:lang w:val="en-NZ"/>
              </w:rPr>
              <w:t>Non-DSS children</w:t>
            </w:r>
            <w:r w:rsidR="005D379C" w:rsidRPr="00150CD2">
              <w:rPr>
                <w:rFonts w:cs="Arial"/>
                <w:b/>
                <w:color w:val="808080"/>
                <w:sz w:val="24"/>
                <w:szCs w:val="24"/>
                <w:lang w:val="en-NZ"/>
              </w:rPr>
              <w:t xml:space="preserve"> </w:t>
            </w:r>
            <w:r w:rsidR="005D379C" w:rsidRPr="00150CD2">
              <w:rPr>
                <w:rFonts w:cs="Arial"/>
                <w:b/>
                <w:color w:val="808080"/>
                <w:sz w:val="24"/>
                <w:szCs w:val="24"/>
                <w:lang w:val="en-NZ"/>
              </w:rPr>
              <w:br/>
              <w:t>(with and without impairments)</w:t>
            </w:r>
          </w:p>
        </w:tc>
      </w:tr>
      <w:tr w:rsidR="005D379C" w:rsidRPr="00150CD2" w14:paraId="055CB62E" w14:textId="77777777" w:rsidTr="009E40DB">
        <w:tc>
          <w:tcPr>
            <w:tcW w:w="1992" w:type="pct"/>
            <w:tcBorders>
              <w:top w:val="single" w:sz="4" w:space="0" w:color="BFBFBF"/>
              <w:bottom w:val="single" w:sz="4" w:space="0" w:color="A6A6A6" w:themeColor="background1" w:themeShade="A6"/>
              <w:right w:val="nil"/>
            </w:tcBorders>
            <w:vAlign w:val="center"/>
          </w:tcPr>
          <w:p w14:paraId="7D25BD4A" w14:textId="77777777" w:rsidR="005D379C" w:rsidRPr="00150CD2" w:rsidRDefault="005D379C" w:rsidP="005A46E6">
            <w:pPr>
              <w:pStyle w:val="EYTableText"/>
              <w:rPr>
                <w:rFonts w:eastAsiaTheme="minorHAnsi" w:cs="Arial"/>
                <w:b/>
                <w:sz w:val="24"/>
                <w:lang w:val="en-US"/>
              </w:rPr>
            </w:pPr>
            <w:r w:rsidRPr="00150CD2">
              <w:rPr>
                <w:rFonts w:eastAsiaTheme="minorHAnsi" w:cs="Arial"/>
                <w:b/>
                <w:sz w:val="24"/>
                <w:lang w:val="en-US"/>
              </w:rPr>
              <w:t>Parent life worthwhileness</w:t>
            </w:r>
          </w:p>
          <w:p w14:paraId="2BDBC6D5" w14:textId="1F612594" w:rsidR="005D379C" w:rsidRPr="00150CD2" w:rsidRDefault="005D379C" w:rsidP="005A46E6">
            <w:pPr>
              <w:pStyle w:val="EYTableText"/>
              <w:rPr>
                <w:rFonts w:cs="Arial"/>
                <w:sz w:val="24"/>
                <w:lang w:val="en-US"/>
              </w:rPr>
            </w:pPr>
            <w:r w:rsidRPr="00150CD2">
              <w:rPr>
                <w:rFonts w:eastAsiaTheme="minorHAnsi" w:cs="Arial"/>
                <w:sz w:val="24"/>
                <w:lang w:val="en-US"/>
              </w:rPr>
              <w:t>Proportion of parents / caregivers who rated the worthwhileness of their life at 7 or higher out of 10</w:t>
            </w:r>
            <w:r w:rsidR="00263AAE" w:rsidRPr="00150CD2">
              <w:rPr>
                <w:rFonts w:eastAsiaTheme="minorHAnsi" w:cs="Arial"/>
                <w:sz w:val="24"/>
                <w:lang w:val="en-US"/>
              </w:rPr>
              <w:t xml:space="preserve"> </w:t>
            </w:r>
            <w:r w:rsidR="00D532B7" w:rsidRPr="00150CD2">
              <w:rPr>
                <w:rFonts w:eastAsiaTheme="minorHAnsi" w:cs="Arial"/>
                <w:sz w:val="24"/>
                <w:lang w:val="en-US"/>
              </w:rPr>
              <w:t>*</w:t>
            </w:r>
            <w:r w:rsidR="00263AAE" w:rsidRPr="00150CD2">
              <w:rPr>
                <w:rFonts w:eastAsiaTheme="minorHAnsi" w:cs="Arial"/>
                <w:sz w:val="24"/>
                <w:lang w:val="en-US"/>
              </w:rPr>
              <w:t>*</w:t>
            </w:r>
          </w:p>
        </w:tc>
        <w:tc>
          <w:tcPr>
            <w:tcW w:w="3008" w:type="pct"/>
            <w:gridSpan w:val="2"/>
            <w:tcBorders>
              <w:left w:val="nil"/>
              <w:bottom w:val="single" w:sz="4" w:space="0" w:color="A6A6A6" w:themeColor="background1" w:themeShade="A6"/>
            </w:tcBorders>
          </w:tcPr>
          <w:p w14:paraId="2967921A" w14:textId="1D23E7F4" w:rsidR="005D379C" w:rsidRPr="00150CD2" w:rsidRDefault="009E40DB" w:rsidP="009E40DB">
            <w:pPr>
              <w:autoSpaceDE/>
              <w:autoSpaceDN/>
              <w:adjustRightInd/>
              <w:spacing w:before="20" w:after="20"/>
              <w:jc w:val="center"/>
              <w:rPr>
                <w:rFonts w:cs="Arial"/>
                <w:sz w:val="24"/>
                <w:szCs w:val="24"/>
                <w:lang w:val="en-US"/>
              </w:rPr>
            </w:pPr>
            <w:r w:rsidRPr="00150CD2">
              <w:rPr>
                <w:rFonts w:cs="Arial"/>
                <w:noProof/>
                <w:sz w:val="24"/>
                <w:szCs w:val="24"/>
                <w:lang w:val="en-US"/>
              </w:rPr>
              <w:drawing>
                <wp:inline distT="0" distB="0" distL="0" distR="0" wp14:anchorId="05864C44" wp14:editId="679AAAFD">
                  <wp:extent cx="3199091" cy="676275"/>
                  <wp:effectExtent l="0" t="0" r="1905" b="0"/>
                  <wp:docPr id="194" name="Picture 194" descr="Parent life worthwhileness: Parents of DSS children rated their life worthwhileness (sense of purpose) at the same levels as parents of othe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8">
                            <a:extLst>
                              <a:ext uri="{28A0092B-C50C-407E-A947-70E740481C1C}">
                                <a14:useLocalDpi xmlns:a14="http://schemas.microsoft.com/office/drawing/2010/main" val="0"/>
                              </a:ext>
                            </a:extLst>
                          </a:blip>
                          <a:srcRect t="74133" b="14448"/>
                          <a:stretch/>
                        </pic:blipFill>
                        <pic:spPr bwMode="auto">
                          <a:xfrm>
                            <a:off x="0" y="0"/>
                            <a:ext cx="3200400" cy="67655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D379C" w:rsidRPr="00150CD2" w14:paraId="617A7B33" w14:textId="77777777" w:rsidTr="009E40DB">
        <w:tc>
          <w:tcPr>
            <w:tcW w:w="1992" w:type="pct"/>
            <w:tcBorders>
              <w:top w:val="single" w:sz="4" w:space="0" w:color="A6A6A6" w:themeColor="background1" w:themeShade="A6"/>
              <w:bottom w:val="single" w:sz="4" w:space="0" w:color="auto"/>
              <w:right w:val="nil"/>
            </w:tcBorders>
            <w:vAlign w:val="center"/>
          </w:tcPr>
          <w:p w14:paraId="50C5C82B" w14:textId="77777777" w:rsidR="005D379C" w:rsidRPr="00150CD2" w:rsidRDefault="005D379C" w:rsidP="005A46E6">
            <w:pPr>
              <w:pStyle w:val="EYTableText"/>
              <w:rPr>
                <w:rFonts w:eastAsiaTheme="minorHAnsi" w:cs="Arial"/>
                <w:b/>
                <w:sz w:val="24"/>
                <w:lang w:val="en-US"/>
              </w:rPr>
            </w:pPr>
            <w:r w:rsidRPr="00150CD2">
              <w:rPr>
                <w:rFonts w:eastAsiaTheme="minorHAnsi" w:cs="Arial"/>
                <w:b/>
                <w:sz w:val="24"/>
                <w:lang w:val="en-US"/>
              </w:rPr>
              <w:t>Parent self-rated health</w:t>
            </w:r>
          </w:p>
          <w:p w14:paraId="4E9D0212" w14:textId="5ED540EF" w:rsidR="005D379C" w:rsidRPr="00150CD2" w:rsidRDefault="005D379C" w:rsidP="005A46E6">
            <w:pPr>
              <w:pStyle w:val="EYTableText"/>
              <w:rPr>
                <w:rFonts w:cs="Arial"/>
                <w:sz w:val="24"/>
                <w:lang w:val="en-US"/>
              </w:rPr>
            </w:pPr>
            <w:r w:rsidRPr="00150CD2">
              <w:rPr>
                <w:rFonts w:eastAsiaTheme="minorHAnsi" w:cs="Arial"/>
                <w:sz w:val="24"/>
                <w:lang w:val="en-US"/>
              </w:rPr>
              <w:t>Proportion of parents / caregivers who described their health as being ‘’good” to “excellent”</w:t>
            </w:r>
            <w:r w:rsidR="00D532B7" w:rsidRPr="00150CD2">
              <w:rPr>
                <w:rFonts w:eastAsiaTheme="minorHAnsi" w:cs="Arial"/>
                <w:sz w:val="24"/>
                <w:lang w:val="en-US"/>
              </w:rPr>
              <w:t xml:space="preserve"> *</w:t>
            </w:r>
            <w:r w:rsidR="00263AAE" w:rsidRPr="00150CD2">
              <w:rPr>
                <w:rFonts w:eastAsiaTheme="minorHAnsi" w:cs="Arial"/>
                <w:sz w:val="24"/>
                <w:lang w:val="en-US"/>
              </w:rPr>
              <w:t>*</w:t>
            </w:r>
          </w:p>
        </w:tc>
        <w:tc>
          <w:tcPr>
            <w:tcW w:w="3008" w:type="pct"/>
            <w:gridSpan w:val="2"/>
            <w:tcBorders>
              <w:top w:val="single" w:sz="4" w:space="0" w:color="A6A6A6" w:themeColor="background1" w:themeShade="A6"/>
              <w:left w:val="nil"/>
            </w:tcBorders>
          </w:tcPr>
          <w:p w14:paraId="78654E51" w14:textId="2250EFD4" w:rsidR="005D379C" w:rsidRPr="00150CD2" w:rsidRDefault="009E40DB" w:rsidP="009E40DB">
            <w:pPr>
              <w:autoSpaceDE/>
              <w:autoSpaceDN/>
              <w:adjustRightInd/>
              <w:spacing w:before="20" w:after="20"/>
              <w:jc w:val="center"/>
              <w:rPr>
                <w:rFonts w:cs="Arial"/>
                <w:sz w:val="24"/>
                <w:szCs w:val="24"/>
                <w:lang w:val="en-US"/>
              </w:rPr>
            </w:pPr>
            <w:r w:rsidRPr="00150CD2">
              <w:rPr>
                <w:rFonts w:cs="Arial"/>
                <w:noProof/>
                <w:sz w:val="24"/>
                <w:szCs w:val="24"/>
                <w:lang w:val="en-US"/>
              </w:rPr>
              <w:drawing>
                <wp:inline distT="0" distB="0" distL="0" distR="0" wp14:anchorId="160D4F8A" wp14:editId="1FDFC2A8">
                  <wp:extent cx="3199091" cy="671195"/>
                  <wp:effectExtent l="0" t="0" r="1905" b="0"/>
                  <wp:docPr id="31" name="Picture 31" descr="Parent self-rated health: A smaller proportion of parents of DSS children rated their health as being “good” to “excellent”, compared to parents of other children. Note that this difference is not statistically significant as the GSS sample size is relativel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8">
                            <a:extLst>
                              <a:ext uri="{28A0092B-C50C-407E-A947-70E740481C1C}">
                                <a14:useLocalDpi xmlns:a14="http://schemas.microsoft.com/office/drawing/2010/main" val="0"/>
                              </a:ext>
                            </a:extLst>
                          </a:blip>
                          <a:srcRect t="86035" b="2632"/>
                          <a:stretch/>
                        </pic:blipFill>
                        <pic:spPr bwMode="auto">
                          <a:xfrm>
                            <a:off x="0" y="0"/>
                            <a:ext cx="3200400" cy="67147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CB5CB1B" w14:textId="14D4729A" w:rsidR="00F30FC3" w:rsidRPr="00150CD2" w:rsidRDefault="00263AAE" w:rsidP="00D532B7">
      <w:pPr>
        <w:pStyle w:val="EYSource"/>
        <w:rPr>
          <w:rFonts w:cs="Arial"/>
        </w:rPr>
      </w:pPr>
      <w:bookmarkStart w:id="147" w:name="_Hlk45524181"/>
      <w:bookmarkEnd w:id="146"/>
      <w:r w:rsidRPr="00150CD2">
        <w:rPr>
          <w:rFonts w:cs="Arial"/>
        </w:rPr>
        <w:t>*</w:t>
      </w:r>
      <w:r w:rsidR="00D532B7" w:rsidRPr="00150CD2">
        <w:rPr>
          <w:rFonts w:cs="Arial"/>
        </w:rPr>
        <w:t>* Differences do not appear statistically significant at the 95</w:t>
      </w:r>
      <w:r w:rsidR="00D532B7" w:rsidRPr="00150CD2">
        <w:rPr>
          <w:rFonts w:cs="Arial"/>
          <w:vertAlign w:val="superscript"/>
        </w:rPr>
        <w:t>th</w:t>
      </w:r>
      <w:r w:rsidR="00D532B7" w:rsidRPr="00150CD2">
        <w:rPr>
          <w:rFonts w:cs="Arial"/>
        </w:rPr>
        <w:t xml:space="preserve"> percentile level.</w:t>
      </w:r>
      <w:r w:rsidRPr="00150CD2">
        <w:rPr>
          <w:rFonts w:cs="Arial"/>
        </w:rPr>
        <w:t xml:space="preserve"> Note the GSS sample size is relatively small.</w:t>
      </w:r>
    </w:p>
    <w:bookmarkEnd w:id="147"/>
    <w:p w14:paraId="49F9EE7F" w14:textId="637B9761" w:rsidR="00E12049" w:rsidRPr="00150CD2" w:rsidRDefault="00E12049" w:rsidP="00D532B7">
      <w:pPr>
        <w:rPr>
          <w:rFonts w:cs="Arial"/>
        </w:rPr>
      </w:pPr>
    </w:p>
    <w:p w14:paraId="176B3F6E" w14:textId="290AC16E" w:rsidR="00263AAE" w:rsidRPr="00150CD2" w:rsidRDefault="00263AAE" w:rsidP="008B17AF">
      <w:pPr>
        <w:pStyle w:val="EYBodytextwithparaspace"/>
        <w:rPr>
          <w:rFonts w:cs="Arial"/>
        </w:rPr>
      </w:pPr>
      <w:r w:rsidRPr="00150CD2">
        <w:rPr>
          <w:rFonts w:cs="Arial"/>
        </w:rPr>
        <w:t>Further information on survey wellbeing observations is set out below.</w:t>
      </w:r>
    </w:p>
    <w:p w14:paraId="3A776E72" w14:textId="5A592A85" w:rsidR="00322E95" w:rsidRPr="00150CD2" w:rsidRDefault="00284C28">
      <w:pPr>
        <w:autoSpaceDE/>
        <w:autoSpaceDN/>
        <w:adjustRightInd/>
        <w:rPr>
          <w:rFonts w:cs="Arial"/>
          <w:sz w:val="8"/>
          <w:szCs w:val="8"/>
        </w:rPr>
      </w:pPr>
      <w:r w:rsidRPr="00150CD2">
        <w:rPr>
          <w:rFonts w:cs="Arial"/>
          <w:sz w:val="8"/>
          <w:szCs w:val="8"/>
        </w:rPr>
        <w:t xml:space="preserve"> </w:t>
      </w:r>
    </w:p>
    <w:tbl>
      <w:tblPr>
        <w:tblStyle w:val="TableGrid"/>
        <w:tblW w:w="9072" w:type="dxa"/>
        <w:tblLayout w:type="fixed"/>
        <w:tblCellMar>
          <w:top w:w="58" w:type="dxa"/>
          <w:left w:w="115" w:type="dxa"/>
          <w:bottom w:w="58" w:type="dxa"/>
          <w:right w:w="115" w:type="dxa"/>
        </w:tblCellMar>
        <w:tblLook w:val="04A0" w:firstRow="1" w:lastRow="0" w:firstColumn="1" w:lastColumn="0" w:noHBand="0" w:noVBand="1"/>
      </w:tblPr>
      <w:tblGrid>
        <w:gridCol w:w="1584"/>
        <w:gridCol w:w="1728"/>
        <w:gridCol w:w="5760"/>
      </w:tblGrid>
      <w:tr w:rsidR="00CA43CF" w:rsidRPr="00150CD2" w14:paraId="0876A413" w14:textId="77777777" w:rsidTr="00FC0C31">
        <w:trPr>
          <w:cantSplit/>
          <w:tblHeader/>
        </w:trPr>
        <w:tc>
          <w:tcPr>
            <w:tcW w:w="1584" w:type="dxa"/>
            <w:tcBorders>
              <w:bottom w:val="single" w:sz="4" w:space="0" w:color="auto"/>
            </w:tcBorders>
            <w:shd w:val="clear" w:color="auto" w:fill="F2F2F2" w:themeFill="background1" w:themeFillShade="F2"/>
          </w:tcPr>
          <w:p w14:paraId="19749C05" w14:textId="77777777" w:rsidR="00CA43CF" w:rsidRPr="00150CD2" w:rsidRDefault="00CA43CF" w:rsidP="00A64F72">
            <w:pPr>
              <w:pStyle w:val="EYTableHeading"/>
              <w:rPr>
                <w:rFonts w:cs="Arial"/>
                <w:sz w:val="24"/>
                <w:lang w:val="en-US"/>
              </w:rPr>
            </w:pPr>
            <w:r w:rsidRPr="00150CD2">
              <w:rPr>
                <w:rFonts w:cs="Arial"/>
                <w:sz w:val="24"/>
              </w:rPr>
              <w:t>Perspective</w:t>
            </w:r>
          </w:p>
        </w:tc>
        <w:tc>
          <w:tcPr>
            <w:tcW w:w="1728" w:type="dxa"/>
            <w:shd w:val="clear" w:color="auto" w:fill="F2F2F2" w:themeFill="background1" w:themeFillShade="F2"/>
          </w:tcPr>
          <w:p w14:paraId="29923A7E" w14:textId="057372DD" w:rsidR="00CA43CF" w:rsidRPr="00150CD2" w:rsidRDefault="0008581C" w:rsidP="00A64F72">
            <w:pPr>
              <w:pStyle w:val="EYTableHeading"/>
              <w:rPr>
                <w:rFonts w:cs="Arial"/>
                <w:sz w:val="24"/>
                <w:lang w:val="en-US"/>
              </w:rPr>
            </w:pPr>
            <w:r w:rsidRPr="00150CD2">
              <w:rPr>
                <w:rFonts w:cs="Arial"/>
                <w:sz w:val="24"/>
              </w:rPr>
              <w:t>Outcome domain and i</w:t>
            </w:r>
            <w:r w:rsidR="00CA43CF" w:rsidRPr="00150CD2">
              <w:rPr>
                <w:rFonts w:cs="Arial"/>
                <w:sz w:val="24"/>
              </w:rPr>
              <w:t>ndicators</w:t>
            </w:r>
          </w:p>
        </w:tc>
        <w:tc>
          <w:tcPr>
            <w:tcW w:w="5760" w:type="dxa"/>
            <w:shd w:val="clear" w:color="auto" w:fill="F2F2F2" w:themeFill="background1" w:themeFillShade="F2"/>
          </w:tcPr>
          <w:p w14:paraId="69DAC2F8" w14:textId="77777777" w:rsidR="00CA43CF" w:rsidRPr="00150CD2" w:rsidRDefault="00CA43CF" w:rsidP="00A64F72">
            <w:pPr>
              <w:pStyle w:val="EYTableHeading"/>
              <w:rPr>
                <w:rFonts w:cs="Arial"/>
                <w:sz w:val="24"/>
                <w:lang w:val="en-US"/>
              </w:rPr>
            </w:pPr>
            <w:r w:rsidRPr="00150CD2">
              <w:rPr>
                <w:rFonts w:cs="Arial"/>
                <w:sz w:val="24"/>
              </w:rPr>
              <w:t>Insights for individual and household respondents allocated DSS, compared to other individual and household respondents</w:t>
            </w:r>
          </w:p>
        </w:tc>
      </w:tr>
      <w:tr w:rsidR="00AF5B80" w:rsidRPr="00150CD2" w14:paraId="1F1B0AEF" w14:textId="77777777" w:rsidTr="00FC0C31">
        <w:trPr>
          <w:cantSplit/>
        </w:trPr>
        <w:tc>
          <w:tcPr>
            <w:tcW w:w="1584" w:type="dxa"/>
            <w:tcBorders>
              <w:bottom w:val="nil"/>
            </w:tcBorders>
          </w:tcPr>
          <w:p w14:paraId="58B41463" w14:textId="22F78447" w:rsidR="00AF5B80" w:rsidRPr="00150CD2" w:rsidRDefault="00AF5B80" w:rsidP="00CA43CF">
            <w:pPr>
              <w:pStyle w:val="EYTableText"/>
              <w:rPr>
                <w:rFonts w:cs="Arial"/>
                <w:sz w:val="24"/>
                <w:lang w:val="en-US"/>
              </w:rPr>
            </w:pPr>
            <w:r w:rsidRPr="00150CD2">
              <w:rPr>
                <w:rFonts w:cs="Arial"/>
                <w:sz w:val="24"/>
                <w:lang w:val="en-US"/>
              </w:rPr>
              <w:t>Child</w:t>
            </w:r>
          </w:p>
        </w:tc>
        <w:tc>
          <w:tcPr>
            <w:tcW w:w="1728" w:type="dxa"/>
          </w:tcPr>
          <w:p w14:paraId="0F7EFC80" w14:textId="5D4154ED" w:rsidR="00AF5B80" w:rsidRPr="00150CD2" w:rsidRDefault="00AF5B80" w:rsidP="00CA43CF">
            <w:pPr>
              <w:pStyle w:val="EYTableText"/>
              <w:rPr>
                <w:rFonts w:cs="Arial"/>
                <w:b/>
                <w:sz w:val="24"/>
                <w:lang w:val="en-US"/>
              </w:rPr>
            </w:pPr>
            <w:r w:rsidRPr="00150CD2">
              <w:rPr>
                <w:rFonts w:cs="Arial"/>
                <w:b/>
                <w:sz w:val="24"/>
                <w:lang w:val="en-US"/>
              </w:rPr>
              <w:t>Happy and well: Health status</w:t>
            </w:r>
          </w:p>
        </w:tc>
        <w:tc>
          <w:tcPr>
            <w:tcW w:w="5760" w:type="dxa"/>
          </w:tcPr>
          <w:p w14:paraId="15A96882" w14:textId="7E70C158" w:rsidR="00AF5B80" w:rsidRPr="00150CD2" w:rsidRDefault="009B56A7" w:rsidP="0075509B">
            <w:pPr>
              <w:pStyle w:val="EYTableText"/>
              <w:rPr>
                <w:rFonts w:cs="Arial"/>
                <w:sz w:val="24"/>
                <w:lang w:val="en-US"/>
              </w:rPr>
            </w:pPr>
            <w:r w:rsidRPr="00150CD2">
              <w:rPr>
                <w:rFonts w:cs="Arial"/>
                <w:b/>
                <w:sz w:val="24"/>
                <w:lang w:val="en-US"/>
              </w:rPr>
              <w:t>Disability Survey r</w:t>
            </w:r>
            <w:r w:rsidR="00AF5B80" w:rsidRPr="00150CD2">
              <w:rPr>
                <w:rFonts w:cs="Arial"/>
                <w:b/>
                <w:sz w:val="24"/>
                <w:lang w:val="en-US"/>
              </w:rPr>
              <w:t>espondents for DSS child</w:t>
            </w:r>
            <w:r w:rsidRPr="00150CD2">
              <w:rPr>
                <w:rFonts w:cs="Arial"/>
                <w:b/>
                <w:sz w:val="24"/>
                <w:lang w:val="en-US"/>
              </w:rPr>
              <w:t>ren</w:t>
            </w:r>
            <w:r w:rsidR="00AF5B80" w:rsidRPr="00150CD2">
              <w:rPr>
                <w:rFonts w:cs="Arial"/>
                <w:b/>
                <w:sz w:val="24"/>
                <w:lang w:val="en-US"/>
              </w:rPr>
              <w:t xml:space="preserve"> generally rated their child’s health as being “good” to “excellent” (</w:t>
            </w:r>
            <w:r w:rsidRPr="00150CD2">
              <w:rPr>
                <w:rFonts w:cs="Arial"/>
                <w:b/>
                <w:sz w:val="24"/>
                <w:lang w:val="en-US"/>
              </w:rPr>
              <w:t>89</w:t>
            </w:r>
            <w:r w:rsidR="00AF5B80" w:rsidRPr="00150CD2">
              <w:rPr>
                <w:rFonts w:cs="Arial"/>
                <w:b/>
                <w:sz w:val="24"/>
                <w:lang w:val="en-US"/>
              </w:rPr>
              <w:t xml:space="preserve">% of respondents), with </w:t>
            </w:r>
            <w:r w:rsidRPr="00150CD2">
              <w:rPr>
                <w:rFonts w:cs="Arial"/>
                <w:b/>
                <w:sz w:val="24"/>
                <w:lang w:val="en-US"/>
              </w:rPr>
              <w:t>11</w:t>
            </w:r>
            <w:r w:rsidR="00AF5B80" w:rsidRPr="00150CD2">
              <w:rPr>
                <w:rFonts w:cs="Arial"/>
                <w:b/>
                <w:sz w:val="24"/>
                <w:lang w:val="en-US"/>
              </w:rPr>
              <w:t>% being described as having “fair” or “poor” health.</w:t>
            </w:r>
            <w:r w:rsidR="00AF5B80" w:rsidRPr="00150CD2">
              <w:rPr>
                <w:rFonts w:cs="Arial"/>
                <w:sz w:val="24"/>
                <w:lang w:val="en-US"/>
              </w:rPr>
              <w:t xml:space="preserve"> </w:t>
            </w:r>
            <w:r w:rsidRPr="00150CD2">
              <w:rPr>
                <w:rFonts w:cs="Arial"/>
                <w:sz w:val="24"/>
                <w:lang w:val="en-US"/>
              </w:rPr>
              <w:t xml:space="preserve">These responses were similar to those for other children with impairments who have never been allocated DSS. Both groups had higher health ratings </w:t>
            </w:r>
            <w:r w:rsidR="005A43BC" w:rsidRPr="00150CD2">
              <w:rPr>
                <w:rFonts w:cs="Arial"/>
                <w:sz w:val="24"/>
                <w:lang w:val="en-US"/>
              </w:rPr>
              <w:t xml:space="preserve">than adult DSS respondents, but </w:t>
            </w:r>
            <w:r w:rsidRPr="00150CD2">
              <w:rPr>
                <w:rFonts w:cs="Arial"/>
                <w:sz w:val="24"/>
                <w:lang w:val="en-US"/>
              </w:rPr>
              <w:t xml:space="preserve">lower health ratings when compared to children without impairments (98% </w:t>
            </w:r>
            <w:r w:rsidR="005A43BC" w:rsidRPr="00150CD2">
              <w:rPr>
                <w:rFonts w:cs="Arial"/>
                <w:sz w:val="24"/>
                <w:lang w:val="en-US"/>
              </w:rPr>
              <w:t xml:space="preserve">of children without impairments </w:t>
            </w:r>
            <w:r w:rsidR="00AF5B80" w:rsidRPr="00150CD2">
              <w:rPr>
                <w:rFonts w:cs="Arial"/>
                <w:sz w:val="24"/>
                <w:lang w:val="en-US"/>
              </w:rPr>
              <w:t>were described as having “good” to “excellent” health).</w:t>
            </w:r>
          </w:p>
        </w:tc>
      </w:tr>
      <w:tr w:rsidR="00AF5B80" w:rsidRPr="00150CD2" w14:paraId="5885BC87" w14:textId="77777777" w:rsidTr="00FC0C31">
        <w:trPr>
          <w:cantSplit/>
        </w:trPr>
        <w:tc>
          <w:tcPr>
            <w:tcW w:w="1584" w:type="dxa"/>
            <w:tcBorders>
              <w:top w:val="nil"/>
              <w:bottom w:val="nil"/>
            </w:tcBorders>
          </w:tcPr>
          <w:p w14:paraId="085FADFF" w14:textId="77777777" w:rsidR="00AF5B80" w:rsidRPr="00150CD2" w:rsidRDefault="00AF5B80" w:rsidP="005A5E45">
            <w:pPr>
              <w:pStyle w:val="EYTableText"/>
              <w:rPr>
                <w:rFonts w:cs="Arial"/>
                <w:sz w:val="24"/>
                <w:lang w:val="en-US"/>
              </w:rPr>
            </w:pPr>
          </w:p>
        </w:tc>
        <w:tc>
          <w:tcPr>
            <w:tcW w:w="1728" w:type="dxa"/>
          </w:tcPr>
          <w:p w14:paraId="59A2D5B2" w14:textId="3D3FBBF9" w:rsidR="00AF5B80" w:rsidRPr="00150CD2" w:rsidRDefault="00AF5B80" w:rsidP="005A5E45">
            <w:pPr>
              <w:pStyle w:val="EYTableText"/>
              <w:rPr>
                <w:rFonts w:cs="Arial"/>
                <w:b/>
                <w:sz w:val="24"/>
                <w:lang w:val="en-US"/>
              </w:rPr>
            </w:pPr>
            <w:r w:rsidRPr="00150CD2">
              <w:rPr>
                <w:rFonts w:cs="Arial"/>
                <w:b/>
                <w:sz w:val="24"/>
                <w:lang w:val="en-US"/>
              </w:rPr>
              <w:t>Happy and well: Health services contact</w:t>
            </w:r>
          </w:p>
        </w:tc>
        <w:tc>
          <w:tcPr>
            <w:tcW w:w="5760" w:type="dxa"/>
          </w:tcPr>
          <w:p w14:paraId="58EA52F0" w14:textId="6D166DE7" w:rsidR="00AF5B80" w:rsidRPr="00150CD2" w:rsidRDefault="00AF5B80" w:rsidP="005A5E45">
            <w:pPr>
              <w:pStyle w:val="EYTableText"/>
              <w:rPr>
                <w:rFonts w:cs="Arial"/>
                <w:sz w:val="24"/>
                <w:lang w:val="en-US"/>
              </w:rPr>
            </w:pPr>
            <w:r w:rsidRPr="00150CD2">
              <w:rPr>
                <w:rFonts w:cs="Arial"/>
                <w:sz w:val="24"/>
                <w:lang w:val="en-US"/>
              </w:rPr>
              <w:t xml:space="preserve">The majority of DSS children had contact with primary care health workers and medical specialists over the 12 months prior to the </w:t>
            </w:r>
            <w:r w:rsidR="00284C28" w:rsidRPr="00150CD2">
              <w:rPr>
                <w:rFonts w:cs="Arial"/>
                <w:sz w:val="24"/>
                <w:lang w:val="en-US"/>
              </w:rPr>
              <w:t>Disability Survey</w:t>
            </w:r>
            <w:r w:rsidR="00284C28" w:rsidRPr="00150CD2">
              <w:rPr>
                <w:rStyle w:val="FootnoteReference"/>
                <w:rFonts w:ascii="Arial" w:hAnsi="Arial" w:cs="Arial"/>
                <w:sz w:val="24"/>
                <w:szCs w:val="24"/>
                <w:lang w:val="en-US"/>
              </w:rPr>
              <w:footnoteReference w:id="39"/>
            </w:r>
            <w:r w:rsidRPr="00150CD2">
              <w:rPr>
                <w:rFonts w:cs="Arial"/>
                <w:sz w:val="24"/>
                <w:lang w:val="en-US"/>
              </w:rPr>
              <w:t xml:space="preserve">. </w:t>
            </w:r>
            <w:r w:rsidR="00284C28" w:rsidRPr="00150CD2">
              <w:rPr>
                <w:rFonts w:cs="Arial"/>
                <w:sz w:val="24"/>
                <w:lang w:val="en-US"/>
              </w:rPr>
              <w:t>94</w:t>
            </w:r>
            <w:r w:rsidRPr="00150CD2">
              <w:rPr>
                <w:rFonts w:cs="Arial"/>
                <w:sz w:val="24"/>
                <w:lang w:val="en-US"/>
              </w:rPr>
              <w:t xml:space="preserve">% saw a family doctor or GP; 68% saw a pharmacist; </w:t>
            </w:r>
            <w:r w:rsidR="00284C28" w:rsidRPr="00150CD2">
              <w:rPr>
                <w:rFonts w:cs="Arial"/>
                <w:sz w:val="24"/>
                <w:lang w:val="en-US"/>
              </w:rPr>
              <w:t>81</w:t>
            </w:r>
            <w:r w:rsidRPr="00150CD2">
              <w:rPr>
                <w:rFonts w:cs="Arial"/>
                <w:sz w:val="24"/>
                <w:lang w:val="en-US"/>
              </w:rPr>
              <w:t xml:space="preserve">% saw a medical specialist; and </w:t>
            </w:r>
            <w:r w:rsidR="00284C28" w:rsidRPr="00150CD2">
              <w:rPr>
                <w:rFonts w:cs="Arial"/>
                <w:sz w:val="24"/>
                <w:lang w:val="en-US"/>
              </w:rPr>
              <w:t>88</w:t>
            </w:r>
            <w:r w:rsidRPr="00150CD2">
              <w:rPr>
                <w:rFonts w:cs="Arial"/>
                <w:sz w:val="24"/>
                <w:lang w:val="en-US"/>
              </w:rPr>
              <w:t xml:space="preserve">% had been to see a dentist or oral health professional. DSS children were more likely to have seen </w:t>
            </w:r>
            <w:r w:rsidR="00FA61A2" w:rsidRPr="00150CD2">
              <w:rPr>
                <w:rFonts w:cs="Arial"/>
                <w:sz w:val="24"/>
                <w:lang w:val="en-US"/>
              </w:rPr>
              <w:t xml:space="preserve">GPs, medical specialists and dentists or oral health professionals compared to </w:t>
            </w:r>
            <w:r w:rsidR="00984E0E" w:rsidRPr="00150CD2">
              <w:rPr>
                <w:rFonts w:cs="Arial"/>
                <w:sz w:val="24"/>
                <w:lang w:val="en-US"/>
              </w:rPr>
              <w:t>non-DSS</w:t>
            </w:r>
            <w:r w:rsidR="00FA61A2" w:rsidRPr="00150CD2">
              <w:rPr>
                <w:rFonts w:cs="Arial"/>
                <w:sz w:val="24"/>
                <w:lang w:val="en-US"/>
              </w:rPr>
              <w:t xml:space="preserve"> children with impairments.</w:t>
            </w:r>
          </w:p>
          <w:p w14:paraId="76AF5382" w14:textId="77777777" w:rsidR="00AF5B80" w:rsidRPr="00150CD2" w:rsidRDefault="00AF5B80" w:rsidP="005A5E45">
            <w:pPr>
              <w:pStyle w:val="EYTableText"/>
              <w:rPr>
                <w:rFonts w:cs="Arial"/>
                <w:sz w:val="24"/>
                <w:lang w:val="en-US"/>
              </w:rPr>
            </w:pPr>
          </w:p>
          <w:p w14:paraId="56ECE122" w14:textId="4700FA8C" w:rsidR="00AF5B80" w:rsidRPr="00150CD2" w:rsidRDefault="00FA61A2" w:rsidP="005A5E45">
            <w:pPr>
              <w:pStyle w:val="EYTableText"/>
              <w:rPr>
                <w:rFonts w:cs="Arial"/>
                <w:sz w:val="24"/>
                <w:lang w:val="en-US"/>
              </w:rPr>
            </w:pPr>
            <w:r w:rsidRPr="00150CD2">
              <w:rPr>
                <w:rFonts w:cs="Arial"/>
                <w:sz w:val="24"/>
                <w:lang w:val="en-US"/>
              </w:rPr>
              <w:t>16</w:t>
            </w:r>
            <w:r w:rsidR="00AF5B80" w:rsidRPr="00150CD2">
              <w:rPr>
                <w:rFonts w:cs="Arial"/>
                <w:sz w:val="24"/>
                <w:lang w:val="en-US"/>
              </w:rPr>
              <w:t xml:space="preserve">% </w:t>
            </w:r>
            <w:r w:rsidRPr="00150CD2">
              <w:rPr>
                <w:rFonts w:cs="Arial"/>
                <w:sz w:val="24"/>
                <w:lang w:val="en-US"/>
              </w:rPr>
              <w:t xml:space="preserve">of DSS children </w:t>
            </w:r>
            <w:r w:rsidR="00AF5B80" w:rsidRPr="00150CD2">
              <w:rPr>
                <w:rFonts w:cs="Arial"/>
                <w:sz w:val="24"/>
                <w:lang w:val="en-US"/>
              </w:rPr>
              <w:t xml:space="preserve">had a time </w:t>
            </w:r>
            <w:r w:rsidRPr="00150CD2">
              <w:rPr>
                <w:rFonts w:cs="Arial"/>
                <w:sz w:val="24"/>
                <w:lang w:val="en-US"/>
              </w:rPr>
              <w:t xml:space="preserve">in the previous 12 months </w:t>
            </w:r>
            <w:r w:rsidR="00AF5B80" w:rsidRPr="00150CD2">
              <w:rPr>
                <w:rFonts w:cs="Arial"/>
                <w:sz w:val="24"/>
                <w:lang w:val="en-US"/>
              </w:rPr>
              <w:t xml:space="preserve">when they needed to see a health professional but were unable to do so. This was a similar proportion to </w:t>
            </w:r>
            <w:r w:rsidRPr="00150CD2">
              <w:rPr>
                <w:rFonts w:cs="Arial"/>
                <w:sz w:val="24"/>
                <w:lang w:val="en-US"/>
              </w:rPr>
              <w:t>non-DSS children with impairments</w:t>
            </w:r>
            <w:r w:rsidR="00AF5B80" w:rsidRPr="00150CD2">
              <w:rPr>
                <w:rFonts w:cs="Arial"/>
                <w:sz w:val="24"/>
                <w:lang w:val="en-US"/>
              </w:rPr>
              <w:t>.</w:t>
            </w:r>
          </w:p>
        </w:tc>
      </w:tr>
      <w:tr w:rsidR="00AF5B80" w:rsidRPr="00150CD2" w14:paraId="47338539" w14:textId="77777777" w:rsidTr="00FC0C31">
        <w:trPr>
          <w:cantSplit/>
        </w:trPr>
        <w:tc>
          <w:tcPr>
            <w:tcW w:w="1584" w:type="dxa"/>
            <w:tcBorders>
              <w:top w:val="nil"/>
              <w:bottom w:val="nil"/>
            </w:tcBorders>
          </w:tcPr>
          <w:p w14:paraId="61120539" w14:textId="77777777" w:rsidR="00AF5B80" w:rsidRPr="00150CD2" w:rsidRDefault="00AF5B80" w:rsidP="00DC15EC">
            <w:pPr>
              <w:pStyle w:val="EYTableText"/>
              <w:rPr>
                <w:rFonts w:cs="Arial"/>
                <w:sz w:val="24"/>
                <w:lang w:val="en-US"/>
              </w:rPr>
            </w:pPr>
          </w:p>
        </w:tc>
        <w:tc>
          <w:tcPr>
            <w:tcW w:w="1728" w:type="dxa"/>
          </w:tcPr>
          <w:p w14:paraId="0B5F3E2B" w14:textId="033174B5" w:rsidR="00AF5B80" w:rsidRPr="00150CD2" w:rsidRDefault="00AF5B80" w:rsidP="00DC15EC">
            <w:pPr>
              <w:pStyle w:val="EYTableText"/>
              <w:rPr>
                <w:rFonts w:cs="Arial"/>
                <w:b/>
                <w:sz w:val="24"/>
                <w:lang w:val="en-US"/>
              </w:rPr>
            </w:pPr>
            <w:r w:rsidRPr="00150CD2">
              <w:rPr>
                <w:rFonts w:cs="Arial"/>
                <w:b/>
                <w:sz w:val="24"/>
                <w:lang w:val="en-US"/>
              </w:rPr>
              <w:t>Have what they need: Support services and equipment</w:t>
            </w:r>
          </w:p>
        </w:tc>
        <w:tc>
          <w:tcPr>
            <w:tcW w:w="5760" w:type="dxa"/>
            <w:shd w:val="clear" w:color="auto" w:fill="auto"/>
          </w:tcPr>
          <w:p w14:paraId="0A87FEDF" w14:textId="46EFE8D5" w:rsidR="00AF5B80" w:rsidRPr="00150CD2" w:rsidRDefault="00AF5B80" w:rsidP="00DC15EC">
            <w:pPr>
              <w:pStyle w:val="EYTableText"/>
              <w:rPr>
                <w:rFonts w:cs="Arial"/>
                <w:sz w:val="24"/>
                <w:lang w:val="en-US"/>
              </w:rPr>
            </w:pPr>
            <w:r w:rsidRPr="00150CD2">
              <w:rPr>
                <w:rFonts w:cs="Arial"/>
                <w:sz w:val="24"/>
                <w:lang w:val="en-US"/>
              </w:rPr>
              <w:t xml:space="preserve">73% of DSS children received respite care or carer support in the 12 months prior to the </w:t>
            </w:r>
            <w:r w:rsidR="00984E0E" w:rsidRPr="00150CD2">
              <w:rPr>
                <w:rFonts w:cs="Arial"/>
                <w:sz w:val="24"/>
                <w:lang w:val="en-US"/>
              </w:rPr>
              <w:t>Disability Survey</w:t>
            </w:r>
            <w:r w:rsidRPr="00150CD2">
              <w:rPr>
                <w:rFonts w:cs="Arial"/>
                <w:sz w:val="24"/>
                <w:lang w:val="en-US"/>
              </w:rPr>
              <w:t xml:space="preserve">. </w:t>
            </w:r>
          </w:p>
          <w:p w14:paraId="1E49756C" w14:textId="0A35D842" w:rsidR="00AF5B80" w:rsidRPr="00150CD2" w:rsidRDefault="00AF5B80" w:rsidP="00DC15EC">
            <w:pPr>
              <w:pStyle w:val="EYTableText"/>
              <w:rPr>
                <w:rFonts w:cs="Arial"/>
                <w:b/>
                <w:sz w:val="24"/>
                <w:lang w:val="en-US"/>
              </w:rPr>
            </w:pPr>
            <w:r w:rsidRPr="00150CD2">
              <w:rPr>
                <w:rFonts w:cs="Arial"/>
                <w:b/>
                <w:sz w:val="24"/>
                <w:lang w:val="en-US"/>
              </w:rPr>
              <w:t xml:space="preserve">Parents and carers for DSS children described areas where their child had needed support services or equipment at some point over the prior 12 months but </w:t>
            </w:r>
            <w:r w:rsidR="00BC000B" w:rsidRPr="00150CD2">
              <w:rPr>
                <w:rFonts w:cs="Arial"/>
                <w:b/>
                <w:sz w:val="24"/>
                <w:lang w:val="en-US"/>
              </w:rPr>
              <w:t xml:space="preserve">was </w:t>
            </w:r>
            <w:r w:rsidRPr="00150CD2">
              <w:rPr>
                <w:rFonts w:cs="Arial"/>
                <w:b/>
                <w:sz w:val="24"/>
                <w:lang w:val="en-US"/>
              </w:rPr>
              <w:t>unable to get it:</w:t>
            </w:r>
          </w:p>
          <w:p w14:paraId="032A83DC" w14:textId="4EB612C0" w:rsidR="00AF5B80" w:rsidRPr="00150CD2" w:rsidRDefault="00AF5B80" w:rsidP="0008581C">
            <w:pPr>
              <w:pStyle w:val="EYTablebullet1"/>
              <w:ind w:left="288" w:hanging="288"/>
              <w:contextualSpacing/>
              <w:rPr>
                <w:rFonts w:cs="Arial"/>
                <w:sz w:val="24"/>
                <w:lang w:val="en-US" w:eastAsia="en-US"/>
              </w:rPr>
            </w:pPr>
            <w:r w:rsidRPr="00150CD2">
              <w:rPr>
                <w:rFonts w:cs="Arial"/>
                <w:sz w:val="24"/>
                <w:lang w:val="en-US" w:eastAsia="en-US"/>
              </w:rPr>
              <w:t>Respite care / carer support (</w:t>
            </w:r>
            <w:r w:rsidR="00984E0E" w:rsidRPr="00150CD2">
              <w:rPr>
                <w:rFonts w:cs="Arial"/>
                <w:sz w:val="24"/>
                <w:lang w:val="en-US" w:eastAsia="en-US"/>
              </w:rPr>
              <w:t>31</w:t>
            </w:r>
            <w:r w:rsidRPr="00150CD2">
              <w:rPr>
                <w:rFonts w:cs="Arial"/>
                <w:sz w:val="24"/>
                <w:lang w:val="en-US" w:eastAsia="en-US"/>
              </w:rPr>
              <w:t>%)</w:t>
            </w:r>
          </w:p>
          <w:p w14:paraId="11113750" w14:textId="39FA211F" w:rsidR="00AF5B80" w:rsidRPr="00150CD2" w:rsidRDefault="00AF5B80" w:rsidP="0008581C">
            <w:pPr>
              <w:pStyle w:val="EYTablebullet1"/>
              <w:ind w:left="288" w:hanging="288"/>
              <w:contextualSpacing/>
              <w:rPr>
                <w:rFonts w:cs="Arial"/>
                <w:sz w:val="24"/>
                <w:lang w:val="en-US" w:eastAsia="en-US"/>
              </w:rPr>
            </w:pPr>
            <w:r w:rsidRPr="00150CD2">
              <w:rPr>
                <w:rFonts w:cs="Arial"/>
                <w:sz w:val="24"/>
                <w:lang w:val="en-US" w:eastAsia="en-US"/>
              </w:rPr>
              <w:t>Equipment or service needed by those with difficulty speaking or being understood (</w:t>
            </w:r>
            <w:r w:rsidR="00984E0E" w:rsidRPr="00150CD2">
              <w:rPr>
                <w:rFonts w:cs="Arial"/>
                <w:sz w:val="24"/>
                <w:lang w:val="en-US" w:eastAsia="en-US"/>
              </w:rPr>
              <w:t>35</w:t>
            </w:r>
            <w:r w:rsidRPr="00150CD2">
              <w:rPr>
                <w:rFonts w:cs="Arial"/>
                <w:sz w:val="24"/>
                <w:lang w:val="en-US" w:eastAsia="en-US"/>
              </w:rPr>
              <w:t>%)</w:t>
            </w:r>
          </w:p>
          <w:p w14:paraId="7D96494D" w14:textId="5CC01DE6" w:rsidR="00AF5B80" w:rsidRPr="00150CD2" w:rsidRDefault="00AF5B80" w:rsidP="0008581C">
            <w:pPr>
              <w:pStyle w:val="EYTablebullet1"/>
              <w:ind w:left="288" w:hanging="288"/>
              <w:contextualSpacing/>
              <w:rPr>
                <w:rFonts w:cs="Arial"/>
                <w:sz w:val="24"/>
                <w:lang w:val="en-US" w:eastAsia="en-US"/>
              </w:rPr>
            </w:pPr>
            <w:r w:rsidRPr="00150CD2">
              <w:rPr>
                <w:rFonts w:cs="Arial"/>
                <w:sz w:val="24"/>
                <w:lang w:val="en-US" w:eastAsia="en-US"/>
              </w:rPr>
              <w:t>Help (or extra help) with housework (28%)</w:t>
            </w:r>
          </w:p>
          <w:p w14:paraId="526F6E24" w14:textId="77777777" w:rsidR="00AF5B80" w:rsidRPr="00150CD2" w:rsidRDefault="00AF5B80" w:rsidP="0008581C">
            <w:pPr>
              <w:pStyle w:val="EYTablebullet1"/>
              <w:ind w:left="288" w:hanging="288"/>
              <w:contextualSpacing/>
              <w:rPr>
                <w:rFonts w:cs="Arial"/>
                <w:sz w:val="24"/>
                <w:lang w:val="en-US" w:eastAsia="en-US"/>
              </w:rPr>
            </w:pPr>
            <w:r w:rsidRPr="00150CD2">
              <w:rPr>
                <w:rFonts w:cs="Arial"/>
                <w:sz w:val="24"/>
                <w:lang w:val="en-US" w:eastAsia="en-US"/>
              </w:rPr>
              <w:t>Help (or extra help) with the child’s personal care (19%)</w:t>
            </w:r>
          </w:p>
          <w:p w14:paraId="6A12671C" w14:textId="77777777" w:rsidR="00BA016F" w:rsidRPr="00150CD2" w:rsidRDefault="00BA016F" w:rsidP="0008581C">
            <w:pPr>
              <w:pStyle w:val="EYTableText"/>
              <w:rPr>
                <w:rFonts w:cs="Arial"/>
                <w:sz w:val="24"/>
                <w:lang w:val="en-US"/>
              </w:rPr>
            </w:pPr>
            <w:r w:rsidRPr="00150CD2">
              <w:rPr>
                <w:rFonts w:cs="Arial"/>
                <w:sz w:val="24"/>
                <w:lang w:val="en-US"/>
              </w:rPr>
              <w:t>All of these proportions were higher than those reported by parents and carers for non-DSS children with impairments.</w:t>
            </w:r>
          </w:p>
          <w:p w14:paraId="5FE09EA8" w14:textId="4F539CA3" w:rsidR="00AF5B80" w:rsidRPr="00150CD2" w:rsidRDefault="00BA016F" w:rsidP="0008581C">
            <w:pPr>
              <w:pStyle w:val="EYTableText"/>
              <w:rPr>
                <w:rFonts w:cs="Arial"/>
                <w:sz w:val="24"/>
                <w:lang w:val="en-US"/>
              </w:rPr>
            </w:pPr>
            <w:r w:rsidRPr="00150CD2">
              <w:rPr>
                <w:rFonts w:cs="Arial"/>
                <w:sz w:val="24"/>
                <w:lang w:val="en-US"/>
              </w:rPr>
              <w:t xml:space="preserve">Within the DSS child group, </w:t>
            </w:r>
            <w:r w:rsidR="00002AFE" w:rsidRPr="00150CD2">
              <w:rPr>
                <w:rFonts w:cs="Arial"/>
                <w:sz w:val="24"/>
                <w:lang w:val="en-US"/>
              </w:rPr>
              <w:t xml:space="preserve">parents / </w:t>
            </w:r>
            <w:r w:rsidRPr="00150CD2">
              <w:rPr>
                <w:rFonts w:cs="Arial"/>
                <w:sz w:val="24"/>
                <w:lang w:val="en-US"/>
              </w:rPr>
              <w:t>c</w:t>
            </w:r>
            <w:r w:rsidR="00B31E11" w:rsidRPr="00150CD2">
              <w:rPr>
                <w:rFonts w:cs="Arial"/>
                <w:sz w:val="24"/>
                <w:lang w:val="en-US"/>
              </w:rPr>
              <w:t xml:space="preserve">arers </w:t>
            </w:r>
            <w:r w:rsidR="00AF5B80" w:rsidRPr="00150CD2">
              <w:rPr>
                <w:rFonts w:cs="Arial"/>
                <w:sz w:val="24"/>
                <w:lang w:val="en-US"/>
              </w:rPr>
              <w:t>with DSS children with high/very high SPA levels were more likely to describe needing help with housework and personal care.</w:t>
            </w:r>
          </w:p>
        </w:tc>
      </w:tr>
      <w:tr w:rsidR="00AF5B80" w:rsidRPr="00150CD2" w14:paraId="6050AF16" w14:textId="77777777" w:rsidTr="00FC0C31">
        <w:trPr>
          <w:cantSplit/>
        </w:trPr>
        <w:tc>
          <w:tcPr>
            <w:tcW w:w="1584" w:type="dxa"/>
            <w:tcBorders>
              <w:top w:val="nil"/>
              <w:bottom w:val="nil"/>
            </w:tcBorders>
          </w:tcPr>
          <w:p w14:paraId="3D927573" w14:textId="77777777" w:rsidR="00AF5B80" w:rsidRPr="00150CD2" w:rsidRDefault="00AF5B80" w:rsidP="007D52C6">
            <w:pPr>
              <w:pStyle w:val="EYTableText"/>
              <w:rPr>
                <w:rFonts w:cs="Arial"/>
                <w:sz w:val="24"/>
                <w:lang w:val="en-US"/>
              </w:rPr>
            </w:pPr>
          </w:p>
        </w:tc>
        <w:tc>
          <w:tcPr>
            <w:tcW w:w="1728" w:type="dxa"/>
          </w:tcPr>
          <w:p w14:paraId="6BC46B3E" w14:textId="77777777" w:rsidR="00AF5B80" w:rsidRPr="00150CD2" w:rsidRDefault="00AF5B80" w:rsidP="007D52C6">
            <w:pPr>
              <w:pStyle w:val="EYTableText"/>
              <w:rPr>
                <w:rFonts w:cs="Arial"/>
                <w:b/>
                <w:sz w:val="24"/>
                <w:lang w:val="en-US"/>
              </w:rPr>
            </w:pPr>
            <w:r w:rsidRPr="00150CD2">
              <w:rPr>
                <w:rFonts w:cs="Arial"/>
                <w:b/>
                <w:sz w:val="24"/>
                <w:lang w:val="en-US"/>
              </w:rPr>
              <w:t>Developing and achieving: School work</w:t>
            </w:r>
          </w:p>
          <w:p w14:paraId="36B09D5C" w14:textId="126F6928" w:rsidR="00AF5B80" w:rsidRPr="00150CD2" w:rsidRDefault="008A5CE9" w:rsidP="007D52C6">
            <w:pPr>
              <w:pStyle w:val="EYTableText"/>
              <w:rPr>
                <w:rFonts w:cs="Arial"/>
                <w:b/>
                <w:sz w:val="24"/>
                <w:lang w:val="en-US"/>
              </w:rPr>
            </w:pPr>
            <w:r w:rsidRPr="00150CD2">
              <w:rPr>
                <w:rFonts w:cs="Arial"/>
                <w:b/>
                <w:sz w:val="24"/>
                <w:lang w:val="en-US"/>
              </w:rPr>
              <w:t>Extra-curricular</w:t>
            </w:r>
            <w:r w:rsidR="00AF5B80" w:rsidRPr="00150CD2">
              <w:rPr>
                <w:rFonts w:cs="Arial"/>
                <w:b/>
                <w:sz w:val="24"/>
                <w:lang w:val="en-US"/>
              </w:rPr>
              <w:t xml:space="preserve"> activities</w:t>
            </w:r>
          </w:p>
        </w:tc>
        <w:tc>
          <w:tcPr>
            <w:tcW w:w="5760" w:type="dxa"/>
            <w:shd w:val="clear" w:color="auto" w:fill="auto"/>
          </w:tcPr>
          <w:p w14:paraId="0C82958D" w14:textId="0F457F8B" w:rsidR="00AF5B80" w:rsidRPr="00150CD2" w:rsidRDefault="00D106A4" w:rsidP="00AF5B80">
            <w:pPr>
              <w:pStyle w:val="EYTableText"/>
              <w:rPr>
                <w:rFonts w:cs="Arial"/>
                <w:b/>
                <w:sz w:val="24"/>
                <w:lang w:val="en-US"/>
              </w:rPr>
            </w:pPr>
            <w:r w:rsidRPr="00150CD2">
              <w:rPr>
                <w:rFonts w:cs="Arial"/>
                <w:b/>
                <w:sz w:val="24"/>
                <w:lang w:val="en-US"/>
              </w:rPr>
              <w:t xml:space="preserve">Around </w:t>
            </w:r>
            <w:r w:rsidR="00AF5B80" w:rsidRPr="00150CD2">
              <w:rPr>
                <w:rFonts w:cs="Arial"/>
                <w:b/>
                <w:sz w:val="24"/>
                <w:lang w:val="en-US"/>
              </w:rPr>
              <w:t xml:space="preserve">80% of </w:t>
            </w:r>
            <w:r w:rsidR="003408B5" w:rsidRPr="00150CD2">
              <w:rPr>
                <w:rFonts w:cs="Arial"/>
                <w:b/>
                <w:sz w:val="24"/>
                <w:lang w:val="en-US"/>
              </w:rPr>
              <w:t>school aged</w:t>
            </w:r>
            <w:r w:rsidRPr="00150CD2">
              <w:rPr>
                <w:rFonts w:cs="Arial"/>
                <w:b/>
                <w:sz w:val="24"/>
                <w:lang w:val="en-US"/>
              </w:rPr>
              <w:t xml:space="preserve"> </w:t>
            </w:r>
            <w:r w:rsidR="00AF5B80" w:rsidRPr="00150CD2">
              <w:rPr>
                <w:rFonts w:cs="Arial"/>
                <w:b/>
                <w:sz w:val="24"/>
                <w:lang w:val="en-US"/>
              </w:rPr>
              <w:t xml:space="preserve">DSS children received extra help with school work (around 90% for children with intellectual disability or </w:t>
            </w:r>
            <w:r w:rsidR="00DF5F17" w:rsidRPr="00150CD2">
              <w:rPr>
                <w:rFonts w:cs="Arial"/>
                <w:b/>
                <w:sz w:val="24"/>
                <w:lang w:val="en-US"/>
              </w:rPr>
              <w:t>high/very high SPA</w:t>
            </w:r>
            <w:r w:rsidR="00AF5B80" w:rsidRPr="00150CD2">
              <w:rPr>
                <w:rFonts w:cs="Arial"/>
                <w:b/>
                <w:sz w:val="24"/>
                <w:lang w:val="en-US"/>
              </w:rPr>
              <w:t xml:space="preserve"> levels).</w:t>
            </w:r>
            <w:r w:rsidR="000F2FEB" w:rsidRPr="00150CD2">
              <w:rPr>
                <w:rFonts w:cs="Arial"/>
                <w:b/>
                <w:sz w:val="24"/>
                <w:lang w:val="en-US"/>
              </w:rPr>
              <w:t xml:space="preserve"> </w:t>
            </w:r>
          </w:p>
          <w:p w14:paraId="41874E8F" w14:textId="26DFDB7C" w:rsidR="00AF5B80" w:rsidRPr="00150CD2" w:rsidRDefault="00AF5B80" w:rsidP="003E776F">
            <w:pPr>
              <w:pStyle w:val="EYTablebullet1"/>
              <w:ind w:left="288" w:hanging="288"/>
              <w:contextualSpacing/>
              <w:rPr>
                <w:rFonts w:cs="Arial"/>
                <w:sz w:val="24"/>
                <w:lang w:val="en-US" w:eastAsia="en-US"/>
              </w:rPr>
            </w:pPr>
            <w:r w:rsidRPr="00150CD2">
              <w:rPr>
                <w:rFonts w:cs="Arial"/>
                <w:b/>
                <w:sz w:val="24"/>
                <w:lang w:val="en-US" w:eastAsia="en-US"/>
              </w:rPr>
              <w:t>60% of those receiving support need</w:t>
            </w:r>
            <w:r w:rsidR="00C54268" w:rsidRPr="00150CD2">
              <w:rPr>
                <w:rFonts w:cs="Arial"/>
                <w:b/>
                <w:sz w:val="24"/>
                <w:lang w:val="en-US" w:eastAsia="en-US"/>
              </w:rPr>
              <w:t>ed</w:t>
            </w:r>
            <w:r w:rsidRPr="00150CD2">
              <w:rPr>
                <w:rFonts w:cs="Arial"/>
                <w:b/>
                <w:sz w:val="24"/>
                <w:lang w:val="en-US" w:eastAsia="en-US"/>
              </w:rPr>
              <w:t xml:space="preserve"> more help than they </w:t>
            </w:r>
            <w:r w:rsidR="00C54268" w:rsidRPr="00150CD2">
              <w:rPr>
                <w:rFonts w:cs="Arial"/>
                <w:b/>
                <w:sz w:val="24"/>
                <w:lang w:val="en-US" w:eastAsia="en-US"/>
              </w:rPr>
              <w:t>were</w:t>
            </w:r>
            <w:r w:rsidRPr="00150CD2">
              <w:rPr>
                <w:rFonts w:cs="Arial"/>
                <w:b/>
                <w:sz w:val="24"/>
                <w:lang w:val="en-US" w:eastAsia="en-US"/>
              </w:rPr>
              <w:t xml:space="preserve"> getting </w:t>
            </w:r>
            <w:r w:rsidRPr="00150CD2">
              <w:rPr>
                <w:rFonts w:cs="Arial"/>
                <w:sz w:val="24"/>
                <w:lang w:val="en-US" w:eastAsia="en-US"/>
              </w:rPr>
              <w:t>(higher for children aged 9 and over at 66%)</w:t>
            </w:r>
          </w:p>
          <w:p w14:paraId="08AFED16" w14:textId="35B0A31C" w:rsidR="00AF5B80" w:rsidRPr="00150CD2" w:rsidRDefault="00AF5B80" w:rsidP="003E776F">
            <w:pPr>
              <w:pStyle w:val="EYTablebullet1"/>
              <w:ind w:left="288" w:hanging="288"/>
              <w:contextualSpacing/>
              <w:rPr>
                <w:rFonts w:cs="Arial"/>
                <w:sz w:val="24"/>
                <w:lang w:val="en-US" w:eastAsia="en-US"/>
              </w:rPr>
            </w:pPr>
            <w:r w:rsidRPr="00150CD2">
              <w:rPr>
                <w:rFonts w:cs="Arial"/>
                <w:sz w:val="24"/>
                <w:lang w:val="en-US" w:eastAsia="en-US"/>
              </w:rPr>
              <w:t>50% of those not getting extra help (largely those with non-intellectual disability) need</w:t>
            </w:r>
            <w:r w:rsidR="00C54268" w:rsidRPr="00150CD2">
              <w:rPr>
                <w:rFonts w:cs="Arial"/>
                <w:sz w:val="24"/>
                <w:lang w:val="en-US" w:eastAsia="en-US"/>
              </w:rPr>
              <w:t>ed</w:t>
            </w:r>
            <w:r w:rsidRPr="00150CD2">
              <w:rPr>
                <w:rFonts w:cs="Arial"/>
                <w:sz w:val="24"/>
                <w:lang w:val="en-US" w:eastAsia="en-US"/>
              </w:rPr>
              <w:t xml:space="preserve"> extra support</w:t>
            </w:r>
          </w:p>
          <w:p w14:paraId="2BFFF481" w14:textId="7F16D49B" w:rsidR="00C54268" w:rsidRPr="00150CD2" w:rsidRDefault="00C54268" w:rsidP="007D52C6">
            <w:pPr>
              <w:pStyle w:val="EYTableText"/>
              <w:rPr>
                <w:rFonts w:cs="Arial"/>
                <w:sz w:val="24"/>
                <w:lang w:val="en-US"/>
              </w:rPr>
            </w:pPr>
            <w:r w:rsidRPr="00150CD2">
              <w:rPr>
                <w:rFonts w:cs="Arial"/>
                <w:b/>
                <w:sz w:val="24"/>
                <w:lang w:val="en-US"/>
              </w:rPr>
              <w:t xml:space="preserve">Overall, around 60% of </w:t>
            </w:r>
            <w:r w:rsidR="003408B5" w:rsidRPr="00150CD2">
              <w:rPr>
                <w:rFonts w:cs="Arial"/>
                <w:b/>
                <w:sz w:val="24"/>
                <w:lang w:val="en-US"/>
              </w:rPr>
              <w:t>school aged</w:t>
            </w:r>
            <w:r w:rsidRPr="00150CD2">
              <w:rPr>
                <w:rFonts w:cs="Arial"/>
                <w:b/>
                <w:sz w:val="24"/>
                <w:lang w:val="en-US"/>
              </w:rPr>
              <w:t xml:space="preserve"> DSS children needed more help with school work than they were getting, or were not receiving help but needed it.</w:t>
            </w:r>
          </w:p>
          <w:p w14:paraId="4A3C4274" w14:textId="016EDEB7" w:rsidR="00C54268" w:rsidRPr="00150CD2" w:rsidRDefault="00C54268" w:rsidP="00C54268">
            <w:pPr>
              <w:pStyle w:val="EYTableText"/>
              <w:rPr>
                <w:rFonts w:cs="Arial"/>
                <w:sz w:val="24"/>
                <w:lang w:val="en-US"/>
              </w:rPr>
            </w:pPr>
            <w:r w:rsidRPr="00150CD2">
              <w:rPr>
                <w:rFonts w:cs="Arial"/>
                <w:sz w:val="24"/>
                <w:lang w:val="en-US"/>
              </w:rPr>
              <w:t>Responses around unmet need were similar to those from parents and carers of non-DSS children with impairments, although a larger proportion of DSS children receive some support at school.</w:t>
            </w:r>
          </w:p>
          <w:p w14:paraId="623710AB" w14:textId="77777777" w:rsidR="00C54268" w:rsidRPr="00150CD2" w:rsidRDefault="00C54268" w:rsidP="007D52C6">
            <w:pPr>
              <w:pStyle w:val="EYTableText"/>
              <w:rPr>
                <w:rFonts w:cs="Arial"/>
                <w:sz w:val="24"/>
                <w:lang w:val="en-US"/>
              </w:rPr>
            </w:pPr>
          </w:p>
          <w:p w14:paraId="35D4A278" w14:textId="0779AEE4" w:rsidR="00AF5B80" w:rsidRPr="00150CD2" w:rsidRDefault="00AF5B80" w:rsidP="007D52C6">
            <w:pPr>
              <w:pStyle w:val="EYTableText"/>
              <w:rPr>
                <w:rFonts w:cs="Arial"/>
                <w:sz w:val="24"/>
                <w:lang w:val="en-US"/>
              </w:rPr>
            </w:pPr>
            <w:r w:rsidRPr="00150CD2">
              <w:rPr>
                <w:rFonts w:cs="Arial"/>
                <w:sz w:val="24"/>
                <w:lang w:val="en-US"/>
              </w:rPr>
              <w:t>Outside school, DSS children were involved in a range of activities; for example:</w:t>
            </w:r>
          </w:p>
          <w:p w14:paraId="130AC13B" w14:textId="74F3E53B" w:rsidR="00AF5B80" w:rsidRPr="00150CD2" w:rsidRDefault="00037510" w:rsidP="00037510">
            <w:pPr>
              <w:pStyle w:val="EYTablebullet1"/>
              <w:ind w:left="288" w:hanging="288"/>
              <w:contextualSpacing/>
              <w:rPr>
                <w:rFonts w:cs="Arial"/>
                <w:sz w:val="24"/>
                <w:lang w:val="en-US" w:eastAsia="en-US"/>
              </w:rPr>
            </w:pPr>
            <w:r w:rsidRPr="00150CD2">
              <w:rPr>
                <w:rFonts w:cs="Arial"/>
                <w:sz w:val="24"/>
                <w:lang w:val="en-US" w:eastAsia="en-US"/>
              </w:rPr>
              <w:t>Physical activities outside school (</w:t>
            </w:r>
            <w:r w:rsidR="00D106A4" w:rsidRPr="00150CD2">
              <w:rPr>
                <w:rFonts w:cs="Arial"/>
                <w:sz w:val="24"/>
                <w:lang w:val="en-US" w:eastAsia="en-US"/>
              </w:rPr>
              <w:t>47</w:t>
            </w:r>
            <w:r w:rsidRPr="00150CD2">
              <w:rPr>
                <w:rFonts w:cs="Arial"/>
                <w:sz w:val="24"/>
                <w:lang w:val="en-US" w:eastAsia="en-US"/>
              </w:rPr>
              <w:t>%)</w:t>
            </w:r>
          </w:p>
          <w:p w14:paraId="51457C36" w14:textId="4BDA1004" w:rsidR="00037510" w:rsidRPr="00150CD2" w:rsidRDefault="00037510" w:rsidP="00037510">
            <w:pPr>
              <w:pStyle w:val="EYTablebullet1"/>
              <w:ind w:left="288" w:hanging="288"/>
              <w:contextualSpacing/>
              <w:rPr>
                <w:rFonts w:cs="Arial"/>
                <w:sz w:val="24"/>
                <w:lang w:val="en-US" w:eastAsia="en-US"/>
              </w:rPr>
            </w:pPr>
            <w:r w:rsidRPr="00150CD2">
              <w:rPr>
                <w:rFonts w:cs="Arial"/>
                <w:sz w:val="24"/>
                <w:lang w:val="en-US" w:eastAsia="en-US"/>
              </w:rPr>
              <w:t xml:space="preserve">Music, art or other similar </w:t>
            </w:r>
            <w:r w:rsidR="008A5CE9" w:rsidRPr="00150CD2">
              <w:rPr>
                <w:rFonts w:cs="Arial"/>
                <w:sz w:val="24"/>
                <w:lang w:val="en-US" w:eastAsia="en-US"/>
              </w:rPr>
              <w:t>lessons</w:t>
            </w:r>
            <w:r w:rsidRPr="00150CD2">
              <w:rPr>
                <w:rFonts w:cs="Arial"/>
                <w:sz w:val="24"/>
                <w:lang w:val="en-US" w:eastAsia="en-US"/>
              </w:rPr>
              <w:t xml:space="preserve"> (31%)</w:t>
            </w:r>
          </w:p>
          <w:p w14:paraId="3091B16F" w14:textId="03629751" w:rsidR="00037510" w:rsidRPr="00150CD2" w:rsidRDefault="00037510" w:rsidP="00037510">
            <w:pPr>
              <w:pStyle w:val="EYTablebullet1"/>
              <w:ind w:left="288" w:hanging="288"/>
              <w:contextualSpacing/>
              <w:rPr>
                <w:rFonts w:cs="Arial"/>
                <w:sz w:val="24"/>
                <w:lang w:val="en-US"/>
              </w:rPr>
            </w:pPr>
            <w:r w:rsidRPr="00150CD2">
              <w:rPr>
                <w:rFonts w:cs="Arial"/>
                <w:sz w:val="24"/>
                <w:lang w:val="en-US" w:eastAsia="en-US"/>
              </w:rPr>
              <w:t>Outing with family or friends, e.g. to shops or movies (90%)</w:t>
            </w:r>
          </w:p>
        </w:tc>
      </w:tr>
      <w:tr w:rsidR="00AF5B80" w:rsidRPr="00150CD2" w14:paraId="1627FB60" w14:textId="77777777" w:rsidTr="00FC0C31">
        <w:trPr>
          <w:cantSplit/>
        </w:trPr>
        <w:tc>
          <w:tcPr>
            <w:tcW w:w="1584" w:type="dxa"/>
            <w:tcBorders>
              <w:top w:val="nil"/>
              <w:bottom w:val="single" w:sz="4" w:space="0" w:color="auto"/>
            </w:tcBorders>
          </w:tcPr>
          <w:p w14:paraId="6C536761" w14:textId="77777777" w:rsidR="00AF5B80" w:rsidRPr="00150CD2" w:rsidRDefault="00AF5B80" w:rsidP="007D52C6">
            <w:pPr>
              <w:pStyle w:val="EYTableText"/>
              <w:rPr>
                <w:rFonts w:cs="Arial"/>
                <w:sz w:val="24"/>
                <w:lang w:val="en-US"/>
              </w:rPr>
            </w:pPr>
          </w:p>
        </w:tc>
        <w:tc>
          <w:tcPr>
            <w:tcW w:w="1728" w:type="dxa"/>
          </w:tcPr>
          <w:p w14:paraId="56B1D9B1" w14:textId="684F540B" w:rsidR="00AF5B80" w:rsidRPr="00150CD2" w:rsidRDefault="00AF5B80" w:rsidP="003E776F">
            <w:pPr>
              <w:pStyle w:val="EYTableText"/>
              <w:rPr>
                <w:rFonts w:cs="Arial"/>
                <w:b/>
                <w:sz w:val="24"/>
                <w:lang w:val="en-US"/>
              </w:rPr>
            </w:pPr>
            <w:r w:rsidRPr="00150CD2">
              <w:rPr>
                <w:rFonts w:cs="Arial"/>
                <w:b/>
                <w:sz w:val="24"/>
                <w:lang w:val="en-US"/>
              </w:rPr>
              <w:t>Have positive relationships</w:t>
            </w:r>
          </w:p>
        </w:tc>
        <w:tc>
          <w:tcPr>
            <w:tcW w:w="5760" w:type="dxa"/>
            <w:shd w:val="clear" w:color="auto" w:fill="auto"/>
          </w:tcPr>
          <w:p w14:paraId="7FF9330A" w14:textId="66535631" w:rsidR="00AF5B80" w:rsidRPr="00150CD2" w:rsidRDefault="00AF5B80" w:rsidP="007D52C6">
            <w:pPr>
              <w:pStyle w:val="EYTableText"/>
              <w:rPr>
                <w:rFonts w:cs="Arial"/>
                <w:sz w:val="24"/>
                <w:lang w:val="en-US"/>
              </w:rPr>
            </w:pPr>
            <w:r w:rsidRPr="00150CD2">
              <w:rPr>
                <w:rFonts w:cs="Arial"/>
                <w:b/>
                <w:sz w:val="24"/>
                <w:lang w:val="en-US"/>
              </w:rPr>
              <w:t xml:space="preserve">Just over half (58%) of DSS children aged 5-14 had visited friends in the 4 </w:t>
            </w:r>
            <w:r w:rsidR="008A5CE9" w:rsidRPr="00150CD2">
              <w:rPr>
                <w:rFonts w:cs="Arial"/>
                <w:b/>
                <w:sz w:val="24"/>
                <w:lang w:val="en-US"/>
              </w:rPr>
              <w:t>weeks</w:t>
            </w:r>
            <w:r w:rsidRPr="00150CD2">
              <w:rPr>
                <w:rFonts w:cs="Arial"/>
                <w:b/>
                <w:sz w:val="24"/>
                <w:lang w:val="en-US"/>
              </w:rPr>
              <w:t xml:space="preserve"> prior to the </w:t>
            </w:r>
            <w:r w:rsidR="00646DD5" w:rsidRPr="00150CD2">
              <w:rPr>
                <w:rFonts w:cs="Arial"/>
                <w:b/>
                <w:sz w:val="24"/>
                <w:lang w:val="en-US"/>
              </w:rPr>
              <w:t>Disability Survey</w:t>
            </w:r>
            <w:r w:rsidRPr="00150CD2">
              <w:rPr>
                <w:rFonts w:cs="Arial"/>
                <w:b/>
                <w:sz w:val="24"/>
                <w:lang w:val="en-US"/>
              </w:rPr>
              <w:t>.</w:t>
            </w:r>
            <w:r w:rsidRPr="00150CD2">
              <w:rPr>
                <w:rFonts w:cs="Arial"/>
                <w:sz w:val="24"/>
                <w:lang w:val="en-US"/>
              </w:rPr>
              <w:t xml:space="preserve"> This was </w:t>
            </w:r>
            <w:r w:rsidR="00646DD5" w:rsidRPr="00150CD2">
              <w:rPr>
                <w:rFonts w:cs="Arial"/>
                <w:sz w:val="24"/>
                <w:lang w:val="en-US"/>
              </w:rPr>
              <w:t xml:space="preserve">significantly </w:t>
            </w:r>
            <w:r w:rsidRPr="00150CD2">
              <w:rPr>
                <w:rFonts w:cs="Arial"/>
                <w:sz w:val="24"/>
                <w:lang w:val="en-US"/>
              </w:rPr>
              <w:t xml:space="preserve">lower than for non-DSS children </w:t>
            </w:r>
            <w:r w:rsidR="00AF5F18" w:rsidRPr="00150CD2">
              <w:rPr>
                <w:rFonts w:cs="Arial"/>
                <w:sz w:val="24"/>
                <w:lang w:val="en-US"/>
              </w:rPr>
              <w:t>with impairments</w:t>
            </w:r>
            <w:r w:rsidR="00646DD5" w:rsidRPr="00150CD2">
              <w:rPr>
                <w:rFonts w:cs="Arial"/>
                <w:sz w:val="24"/>
                <w:lang w:val="en-US"/>
              </w:rPr>
              <w:t xml:space="preserve"> (79%) and non-DSS children without impairments</w:t>
            </w:r>
            <w:r w:rsidR="00AF5F18" w:rsidRPr="00150CD2">
              <w:rPr>
                <w:rFonts w:cs="Arial"/>
                <w:sz w:val="24"/>
                <w:lang w:val="en-US"/>
              </w:rPr>
              <w:t xml:space="preserve"> </w:t>
            </w:r>
            <w:r w:rsidRPr="00150CD2">
              <w:rPr>
                <w:rFonts w:cs="Arial"/>
                <w:sz w:val="24"/>
                <w:lang w:val="en-US"/>
              </w:rPr>
              <w:t>(</w:t>
            </w:r>
            <w:r w:rsidR="00646DD5" w:rsidRPr="00150CD2">
              <w:rPr>
                <w:rFonts w:cs="Arial"/>
                <w:sz w:val="24"/>
                <w:lang w:val="en-US"/>
              </w:rPr>
              <w:t>92</w:t>
            </w:r>
            <w:r w:rsidRPr="00150CD2">
              <w:rPr>
                <w:rFonts w:cs="Arial"/>
                <w:sz w:val="24"/>
                <w:lang w:val="en-US"/>
              </w:rPr>
              <w:t>%).</w:t>
            </w:r>
          </w:p>
        </w:tc>
      </w:tr>
      <w:tr w:rsidR="00AF5B80" w:rsidRPr="00150CD2" w14:paraId="5F249334" w14:textId="77777777" w:rsidTr="00FC0C31">
        <w:trPr>
          <w:cantSplit/>
        </w:trPr>
        <w:tc>
          <w:tcPr>
            <w:tcW w:w="1584" w:type="dxa"/>
            <w:tcBorders>
              <w:bottom w:val="nil"/>
            </w:tcBorders>
          </w:tcPr>
          <w:p w14:paraId="4A8129AB" w14:textId="3ECF50B9" w:rsidR="00AF5B80" w:rsidRPr="00150CD2" w:rsidRDefault="00AF5B80" w:rsidP="00CA43CF">
            <w:pPr>
              <w:pStyle w:val="EYTableText"/>
              <w:rPr>
                <w:rFonts w:cs="Arial"/>
                <w:sz w:val="24"/>
                <w:lang w:val="en-US"/>
              </w:rPr>
            </w:pPr>
            <w:r w:rsidRPr="00150CD2">
              <w:rPr>
                <w:rFonts w:cs="Arial"/>
                <w:sz w:val="24"/>
                <w:lang w:val="en-US"/>
              </w:rPr>
              <w:t>Parent, caregiver or household respondent</w:t>
            </w:r>
          </w:p>
        </w:tc>
        <w:tc>
          <w:tcPr>
            <w:tcW w:w="1728" w:type="dxa"/>
          </w:tcPr>
          <w:p w14:paraId="4B6DD848" w14:textId="77777777" w:rsidR="00AF5B80" w:rsidRPr="00150CD2" w:rsidRDefault="00AF5B80" w:rsidP="00CA43CF">
            <w:pPr>
              <w:pStyle w:val="EYTableText"/>
              <w:rPr>
                <w:rFonts w:cs="Arial"/>
                <w:b/>
                <w:sz w:val="24"/>
                <w:lang w:val="en-US"/>
              </w:rPr>
            </w:pPr>
            <w:r w:rsidRPr="00150CD2">
              <w:rPr>
                <w:rFonts w:cs="Arial"/>
                <w:b/>
                <w:sz w:val="24"/>
                <w:lang w:val="en-US"/>
              </w:rPr>
              <w:t>Happy and well:</w:t>
            </w:r>
          </w:p>
          <w:p w14:paraId="6C9E0F3B" w14:textId="77777777" w:rsidR="00AF5B80" w:rsidRPr="00150CD2" w:rsidRDefault="00AF5B80" w:rsidP="00CA43CF">
            <w:pPr>
              <w:pStyle w:val="EYTableText"/>
              <w:rPr>
                <w:rFonts w:cs="Arial"/>
                <w:b/>
                <w:sz w:val="24"/>
                <w:lang w:val="en-US"/>
              </w:rPr>
            </w:pPr>
            <w:r w:rsidRPr="00150CD2">
              <w:rPr>
                <w:rFonts w:cs="Arial"/>
                <w:b/>
                <w:sz w:val="24"/>
                <w:lang w:val="en-US"/>
              </w:rPr>
              <w:t>Life satisfaction</w:t>
            </w:r>
          </w:p>
          <w:p w14:paraId="7A7F6981" w14:textId="77777777" w:rsidR="00AF5B80" w:rsidRPr="00150CD2" w:rsidRDefault="00AF5B80" w:rsidP="00CA43CF">
            <w:pPr>
              <w:pStyle w:val="EYTableText"/>
              <w:rPr>
                <w:rFonts w:cs="Arial"/>
                <w:b/>
                <w:sz w:val="24"/>
                <w:lang w:val="en-US"/>
              </w:rPr>
            </w:pPr>
            <w:r w:rsidRPr="00150CD2">
              <w:rPr>
                <w:rFonts w:cs="Arial"/>
                <w:b/>
                <w:sz w:val="24"/>
                <w:lang w:val="en-US"/>
              </w:rPr>
              <w:t>Life worthwhile</w:t>
            </w:r>
          </w:p>
          <w:p w14:paraId="123F647A" w14:textId="57436535" w:rsidR="00AF5B80" w:rsidRPr="00150CD2" w:rsidRDefault="00AF5B80" w:rsidP="00CA43CF">
            <w:pPr>
              <w:pStyle w:val="EYTableText"/>
              <w:rPr>
                <w:rFonts w:cs="Arial"/>
                <w:b/>
                <w:sz w:val="24"/>
                <w:lang w:val="en-US"/>
              </w:rPr>
            </w:pPr>
            <w:r w:rsidRPr="00150CD2">
              <w:rPr>
                <w:rFonts w:cs="Arial"/>
                <w:b/>
                <w:sz w:val="24"/>
                <w:lang w:val="en-US"/>
              </w:rPr>
              <w:t>Self-rated health</w:t>
            </w:r>
          </w:p>
          <w:p w14:paraId="58286ADF" w14:textId="1EA7B07F" w:rsidR="00AF5B80" w:rsidRPr="00150CD2" w:rsidRDefault="00AF5B80" w:rsidP="00CA43CF">
            <w:pPr>
              <w:pStyle w:val="EYTableText"/>
              <w:rPr>
                <w:rFonts w:cs="Arial"/>
                <w:b/>
                <w:sz w:val="24"/>
                <w:lang w:val="en-US"/>
              </w:rPr>
            </w:pPr>
            <w:r w:rsidRPr="00150CD2">
              <w:rPr>
                <w:rFonts w:cs="Arial"/>
                <w:b/>
                <w:sz w:val="24"/>
                <w:lang w:val="en-US"/>
              </w:rPr>
              <w:t>Family wellbeing</w:t>
            </w:r>
          </w:p>
        </w:tc>
        <w:tc>
          <w:tcPr>
            <w:tcW w:w="5760" w:type="dxa"/>
          </w:tcPr>
          <w:p w14:paraId="76495EAA" w14:textId="77777777" w:rsidR="00646DD5" w:rsidRPr="00150CD2" w:rsidRDefault="008A5CE9" w:rsidP="00CA43CF">
            <w:pPr>
              <w:pStyle w:val="EYTableText"/>
              <w:rPr>
                <w:rFonts w:cs="Arial"/>
                <w:b/>
                <w:sz w:val="24"/>
                <w:lang w:val="en-US"/>
              </w:rPr>
            </w:pPr>
            <w:r w:rsidRPr="00150CD2">
              <w:rPr>
                <w:rFonts w:cs="Arial"/>
                <w:b/>
                <w:sz w:val="24"/>
                <w:lang w:val="en-US"/>
              </w:rPr>
              <w:t>Most</w:t>
            </w:r>
            <w:r w:rsidR="00AF5B80" w:rsidRPr="00150CD2">
              <w:rPr>
                <w:rFonts w:cs="Arial"/>
                <w:b/>
                <w:sz w:val="24"/>
                <w:lang w:val="en-US"/>
              </w:rPr>
              <w:t xml:space="preserve"> parents/caregivers and household respondents for DSS children described feeling that their life was worthwhile and having moderate to high levels of life satisfaction, with responses comparable to that of parents/household respondents for non-DSS children. </w:t>
            </w:r>
          </w:p>
          <w:p w14:paraId="017B4B6C" w14:textId="119760D4" w:rsidR="00AF5B80" w:rsidRPr="00150CD2" w:rsidRDefault="00646DD5" w:rsidP="00CA43CF">
            <w:pPr>
              <w:pStyle w:val="EYTableText"/>
              <w:rPr>
                <w:rFonts w:cs="Arial"/>
                <w:b/>
                <w:sz w:val="24"/>
                <w:lang w:val="en-US"/>
              </w:rPr>
            </w:pPr>
            <w:r w:rsidRPr="00150CD2">
              <w:rPr>
                <w:rFonts w:cs="Arial"/>
                <w:b/>
                <w:sz w:val="24"/>
                <w:lang w:val="en-US"/>
              </w:rPr>
              <w:t>Disability Survey respondents for DSS children were</w:t>
            </w:r>
            <w:r w:rsidR="00AF5B80" w:rsidRPr="00150CD2">
              <w:rPr>
                <w:rFonts w:cs="Arial"/>
                <w:b/>
                <w:sz w:val="24"/>
                <w:lang w:val="en-US"/>
              </w:rPr>
              <w:t xml:space="preserve"> more likely to report </w:t>
            </w:r>
            <w:r w:rsidRPr="00150CD2">
              <w:rPr>
                <w:rFonts w:cs="Arial"/>
                <w:b/>
                <w:sz w:val="24"/>
                <w:lang w:val="en-US"/>
              </w:rPr>
              <w:t xml:space="preserve">often feeling stressed when compared to respondents for non-DSS children with impairments. </w:t>
            </w:r>
          </w:p>
          <w:p w14:paraId="303F5EF8" w14:textId="494AD7A6" w:rsidR="005069BF" w:rsidRPr="00150CD2" w:rsidRDefault="005069BF" w:rsidP="00CA43CF">
            <w:pPr>
              <w:pStyle w:val="EYTableText"/>
              <w:rPr>
                <w:rFonts w:cs="Arial"/>
                <w:b/>
                <w:sz w:val="24"/>
                <w:lang w:val="en-US"/>
              </w:rPr>
            </w:pPr>
          </w:p>
          <w:p w14:paraId="7DCD2E31" w14:textId="77777777" w:rsidR="007C1819" w:rsidRPr="00150CD2" w:rsidRDefault="007C1819" w:rsidP="007C1819">
            <w:pPr>
              <w:pStyle w:val="EYTableText"/>
              <w:rPr>
                <w:rFonts w:cs="Arial"/>
                <w:b/>
                <w:sz w:val="24"/>
                <w:lang w:val="en-US"/>
              </w:rPr>
            </w:pPr>
            <w:r w:rsidRPr="00150CD2">
              <w:rPr>
                <w:rFonts w:cs="Arial"/>
                <w:b/>
                <w:sz w:val="24"/>
                <w:lang w:val="en-US"/>
              </w:rPr>
              <w:t>Disability Survey:</w:t>
            </w:r>
          </w:p>
          <w:p w14:paraId="0B044CAD" w14:textId="77777777" w:rsidR="007C1819" w:rsidRPr="00150CD2" w:rsidRDefault="007C1819" w:rsidP="007C1819">
            <w:pPr>
              <w:pStyle w:val="EYTablebullet1"/>
              <w:rPr>
                <w:rFonts w:cs="Arial"/>
                <w:sz w:val="24"/>
                <w:lang w:val="en-US"/>
              </w:rPr>
            </w:pPr>
            <w:r w:rsidRPr="00150CD2">
              <w:rPr>
                <w:rFonts w:cs="Arial"/>
                <w:sz w:val="24"/>
                <w:lang w:val="en-US"/>
              </w:rPr>
              <w:t xml:space="preserve">83% of carers for DSS children described their own health as being “good” to “excellent”, while 17% described it as being “fair” or “poor”. </w:t>
            </w:r>
          </w:p>
          <w:p w14:paraId="573FE780" w14:textId="4FFBD417" w:rsidR="007C1819" w:rsidRPr="00150CD2" w:rsidRDefault="007C1819" w:rsidP="006C2439">
            <w:pPr>
              <w:pStyle w:val="EYTablebullet1"/>
              <w:rPr>
                <w:rFonts w:cs="Arial"/>
                <w:sz w:val="24"/>
                <w:lang w:val="en-US"/>
              </w:rPr>
            </w:pPr>
            <w:r w:rsidRPr="00150CD2">
              <w:rPr>
                <w:rFonts w:cs="Arial"/>
                <w:sz w:val="24"/>
                <w:lang w:val="en-US"/>
              </w:rPr>
              <w:t>Over half (57%) said they felt stressed “often” over the prior four weeks prior to the survey. (This compares to 41% of parents and carers for non-DSS children with impairments.)</w:t>
            </w:r>
          </w:p>
          <w:p w14:paraId="404D8F23" w14:textId="77777777" w:rsidR="007C1819" w:rsidRPr="00150CD2" w:rsidRDefault="007C1819" w:rsidP="00CA43CF">
            <w:pPr>
              <w:pStyle w:val="EYTableText"/>
              <w:rPr>
                <w:rFonts w:cs="Arial"/>
                <w:b/>
                <w:sz w:val="24"/>
                <w:lang w:val="en-US"/>
              </w:rPr>
            </w:pPr>
          </w:p>
          <w:p w14:paraId="477E2F14" w14:textId="776A61A1" w:rsidR="00AF5B80" w:rsidRPr="00150CD2" w:rsidRDefault="00AF5B80" w:rsidP="00BA04A5">
            <w:pPr>
              <w:pStyle w:val="EYTableText"/>
              <w:rPr>
                <w:rFonts w:cs="Arial"/>
                <w:b/>
                <w:sz w:val="24"/>
                <w:lang w:val="en-US"/>
              </w:rPr>
            </w:pPr>
            <w:r w:rsidRPr="00150CD2">
              <w:rPr>
                <w:rFonts w:cs="Arial"/>
                <w:b/>
                <w:sz w:val="24"/>
                <w:lang w:val="en-US"/>
              </w:rPr>
              <w:t>G</w:t>
            </w:r>
            <w:r w:rsidR="00646DD5" w:rsidRPr="00150CD2">
              <w:rPr>
                <w:rFonts w:cs="Arial"/>
                <w:b/>
                <w:sz w:val="24"/>
                <w:lang w:val="en-US"/>
              </w:rPr>
              <w:t>eneral Social Survey</w:t>
            </w:r>
            <w:r w:rsidRPr="00150CD2">
              <w:rPr>
                <w:rFonts w:cs="Arial"/>
                <w:b/>
                <w:sz w:val="24"/>
                <w:lang w:val="en-US"/>
              </w:rPr>
              <w:t>:</w:t>
            </w:r>
          </w:p>
          <w:p w14:paraId="67EA91D8" w14:textId="47305BAB" w:rsidR="00AF5B80" w:rsidRPr="00150CD2" w:rsidRDefault="00002AFE" w:rsidP="00A64F72">
            <w:pPr>
              <w:pStyle w:val="EYTablebullet1"/>
              <w:rPr>
                <w:rFonts w:cs="Arial"/>
                <w:sz w:val="24"/>
                <w:lang w:val="en-US"/>
              </w:rPr>
            </w:pPr>
            <w:r w:rsidRPr="00150CD2">
              <w:rPr>
                <w:rFonts w:cs="Arial"/>
                <w:sz w:val="24"/>
                <w:lang w:val="en-US"/>
              </w:rPr>
              <w:t>87</w:t>
            </w:r>
            <w:r w:rsidR="00AF5B80" w:rsidRPr="00150CD2">
              <w:rPr>
                <w:rFonts w:cs="Arial"/>
                <w:sz w:val="24"/>
                <w:lang w:val="en-US"/>
              </w:rPr>
              <w:t>% rated their life satisfaction as being at 6 or higher (on a scale of 1-10)</w:t>
            </w:r>
          </w:p>
          <w:p w14:paraId="3AFB0506" w14:textId="25398477" w:rsidR="00AF5B80" w:rsidRPr="00150CD2" w:rsidRDefault="00002AFE" w:rsidP="00A64F72">
            <w:pPr>
              <w:pStyle w:val="EYTablebullet1"/>
              <w:rPr>
                <w:rFonts w:cs="Arial"/>
                <w:sz w:val="24"/>
                <w:lang w:val="en-US"/>
              </w:rPr>
            </w:pPr>
            <w:r w:rsidRPr="00150CD2">
              <w:rPr>
                <w:rFonts w:cs="Arial"/>
                <w:sz w:val="24"/>
                <w:lang w:val="en-US"/>
              </w:rPr>
              <w:t>89</w:t>
            </w:r>
            <w:r w:rsidR="00AF5B80" w:rsidRPr="00150CD2">
              <w:rPr>
                <w:rFonts w:cs="Arial"/>
                <w:sz w:val="24"/>
                <w:lang w:val="en-US"/>
              </w:rPr>
              <w:t>% rated their sense of life being worthwhile as being at 7 or higher (on a scale of 1-10)</w:t>
            </w:r>
          </w:p>
          <w:p w14:paraId="724F16A4" w14:textId="31DE344F" w:rsidR="00AF5B80" w:rsidRPr="00150CD2" w:rsidRDefault="007C1819" w:rsidP="007C1819">
            <w:pPr>
              <w:pStyle w:val="EYTablebullet1"/>
              <w:rPr>
                <w:rFonts w:cs="Arial"/>
                <w:sz w:val="24"/>
                <w:lang w:val="en-US"/>
              </w:rPr>
            </w:pPr>
            <w:r w:rsidRPr="00150CD2">
              <w:rPr>
                <w:rFonts w:cs="Arial"/>
                <w:sz w:val="24"/>
                <w:lang w:val="en-US"/>
              </w:rPr>
              <w:t>81</w:t>
            </w:r>
            <w:r w:rsidR="00AF5B80" w:rsidRPr="00150CD2">
              <w:rPr>
                <w:rFonts w:cs="Arial"/>
                <w:sz w:val="24"/>
                <w:lang w:val="en-US"/>
              </w:rPr>
              <w:t xml:space="preserve">% described their own health as being “good” to “excellent”, with </w:t>
            </w:r>
            <w:r w:rsidR="00FB7694" w:rsidRPr="00150CD2">
              <w:rPr>
                <w:rFonts w:cs="Arial"/>
                <w:sz w:val="24"/>
                <w:lang w:val="en-US"/>
              </w:rPr>
              <w:t>19</w:t>
            </w:r>
            <w:r w:rsidR="00AF5B80" w:rsidRPr="00150CD2">
              <w:rPr>
                <w:rFonts w:cs="Arial"/>
                <w:sz w:val="24"/>
                <w:lang w:val="en-US"/>
              </w:rPr>
              <w:t>% described it as “fair” or “poor”</w:t>
            </w:r>
          </w:p>
        </w:tc>
      </w:tr>
      <w:tr w:rsidR="00AF5B80" w:rsidRPr="00150CD2" w14:paraId="5F7AC2EF" w14:textId="77777777" w:rsidTr="00FC0C31">
        <w:trPr>
          <w:cantSplit/>
        </w:trPr>
        <w:tc>
          <w:tcPr>
            <w:tcW w:w="1584" w:type="dxa"/>
            <w:tcBorders>
              <w:top w:val="nil"/>
              <w:bottom w:val="nil"/>
            </w:tcBorders>
          </w:tcPr>
          <w:p w14:paraId="752B1780" w14:textId="77777777" w:rsidR="00AF5B80" w:rsidRPr="00150CD2" w:rsidRDefault="00AF5B80" w:rsidP="00CA43CF">
            <w:pPr>
              <w:pStyle w:val="EYTableText"/>
              <w:rPr>
                <w:rFonts w:cs="Arial"/>
                <w:sz w:val="24"/>
                <w:lang w:val="en-US"/>
              </w:rPr>
            </w:pPr>
          </w:p>
        </w:tc>
        <w:tc>
          <w:tcPr>
            <w:tcW w:w="1728" w:type="dxa"/>
          </w:tcPr>
          <w:p w14:paraId="11317121" w14:textId="541D7756" w:rsidR="00AF5B80" w:rsidRPr="00150CD2" w:rsidRDefault="00AF5B80" w:rsidP="00CA43CF">
            <w:pPr>
              <w:pStyle w:val="EYTableText"/>
              <w:rPr>
                <w:rFonts w:cs="Arial"/>
                <w:b/>
                <w:sz w:val="24"/>
                <w:lang w:val="en-US"/>
              </w:rPr>
            </w:pPr>
            <w:r w:rsidRPr="00150CD2">
              <w:rPr>
                <w:rFonts w:cs="Arial"/>
                <w:b/>
                <w:sz w:val="24"/>
                <w:lang w:val="en-US"/>
              </w:rPr>
              <w:t>Employment</w:t>
            </w:r>
          </w:p>
        </w:tc>
        <w:tc>
          <w:tcPr>
            <w:tcW w:w="5760" w:type="dxa"/>
          </w:tcPr>
          <w:p w14:paraId="30CDBA8F" w14:textId="46759F65" w:rsidR="00AF5B80" w:rsidRPr="00150CD2" w:rsidRDefault="00AF5B80" w:rsidP="00AF1661">
            <w:pPr>
              <w:pStyle w:val="EYTableText"/>
              <w:rPr>
                <w:rFonts w:cs="Arial"/>
                <w:sz w:val="24"/>
                <w:lang w:val="en-US"/>
              </w:rPr>
            </w:pPr>
            <w:r w:rsidRPr="00150CD2">
              <w:rPr>
                <w:rFonts w:cs="Arial"/>
                <w:b/>
                <w:sz w:val="24"/>
                <w:lang w:val="en-US"/>
              </w:rPr>
              <w:t xml:space="preserve">Around half (51%) of </w:t>
            </w:r>
            <w:r w:rsidR="006050EA" w:rsidRPr="00150CD2">
              <w:rPr>
                <w:rFonts w:cs="Arial"/>
                <w:b/>
                <w:sz w:val="24"/>
                <w:lang w:val="en-US"/>
              </w:rPr>
              <w:t xml:space="preserve">Disability Survey </w:t>
            </w:r>
            <w:r w:rsidRPr="00150CD2">
              <w:rPr>
                <w:rFonts w:cs="Arial"/>
                <w:b/>
                <w:sz w:val="24"/>
                <w:lang w:val="en-US"/>
              </w:rPr>
              <w:t>respondents for DSS children had paid jobs.</w:t>
            </w:r>
            <w:r w:rsidRPr="00150CD2">
              <w:rPr>
                <w:rFonts w:cs="Arial"/>
                <w:sz w:val="24"/>
                <w:lang w:val="en-US"/>
              </w:rPr>
              <w:t xml:space="preserve"> This was higher for those with older DSS children (44% for those with DSS children </w:t>
            </w:r>
            <w:r w:rsidR="006050EA" w:rsidRPr="00150CD2">
              <w:rPr>
                <w:rFonts w:cs="Arial"/>
                <w:sz w:val="24"/>
                <w:lang w:val="en-US"/>
              </w:rPr>
              <w:t>aged 0-8</w:t>
            </w:r>
            <w:r w:rsidRPr="00150CD2">
              <w:rPr>
                <w:rFonts w:cs="Arial"/>
                <w:sz w:val="24"/>
                <w:lang w:val="en-US"/>
              </w:rPr>
              <w:t>, 58% for those with a DSS child aged 9</w:t>
            </w:r>
            <w:r w:rsidR="006050EA" w:rsidRPr="00150CD2">
              <w:rPr>
                <w:rFonts w:cs="Arial"/>
                <w:sz w:val="24"/>
                <w:lang w:val="en-US"/>
              </w:rPr>
              <w:t>-14</w:t>
            </w:r>
            <w:r w:rsidRPr="00150CD2">
              <w:rPr>
                <w:rFonts w:cs="Arial"/>
                <w:sz w:val="24"/>
                <w:lang w:val="en-US"/>
              </w:rPr>
              <w:t xml:space="preserve">). </w:t>
            </w:r>
          </w:p>
        </w:tc>
      </w:tr>
      <w:tr w:rsidR="00AF5B80" w:rsidRPr="00150CD2" w14:paraId="27768367" w14:textId="77777777" w:rsidTr="00FC0C31">
        <w:trPr>
          <w:cantSplit/>
        </w:trPr>
        <w:tc>
          <w:tcPr>
            <w:tcW w:w="1584" w:type="dxa"/>
            <w:tcBorders>
              <w:top w:val="nil"/>
              <w:bottom w:val="single" w:sz="4" w:space="0" w:color="auto"/>
            </w:tcBorders>
          </w:tcPr>
          <w:p w14:paraId="33A0AC28" w14:textId="77777777" w:rsidR="00AF5B80" w:rsidRPr="00150CD2" w:rsidRDefault="00AF5B80" w:rsidP="00AF1661">
            <w:pPr>
              <w:pStyle w:val="EYTableText"/>
              <w:rPr>
                <w:rFonts w:cs="Arial"/>
                <w:sz w:val="24"/>
                <w:lang w:val="en-US"/>
              </w:rPr>
            </w:pPr>
          </w:p>
        </w:tc>
        <w:tc>
          <w:tcPr>
            <w:tcW w:w="1728" w:type="dxa"/>
          </w:tcPr>
          <w:p w14:paraId="3DCE0ECA" w14:textId="77777777" w:rsidR="00AF5B80" w:rsidRPr="00150CD2" w:rsidRDefault="00AF5B80" w:rsidP="00AF1661">
            <w:pPr>
              <w:pStyle w:val="EYTableText"/>
              <w:rPr>
                <w:rFonts w:cs="Arial"/>
                <w:b/>
                <w:sz w:val="24"/>
                <w:lang w:val="en-US"/>
              </w:rPr>
            </w:pPr>
            <w:r w:rsidRPr="00150CD2">
              <w:rPr>
                <w:rFonts w:cs="Arial"/>
                <w:b/>
                <w:sz w:val="24"/>
                <w:lang w:val="en-US"/>
              </w:rPr>
              <w:t>Belong, Contribute and are Valued</w:t>
            </w:r>
          </w:p>
          <w:p w14:paraId="35F95678" w14:textId="251A26C3" w:rsidR="00AF5B80" w:rsidRPr="00150CD2" w:rsidRDefault="00AF5B80" w:rsidP="00AF1661">
            <w:pPr>
              <w:pStyle w:val="EYTableText"/>
              <w:rPr>
                <w:rFonts w:cs="Arial"/>
                <w:b/>
                <w:sz w:val="24"/>
                <w:lang w:val="en-US"/>
              </w:rPr>
            </w:pPr>
            <w:r w:rsidRPr="00150CD2">
              <w:rPr>
                <w:rFonts w:cs="Arial"/>
                <w:b/>
                <w:sz w:val="24"/>
                <w:lang w:val="en-US"/>
              </w:rPr>
              <w:t>Have positive relationships</w:t>
            </w:r>
          </w:p>
        </w:tc>
        <w:tc>
          <w:tcPr>
            <w:tcW w:w="5760" w:type="dxa"/>
          </w:tcPr>
          <w:p w14:paraId="60BFDC34" w14:textId="14899B45" w:rsidR="00AF5B80" w:rsidRPr="00150CD2" w:rsidRDefault="006050EA" w:rsidP="00CA1922">
            <w:pPr>
              <w:pStyle w:val="EYTableText"/>
              <w:rPr>
                <w:rFonts w:cs="Arial"/>
                <w:sz w:val="24"/>
                <w:lang w:val="en-US"/>
              </w:rPr>
            </w:pPr>
            <w:r w:rsidRPr="00150CD2">
              <w:rPr>
                <w:rFonts w:cs="Arial"/>
                <w:sz w:val="24"/>
                <w:lang w:val="en-US"/>
              </w:rPr>
              <w:t>In the Disability Survey, 24</w:t>
            </w:r>
            <w:r w:rsidR="00AF5B80" w:rsidRPr="00150CD2">
              <w:rPr>
                <w:rFonts w:cs="Arial"/>
                <w:sz w:val="24"/>
                <w:lang w:val="en-US"/>
              </w:rPr>
              <w:t>% of parents</w:t>
            </w:r>
            <w:r w:rsidRPr="00150CD2">
              <w:rPr>
                <w:rFonts w:cs="Arial"/>
                <w:sz w:val="24"/>
                <w:lang w:val="en-US"/>
              </w:rPr>
              <w:t xml:space="preserve"> and</w:t>
            </w:r>
            <w:r w:rsidR="00AF5B80" w:rsidRPr="00150CD2">
              <w:rPr>
                <w:rFonts w:cs="Arial"/>
                <w:sz w:val="24"/>
                <w:lang w:val="en-US"/>
              </w:rPr>
              <w:t xml:space="preserve"> carers for DSS children said they had had about, or more than enough time for themselves over the 4 weeks prior to the survey. 7</w:t>
            </w:r>
            <w:r w:rsidRPr="00150CD2">
              <w:rPr>
                <w:rFonts w:cs="Arial"/>
                <w:sz w:val="24"/>
                <w:lang w:val="en-US"/>
              </w:rPr>
              <w:t>6</w:t>
            </w:r>
            <w:r w:rsidR="00AF5B80" w:rsidRPr="00150CD2">
              <w:rPr>
                <w:rFonts w:cs="Arial"/>
                <w:sz w:val="24"/>
                <w:lang w:val="en-US"/>
              </w:rPr>
              <w:t xml:space="preserve">% said they did not have enough time for themselves; this was higher than for parents and carers for non-DSS children </w:t>
            </w:r>
            <w:r w:rsidRPr="00150CD2">
              <w:rPr>
                <w:rFonts w:cs="Arial"/>
                <w:sz w:val="24"/>
                <w:lang w:val="en-US"/>
              </w:rPr>
              <w:t xml:space="preserve">with impairments </w:t>
            </w:r>
            <w:r w:rsidR="00AF5B80" w:rsidRPr="00150CD2">
              <w:rPr>
                <w:rFonts w:cs="Arial"/>
                <w:sz w:val="24"/>
                <w:lang w:val="en-US"/>
              </w:rPr>
              <w:t>(57%).</w:t>
            </w:r>
          </w:p>
          <w:p w14:paraId="429F2931" w14:textId="77777777" w:rsidR="00AF5B80" w:rsidRPr="00150CD2" w:rsidRDefault="00AF5B80" w:rsidP="00CA1922">
            <w:pPr>
              <w:pStyle w:val="EYTableText"/>
              <w:rPr>
                <w:rFonts w:cs="Arial"/>
                <w:sz w:val="24"/>
                <w:lang w:val="en-US"/>
              </w:rPr>
            </w:pPr>
          </w:p>
          <w:p w14:paraId="39770E90" w14:textId="3A47FD3D" w:rsidR="00AF5B80" w:rsidRPr="00150CD2" w:rsidRDefault="006050EA" w:rsidP="00CA1922">
            <w:pPr>
              <w:pStyle w:val="EYTableText"/>
              <w:rPr>
                <w:rFonts w:cs="Arial"/>
                <w:sz w:val="24"/>
                <w:lang w:val="en-US"/>
              </w:rPr>
            </w:pPr>
            <w:r w:rsidRPr="00150CD2">
              <w:rPr>
                <w:rFonts w:cs="Arial"/>
                <w:sz w:val="24"/>
                <w:lang w:val="en-US"/>
              </w:rPr>
              <w:t>In the General Social Survey, 75</w:t>
            </w:r>
            <w:r w:rsidR="00AF5B80" w:rsidRPr="00150CD2">
              <w:rPr>
                <w:rFonts w:cs="Arial"/>
                <w:sz w:val="24"/>
                <w:lang w:val="en-US"/>
              </w:rPr>
              <w:t xml:space="preserve">% of parents and other household respondents with DSS children said they rarely or never felt lonely over the prior 4 weeks. This compared to </w:t>
            </w:r>
            <w:r w:rsidRPr="00150CD2">
              <w:rPr>
                <w:rFonts w:cs="Arial"/>
                <w:sz w:val="24"/>
                <w:lang w:val="en-US"/>
              </w:rPr>
              <w:t>83</w:t>
            </w:r>
            <w:r w:rsidR="00AF5B80" w:rsidRPr="00150CD2">
              <w:rPr>
                <w:rFonts w:cs="Arial"/>
                <w:sz w:val="24"/>
                <w:lang w:val="en-US"/>
              </w:rPr>
              <w:t>% for parents and other household respondents for non-DSS children.</w:t>
            </w:r>
            <w:r w:rsidR="00062E1A" w:rsidRPr="00150CD2">
              <w:rPr>
                <w:rFonts w:cs="Arial"/>
                <w:sz w:val="24"/>
                <w:lang w:val="en-US"/>
              </w:rPr>
              <w:t xml:space="preserve"> (Note that this difference is not significant at the 95</w:t>
            </w:r>
            <w:r w:rsidR="00062E1A" w:rsidRPr="00150CD2">
              <w:rPr>
                <w:rFonts w:cs="Arial"/>
                <w:sz w:val="24"/>
                <w:vertAlign w:val="superscript"/>
                <w:lang w:val="en-US"/>
              </w:rPr>
              <w:t>th</w:t>
            </w:r>
            <w:r w:rsidR="00062E1A" w:rsidRPr="00150CD2">
              <w:rPr>
                <w:rFonts w:cs="Arial"/>
                <w:sz w:val="24"/>
                <w:lang w:val="en-US"/>
              </w:rPr>
              <w:t xml:space="preserve"> percentile level as the DSS sample is relatively small.)</w:t>
            </w:r>
          </w:p>
        </w:tc>
      </w:tr>
      <w:tr w:rsidR="00AF5B80" w:rsidRPr="00150CD2" w14:paraId="5F3AF577" w14:textId="77777777" w:rsidTr="00FC0C31">
        <w:trPr>
          <w:cantSplit/>
        </w:trPr>
        <w:tc>
          <w:tcPr>
            <w:tcW w:w="1584" w:type="dxa"/>
            <w:tcBorders>
              <w:bottom w:val="nil"/>
            </w:tcBorders>
          </w:tcPr>
          <w:p w14:paraId="7D7DE13B" w14:textId="16037D5D" w:rsidR="00AF5B80" w:rsidRPr="00150CD2" w:rsidRDefault="00AF5B80" w:rsidP="005E0676">
            <w:pPr>
              <w:pStyle w:val="EYTableText"/>
              <w:rPr>
                <w:rFonts w:cs="Arial"/>
                <w:sz w:val="24"/>
                <w:lang w:val="en-US"/>
              </w:rPr>
            </w:pPr>
            <w:r w:rsidRPr="00150CD2">
              <w:rPr>
                <w:rFonts w:cs="Arial"/>
                <w:sz w:val="24"/>
                <w:lang w:val="en-US"/>
              </w:rPr>
              <w:t>Household</w:t>
            </w:r>
          </w:p>
        </w:tc>
        <w:tc>
          <w:tcPr>
            <w:tcW w:w="1728" w:type="dxa"/>
          </w:tcPr>
          <w:p w14:paraId="4F322101" w14:textId="77777777" w:rsidR="00AF5B80" w:rsidRPr="00150CD2" w:rsidRDefault="00AF5B80" w:rsidP="005E0676">
            <w:pPr>
              <w:pStyle w:val="EYTableText"/>
              <w:rPr>
                <w:rFonts w:cs="Arial"/>
                <w:b/>
                <w:sz w:val="24"/>
                <w:lang w:val="en-US"/>
              </w:rPr>
            </w:pPr>
            <w:r w:rsidRPr="00150CD2">
              <w:rPr>
                <w:rFonts w:cs="Arial"/>
                <w:b/>
                <w:sz w:val="24"/>
                <w:lang w:val="en-US"/>
              </w:rPr>
              <w:t>Have what they need:</w:t>
            </w:r>
          </w:p>
          <w:p w14:paraId="5128F3E9" w14:textId="76CADBE8" w:rsidR="00AF5B80" w:rsidRPr="00150CD2" w:rsidRDefault="00AF5B80" w:rsidP="005E0676">
            <w:pPr>
              <w:pStyle w:val="EYTableText"/>
              <w:rPr>
                <w:rFonts w:cs="Arial"/>
                <w:b/>
                <w:sz w:val="24"/>
                <w:lang w:val="en-US"/>
              </w:rPr>
            </w:pPr>
            <w:r w:rsidRPr="00150CD2">
              <w:rPr>
                <w:rFonts w:cs="Arial"/>
                <w:b/>
                <w:sz w:val="24"/>
                <w:lang w:val="en-US"/>
              </w:rPr>
              <w:t>Adequacy of income to meet everyday needs</w:t>
            </w:r>
          </w:p>
          <w:p w14:paraId="61368041" w14:textId="2B22159A" w:rsidR="00AF5B80" w:rsidRPr="00150CD2" w:rsidRDefault="00AF5B80" w:rsidP="005E0676">
            <w:pPr>
              <w:pStyle w:val="EYTableText"/>
              <w:rPr>
                <w:rFonts w:cs="Arial"/>
                <w:b/>
                <w:sz w:val="24"/>
                <w:lang w:val="en-US"/>
              </w:rPr>
            </w:pPr>
            <w:r w:rsidRPr="00150CD2">
              <w:rPr>
                <w:rFonts w:cs="Arial"/>
                <w:b/>
                <w:sz w:val="24"/>
                <w:lang w:val="en-US"/>
              </w:rPr>
              <w:t>Material wellbeing</w:t>
            </w:r>
          </w:p>
        </w:tc>
        <w:tc>
          <w:tcPr>
            <w:tcW w:w="5760" w:type="dxa"/>
          </w:tcPr>
          <w:p w14:paraId="22A34D86" w14:textId="18113294" w:rsidR="005C68CB" w:rsidRPr="00150CD2" w:rsidRDefault="005C68CB" w:rsidP="005C68CB">
            <w:pPr>
              <w:pStyle w:val="EYTableText"/>
              <w:rPr>
                <w:rFonts w:cs="Arial"/>
                <w:sz w:val="24"/>
                <w:lang w:val="en-US"/>
              </w:rPr>
            </w:pPr>
            <w:r w:rsidRPr="00150CD2">
              <w:rPr>
                <w:rFonts w:cs="Arial"/>
                <w:sz w:val="24"/>
                <w:lang w:val="en-US"/>
              </w:rPr>
              <w:t xml:space="preserve">In the Disability Survey, 75% of parents and carers for DSS children reported having more than enough, enough or just enough money for everyday needs. A similar proportion of other respondents with children with impairments but no DSS funding provided this response (80%). </w:t>
            </w:r>
          </w:p>
          <w:p w14:paraId="2C925004" w14:textId="77777777" w:rsidR="005C68CB" w:rsidRPr="00150CD2" w:rsidRDefault="005C68CB" w:rsidP="005E0676">
            <w:pPr>
              <w:pStyle w:val="EYTableText"/>
              <w:rPr>
                <w:rFonts w:cs="Arial"/>
                <w:sz w:val="24"/>
                <w:lang w:val="en-US"/>
              </w:rPr>
            </w:pPr>
          </w:p>
          <w:p w14:paraId="02E32624" w14:textId="133B1805" w:rsidR="00AF5B80" w:rsidRPr="00150CD2" w:rsidRDefault="00AF5B80" w:rsidP="00703FE3">
            <w:pPr>
              <w:pStyle w:val="EYTableText"/>
              <w:rPr>
                <w:rFonts w:cs="Arial"/>
                <w:sz w:val="24"/>
                <w:lang w:val="en-US"/>
              </w:rPr>
            </w:pPr>
            <w:r w:rsidRPr="00150CD2">
              <w:rPr>
                <w:rFonts w:cs="Arial"/>
                <w:sz w:val="24"/>
                <w:lang w:val="en-US"/>
              </w:rPr>
              <w:t xml:space="preserve">For household respondents to the </w:t>
            </w:r>
            <w:r w:rsidR="005C68CB" w:rsidRPr="00150CD2">
              <w:rPr>
                <w:rFonts w:cs="Arial"/>
                <w:sz w:val="24"/>
                <w:lang w:val="en-US"/>
              </w:rPr>
              <w:t>General Social Survey</w:t>
            </w:r>
            <w:r w:rsidRPr="00150CD2">
              <w:rPr>
                <w:rFonts w:cs="Arial"/>
                <w:sz w:val="24"/>
                <w:lang w:val="en-US"/>
              </w:rPr>
              <w:t xml:space="preserve"> with DSS children</w:t>
            </w:r>
            <w:r w:rsidR="008B2B61" w:rsidRPr="00150CD2">
              <w:rPr>
                <w:rFonts w:cs="Arial"/>
                <w:sz w:val="24"/>
                <w:lang w:val="en-US"/>
              </w:rPr>
              <w:t xml:space="preserve">, </w:t>
            </w:r>
            <w:r w:rsidRPr="00150CD2">
              <w:rPr>
                <w:rFonts w:cs="Arial"/>
                <w:sz w:val="24"/>
                <w:lang w:val="en-US"/>
              </w:rPr>
              <w:t>4</w:t>
            </w:r>
            <w:r w:rsidR="008B2B61" w:rsidRPr="00150CD2">
              <w:rPr>
                <w:rFonts w:cs="Arial"/>
                <w:sz w:val="24"/>
                <w:lang w:val="en-US"/>
              </w:rPr>
              <w:t>4</w:t>
            </w:r>
            <w:r w:rsidRPr="00150CD2">
              <w:rPr>
                <w:rFonts w:cs="Arial"/>
                <w:sz w:val="24"/>
                <w:lang w:val="en-US"/>
              </w:rPr>
              <w:t xml:space="preserve">% reported higher levels of material wellbeing (levels 13 to 20 on a scale of 1-20), while </w:t>
            </w:r>
            <w:r w:rsidR="008B2B61" w:rsidRPr="00150CD2">
              <w:rPr>
                <w:rFonts w:cs="Arial"/>
                <w:sz w:val="24"/>
                <w:lang w:val="en-US"/>
              </w:rPr>
              <w:t>21</w:t>
            </w:r>
            <w:r w:rsidRPr="00150CD2">
              <w:rPr>
                <w:rFonts w:cs="Arial"/>
                <w:sz w:val="24"/>
                <w:lang w:val="en-US"/>
              </w:rPr>
              <w:t>% reported low material wellbeing (levels 6 or lower)</w:t>
            </w:r>
            <w:r w:rsidR="00B31E11" w:rsidRPr="00150CD2">
              <w:rPr>
                <w:rFonts w:cs="Arial"/>
                <w:sz w:val="24"/>
                <w:lang w:val="en-US"/>
              </w:rPr>
              <w:t>.</w:t>
            </w:r>
            <w:r w:rsidRPr="00150CD2">
              <w:rPr>
                <w:rFonts w:cs="Arial"/>
                <w:sz w:val="24"/>
                <w:lang w:val="en-US"/>
              </w:rPr>
              <w:t xml:space="preserve"> </w:t>
            </w:r>
            <w:r w:rsidR="008B2B61" w:rsidRPr="00150CD2">
              <w:rPr>
                <w:rFonts w:cs="Arial"/>
                <w:sz w:val="24"/>
                <w:lang w:val="en-US"/>
              </w:rPr>
              <w:t>Responses to this question from households with non-DSS children were similar, although note that the DSS sample is relatively small and may not represent the broader DSS population.</w:t>
            </w:r>
          </w:p>
        </w:tc>
      </w:tr>
      <w:tr w:rsidR="00AF5B80" w:rsidRPr="00150CD2" w14:paraId="65274BCB" w14:textId="77777777" w:rsidTr="00FC0C31">
        <w:trPr>
          <w:cantSplit/>
        </w:trPr>
        <w:tc>
          <w:tcPr>
            <w:tcW w:w="1584" w:type="dxa"/>
            <w:tcBorders>
              <w:top w:val="nil"/>
            </w:tcBorders>
          </w:tcPr>
          <w:p w14:paraId="597A0A53" w14:textId="77777777" w:rsidR="00AF5B80" w:rsidRPr="00150CD2" w:rsidRDefault="00AF5B80" w:rsidP="005E0676">
            <w:pPr>
              <w:pStyle w:val="EYTableText"/>
              <w:rPr>
                <w:rFonts w:cs="Arial"/>
                <w:sz w:val="24"/>
                <w:lang w:val="en-US"/>
              </w:rPr>
            </w:pPr>
          </w:p>
        </w:tc>
        <w:tc>
          <w:tcPr>
            <w:tcW w:w="1728" w:type="dxa"/>
          </w:tcPr>
          <w:p w14:paraId="49FF7DDD" w14:textId="77777777" w:rsidR="00AF5B80" w:rsidRPr="00150CD2" w:rsidRDefault="00AF5B80" w:rsidP="007D52C6">
            <w:pPr>
              <w:pStyle w:val="EYTableText"/>
              <w:rPr>
                <w:rFonts w:cs="Arial"/>
                <w:b/>
                <w:sz w:val="24"/>
                <w:lang w:val="en-US"/>
              </w:rPr>
            </w:pPr>
            <w:r w:rsidRPr="00150CD2">
              <w:rPr>
                <w:rFonts w:cs="Arial"/>
                <w:b/>
                <w:sz w:val="24"/>
                <w:lang w:val="en-US"/>
              </w:rPr>
              <w:t>Have what they need:</w:t>
            </w:r>
          </w:p>
          <w:p w14:paraId="39EAFC1A" w14:textId="0A693E9C" w:rsidR="00AF5B80" w:rsidRPr="00150CD2" w:rsidRDefault="00AF5B80" w:rsidP="005E0676">
            <w:pPr>
              <w:pStyle w:val="EYTableText"/>
              <w:rPr>
                <w:rFonts w:cs="Arial"/>
                <w:b/>
                <w:sz w:val="24"/>
                <w:lang w:val="en-US"/>
              </w:rPr>
            </w:pPr>
            <w:r w:rsidRPr="00150CD2">
              <w:rPr>
                <w:rFonts w:cs="Arial"/>
                <w:b/>
                <w:sz w:val="24"/>
                <w:lang w:val="en-US"/>
              </w:rPr>
              <w:t>House condition</w:t>
            </w:r>
          </w:p>
        </w:tc>
        <w:tc>
          <w:tcPr>
            <w:tcW w:w="5760" w:type="dxa"/>
          </w:tcPr>
          <w:p w14:paraId="13C857B8" w14:textId="5D152333" w:rsidR="007642E3" w:rsidRPr="00150CD2" w:rsidRDefault="009C0C3C" w:rsidP="00C23239">
            <w:pPr>
              <w:pStyle w:val="EYTableText"/>
              <w:rPr>
                <w:rFonts w:cs="Arial"/>
                <w:sz w:val="24"/>
                <w:lang w:val="en-US"/>
              </w:rPr>
            </w:pPr>
            <w:r w:rsidRPr="00150CD2">
              <w:rPr>
                <w:rFonts w:cs="Arial"/>
                <w:sz w:val="24"/>
                <w:lang w:val="en-US"/>
              </w:rPr>
              <w:t>In the Disability Survey:</w:t>
            </w:r>
          </w:p>
          <w:p w14:paraId="7FACD138" w14:textId="4AAA3D92" w:rsidR="00AF5B80" w:rsidRPr="00150CD2" w:rsidRDefault="009C0C3C" w:rsidP="00703FE3">
            <w:pPr>
              <w:pStyle w:val="EYTablebullet1"/>
              <w:rPr>
                <w:rFonts w:cs="Arial"/>
                <w:sz w:val="24"/>
                <w:lang w:val="en-US"/>
              </w:rPr>
            </w:pPr>
            <w:r w:rsidRPr="00150CD2">
              <w:rPr>
                <w:rFonts w:cs="Arial"/>
                <w:sz w:val="24"/>
                <w:lang w:val="en-US"/>
              </w:rPr>
              <w:t>31</w:t>
            </w:r>
            <w:r w:rsidR="00AF5B80" w:rsidRPr="00150CD2">
              <w:rPr>
                <w:rFonts w:cs="Arial"/>
                <w:sz w:val="24"/>
                <w:lang w:val="en-US"/>
              </w:rPr>
              <w:t xml:space="preserve">% </w:t>
            </w:r>
            <w:r w:rsidRPr="00150CD2">
              <w:rPr>
                <w:rFonts w:cs="Arial"/>
                <w:sz w:val="24"/>
                <w:lang w:val="en-US"/>
              </w:rPr>
              <w:t>of parents and carers for DSS children reported living in a house considered difficult to keep warm</w:t>
            </w:r>
          </w:p>
          <w:p w14:paraId="78AD0A85" w14:textId="0008D62C" w:rsidR="00CA0F57" w:rsidRPr="00150CD2" w:rsidRDefault="009C0C3C" w:rsidP="00CA0F57">
            <w:pPr>
              <w:pStyle w:val="EYTablebullet1"/>
              <w:rPr>
                <w:rFonts w:cs="Arial"/>
                <w:sz w:val="24"/>
                <w:lang w:val="en-US"/>
              </w:rPr>
            </w:pPr>
            <w:r w:rsidRPr="00150CD2">
              <w:rPr>
                <w:rFonts w:cs="Arial"/>
                <w:sz w:val="24"/>
                <w:lang w:val="en-US"/>
              </w:rPr>
              <w:t>13% of parents and carers of DSS children reported living in a house that was not considered to be large enough for them and their household</w:t>
            </w:r>
          </w:p>
          <w:p w14:paraId="312F8A66" w14:textId="0295E38C" w:rsidR="00AF5B80" w:rsidRPr="00150CD2" w:rsidRDefault="00CA0F57" w:rsidP="00CA0F57">
            <w:pPr>
              <w:pStyle w:val="EYTableText"/>
              <w:rPr>
                <w:rFonts w:cs="Arial"/>
                <w:sz w:val="24"/>
                <w:lang w:val="en-US"/>
              </w:rPr>
            </w:pPr>
            <w:r w:rsidRPr="00150CD2">
              <w:rPr>
                <w:rFonts w:cs="Arial"/>
                <w:sz w:val="24"/>
                <w:lang w:val="en-US"/>
              </w:rPr>
              <w:t xml:space="preserve">Similar responses were provided by parents and carers of non-DSS children with impairments. </w:t>
            </w:r>
          </w:p>
          <w:p w14:paraId="06D64525" w14:textId="08E1AD52" w:rsidR="00CA0F57" w:rsidRPr="00150CD2" w:rsidRDefault="00CA0F57" w:rsidP="00C23239">
            <w:pPr>
              <w:pStyle w:val="EYTableText"/>
              <w:rPr>
                <w:rFonts w:cs="Arial"/>
                <w:sz w:val="24"/>
                <w:lang w:val="en-US"/>
              </w:rPr>
            </w:pPr>
            <w:r w:rsidRPr="00150CD2">
              <w:rPr>
                <w:rFonts w:cs="Arial"/>
                <w:sz w:val="24"/>
                <w:lang w:val="en-US"/>
              </w:rPr>
              <w:t>A smaller proportion of children without impairments were reported as living in houses considered difficult to keep warm (18%) and in houses not considered to be large enough (6%).</w:t>
            </w:r>
          </w:p>
        </w:tc>
      </w:tr>
    </w:tbl>
    <w:p w14:paraId="21CEE6AF" w14:textId="21B2CB5B" w:rsidR="00864A47" w:rsidRPr="00150CD2" w:rsidRDefault="00864A47" w:rsidP="00D1176D">
      <w:pPr>
        <w:pStyle w:val="EYBodytextwithoutparaspace"/>
        <w:rPr>
          <w:rFonts w:cs="Arial"/>
        </w:rPr>
      </w:pPr>
    </w:p>
    <w:p w14:paraId="63302305" w14:textId="77777777" w:rsidR="00864A47" w:rsidRPr="00150CD2" w:rsidRDefault="00864A47">
      <w:pPr>
        <w:autoSpaceDE/>
        <w:autoSpaceDN/>
        <w:adjustRightInd/>
        <w:rPr>
          <w:rFonts w:cs="Arial"/>
        </w:rPr>
      </w:pPr>
      <w:r w:rsidRPr="00150CD2">
        <w:rPr>
          <w:rFonts w:cs="Arial"/>
        </w:rPr>
        <w:br w:type="page"/>
      </w:r>
    </w:p>
    <w:p w14:paraId="294327BB" w14:textId="1DD0770F" w:rsidR="00CC1818" w:rsidRPr="00150CD2" w:rsidRDefault="00CA43CF" w:rsidP="00184038">
      <w:pPr>
        <w:pStyle w:val="EYHeading2"/>
      </w:pPr>
      <w:bookmarkStart w:id="148" w:name="_Toc33896016"/>
      <w:bookmarkStart w:id="149" w:name="_Toc33980640"/>
      <w:bookmarkStart w:id="150" w:name="_Toc34052757"/>
      <w:bookmarkStart w:id="151" w:name="_Toc34054073"/>
      <w:bookmarkStart w:id="152" w:name="_Toc34055391"/>
      <w:bookmarkStart w:id="153" w:name="_Toc34056709"/>
      <w:bookmarkStart w:id="154" w:name="_Toc34077127"/>
      <w:bookmarkStart w:id="155" w:name="_Toc34091155"/>
      <w:bookmarkStart w:id="156" w:name="_Toc34095668"/>
      <w:bookmarkStart w:id="157" w:name="_Toc46365148"/>
      <w:bookmarkStart w:id="158" w:name="_Toc48752366"/>
      <w:bookmarkEnd w:id="148"/>
      <w:bookmarkEnd w:id="149"/>
      <w:bookmarkEnd w:id="150"/>
      <w:bookmarkEnd w:id="151"/>
      <w:bookmarkEnd w:id="152"/>
      <w:bookmarkEnd w:id="153"/>
      <w:bookmarkEnd w:id="154"/>
      <w:bookmarkEnd w:id="155"/>
      <w:bookmarkEnd w:id="156"/>
      <w:r w:rsidRPr="00150CD2">
        <w:t>Adult DSS clients</w:t>
      </w:r>
      <w:bookmarkEnd w:id="157"/>
      <w:bookmarkEnd w:id="158"/>
    </w:p>
    <w:p w14:paraId="0E82D380" w14:textId="6858CC4D" w:rsidR="002D143D" w:rsidRPr="00150CD2" w:rsidRDefault="004776FC" w:rsidP="002D143D">
      <w:pPr>
        <w:pStyle w:val="EYBodytextwithparaspace"/>
        <w:rPr>
          <w:rFonts w:cs="Arial"/>
        </w:rPr>
      </w:pPr>
      <w:r w:rsidRPr="00150CD2">
        <w:rPr>
          <w:rFonts w:cs="Arial"/>
        </w:rPr>
        <w:t xml:space="preserve">The 2013 Disability Survey </w:t>
      </w:r>
      <w:r w:rsidR="00657AE7" w:rsidRPr="00150CD2">
        <w:rPr>
          <w:rFonts w:cs="Arial"/>
        </w:rPr>
        <w:t xml:space="preserve">(DS) </w:t>
      </w:r>
      <w:r w:rsidRPr="00150CD2">
        <w:rPr>
          <w:rFonts w:cs="Arial"/>
        </w:rPr>
        <w:t xml:space="preserve">contains individual responses from </w:t>
      </w:r>
      <w:r w:rsidR="002317DB" w:rsidRPr="00150CD2">
        <w:rPr>
          <w:rFonts w:cs="Arial"/>
        </w:rPr>
        <w:t>around</w:t>
      </w:r>
      <w:r w:rsidRPr="00150CD2">
        <w:rPr>
          <w:rFonts w:cs="Arial"/>
        </w:rPr>
        <w:t xml:space="preserve"> 200 DSS clients aged 15 and over</w:t>
      </w:r>
      <w:r w:rsidR="002D143D" w:rsidRPr="00150CD2">
        <w:rPr>
          <w:rFonts w:cs="Arial"/>
        </w:rPr>
        <w:t>, along with responses from two other population groups for comparison to DSS adults:</w:t>
      </w:r>
    </w:p>
    <w:p w14:paraId="4BF899AF" w14:textId="6937CCAE" w:rsidR="002D143D" w:rsidRPr="00150CD2" w:rsidRDefault="002D143D" w:rsidP="00614E70">
      <w:pPr>
        <w:pStyle w:val="EYBulletnoparaspace"/>
        <w:rPr>
          <w:rFonts w:cs="Arial"/>
        </w:rPr>
      </w:pPr>
      <w:r w:rsidRPr="00150CD2">
        <w:rPr>
          <w:rFonts w:cs="Arial"/>
        </w:rPr>
        <w:t>Adults with impairments who have never been allocated DSS funding (around 3,650)</w:t>
      </w:r>
    </w:p>
    <w:p w14:paraId="6F01BECF" w14:textId="4B472FAD" w:rsidR="002D143D" w:rsidRPr="00150CD2" w:rsidRDefault="002D143D" w:rsidP="00614E70">
      <w:pPr>
        <w:pStyle w:val="EYBulletnoparaspace"/>
        <w:rPr>
          <w:rFonts w:cs="Arial"/>
        </w:rPr>
      </w:pPr>
      <w:r w:rsidRPr="00150CD2">
        <w:rPr>
          <w:rFonts w:cs="Arial"/>
        </w:rPr>
        <w:t>Adults with no impairments (around 6,750)</w:t>
      </w:r>
    </w:p>
    <w:p w14:paraId="5F8EBAED" w14:textId="7C24B313" w:rsidR="004776FC" w:rsidRPr="00150CD2" w:rsidRDefault="002D143D" w:rsidP="004776FC">
      <w:pPr>
        <w:pStyle w:val="EYBodytextwithparaspace"/>
        <w:rPr>
          <w:rFonts w:cs="Arial"/>
        </w:rPr>
      </w:pPr>
      <w:r w:rsidRPr="00150CD2">
        <w:rPr>
          <w:rFonts w:cs="Arial"/>
        </w:rPr>
        <w:br/>
      </w:r>
      <w:r w:rsidR="002317DB" w:rsidRPr="00150CD2">
        <w:rPr>
          <w:rFonts w:cs="Arial"/>
        </w:rPr>
        <w:t>T</w:t>
      </w:r>
      <w:r w:rsidR="004776FC" w:rsidRPr="00150CD2">
        <w:rPr>
          <w:rFonts w:cs="Arial"/>
        </w:rPr>
        <w:t xml:space="preserve">he 2014 and 2016 General Social Survey </w:t>
      </w:r>
      <w:r w:rsidR="00797276" w:rsidRPr="00150CD2">
        <w:rPr>
          <w:rFonts w:cs="Arial"/>
        </w:rPr>
        <w:t>(GSS)</w:t>
      </w:r>
      <w:r w:rsidR="00003A2A" w:rsidRPr="00150CD2">
        <w:rPr>
          <w:rFonts w:cs="Arial"/>
        </w:rPr>
        <w:t xml:space="preserve"> </w:t>
      </w:r>
      <w:r w:rsidR="004776FC" w:rsidRPr="00150CD2">
        <w:rPr>
          <w:rFonts w:cs="Arial"/>
        </w:rPr>
        <w:t xml:space="preserve">waves </w:t>
      </w:r>
      <w:r w:rsidR="002317DB" w:rsidRPr="00150CD2">
        <w:rPr>
          <w:rFonts w:cs="Arial"/>
        </w:rPr>
        <w:t>contain</w:t>
      </w:r>
      <w:r w:rsidR="004776FC" w:rsidRPr="00150CD2">
        <w:rPr>
          <w:rFonts w:cs="Arial"/>
        </w:rPr>
        <w:t xml:space="preserve"> </w:t>
      </w:r>
      <w:r w:rsidR="002317DB" w:rsidRPr="00150CD2">
        <w:rPr>
          <w:rFonts w:cs="Arial"/>
        </w:rPr>
        <w:t>individual responses from</w:t>
      </w:r>
      <w:r w:rsidR="004776FC" w:rsidRPr="00150CD2">
        <w:rPr>
          <w:rFonts w:cs="Arial"/>
        </w:rPr>
        <w:t xml:space="preserve"> around </w:t>
      </w:r>
      <w:r w:rsidR="002975A6" w:rsidRPr="00150CD2">
        <w:rPr>
          <w:rFonts w:cs="Arial"/>
        </w:rPr>
        <w:t xml:space="preserve">125 </w:t>
      </w:r>
      <w:r w:rsidR="004776FC" w:rsidRPr="00150CD2">
        <w:rPr>
          <w:rFonts w:cs="Arial"/>
        </w:rPr>
        <w:t>DSS clients aged 1</w:t>
      </w:r>
      <w:r w:rsidR="002975A6" w:rsidRPr="00150CD2">
        <w:rPr>
          <w:rFonts w:cs="Arial"/>
        </w:rPr>
        <w:t>5</w:t>
      </w:r>
      <w:r w:rsidR="004776FC" w:rsidRPr="00150CD2">
        <w:rPr>
          <w:rFonts w:cs="Arial"/>
        </w:rPr>
        <w:t xml:space="preserve"> and over</w:t>
      </w:r>
      <w:r w:rsidR="002317DB" w:rsidRPr="00150CD2">
        <w:rPr>
          <w:rFonts w:cs="Arial"/>
        </w:rPr>
        <w:t xml:space="preserve"> and household responses relating to around </w:t>
      </w:r>
      <w:r w:rsidR="002975A6" w:rsidRPr="00150CD2">
        <w:rPr>
          <w:rFonts w:cs="Arial"/>
        </w:rPr>
        <w:t>100</w:t>
      </w:r>
      <w:r w:rsidR="002317DB" w:rsidRPr="00150CD2">
        <w:rPr>
          <w:rFonts w:cs="Arial"/>
        </w:rPr>
        <w:t xml:space="preserve"> DSS clients aged </w:t>
      </w:r>
      <w:r w:rsidR="002975A6" w:rsidRPr="00150CD2">
        <w:rPr>
          <w:rFonts w:cs="Arial"/>
        </w:rPr>
        <w:t xml:space="preserve">15 </w:t>
      </w:r>
      <w:r w:rsidR="002317DB" w:rsidRPr="00150CD2">
        <w:rPr>
          <w:rFonts w:cs="Arial"/>
        </w:rPr>
        <w:t>and over.</w:t>
      </w:r>
      <w:r w:rsidRPr="00150CD2">
        <w:rPr>
          <w:rFonts w:cs="Arial"/>
        </w:rPr>
        <w:t xml:space="preserve"> It also contains responses from around 13,500 non-DSS respondents.</w:t>
      </w:r>
    </w:p>
    <w:p w14:paraId="4803A9CA" w14:textId="665C906F" w:rsidR="00842C9F" w:rsidRPr="00150CD2" w:rsidRDefault="004776FC" w:rsidP="00842C9F">
      <w:pPr>
        <w:pStyle w:val="EYBodytextwithparaspace"/>
        <w:rPr>
          <w:rFonts w:cs="Arial"/>
        </w:rPr>
      </w:pPr>
      <w:r w:rsidRPr="00150CD2">
        <w:rPr>
          <w:rFonts w:cs="Arial"/>
        </w:rPr>
        <w:t>The Disability Survey</w:t>
      </w:r>
      <w:r w:rsidR="00797276" w:rsidRPr="00150CD2">
        <w:rPr>
          <w:rFonts w:cs="Arial"/>
        </w:rPr>
        <w:t xml:space="preserve"> </w:t>
      </w:r>
      <w:r w:rsidRPr="00150CD2">
        <w:rPr>
          <w:rFonts w:cs="Arial"/>
        </w:rPr>
        <w:t xml:space="preserve">responses describe some </w:t>
      </w:r>
      <w:r w:rsidR="002317DB" w:rsidRPr="00150CD2">
        <w:rPr>
          <w:rFonts w:cs="Arial"/>
        </w:rPr>
        <w:t>characteristics</w:t>
      </w:r>
      <w:r w:rsidRPr="00150CD2">
        <w:rPr>
          <w:rFonts w:cs="Arial"/>
        </w:rPr>
        <w:t xml:space="preserve"> of the households that respondents live in</w:t>
      </w:r>
      <w:r w:rsidR="002317DB" w:rsidRPr="00150CD2">
        <w:rPr>
          <w:rFonts w:cs="Arial"/>
        </w:rPr>
        <w:t>, including a profile of their main carer</w:t>
      </w:r>
      <w:r w:rsidR="00FF3A8B" w:rsidRPr="00150CD2">
        <w:rPr>
          <w:rFonts w:cs="Arial"/>
        </w:rPr>
        <w:t xml:space="preserve"> (if applicable)</w:t>
      </w:r>
      <w:r w:rsidR="002317DB" w:rsidRPr="00150CD2">
        <w:rPr>
          <w:rFonts w:cs="Arial"/>
        </w:rPr>
        <w:t>:</w:t>
      </w:r>
    </w:p>
    <w:p w14:paraId="27F0EB4B" w14:textId="7F166069" w:rsidR="002317DB" w:rsidRPr="00150CD2" w:rsidRDefault="002317DB" w:rsidP="00D1176D">
      <w:pPr>
        <w:pStyle w:val="EYBulletnoparaspace"/>
        <w:rPr>
          <w:rFonts w:cs="Arial"/>
        </w:rPr>
      </w:pPr>
      <w:r w:rsidRPr="00150CD2">
        <w:rPr>
          <w:rFonts w:cs="Arial"/>
        </w:rPr>
        <w:t xml:space="preserve">The majority of young people aged </w:t>
      </w:r>
      <w:r w:rsidR="00D52C29" w:rsidRPr="00150CD2">
        <w:rPr>
          <w:rFonts w:cs="Arial"/>
        </w:rPr>
        <w:t xml:space="preserve">18 to </w:t>
      </w:r>
      <w:r w:rsidR="005A4103" w:rsidRPr="00150CD2">
        <w:rPr>
          <w:rFonts w:cs="Arial"/>
        </w:rPr>
        <w:t xml:space="preserve">24 </w:t>
      </w:r>
      <w:r w:rsidRPr="00150CD2">
        <w:rPr>
          <w:rFonts w:cs="Arial"/>
        </w:rPr>
        <w:t>lived with family member carers (86%), with just under 10% having a main carer who worked for a care provider.</w:t>
      </w:r>
    </w:p>
    <w:p w14:paraId="6C121F90" w14:textId="187D9E13" w:rsidR="002317DB" w:rsidRPr="00150CD2" w:rsidRDefault="002317DB" w:rsidP="00D1176D">
      <w:pPr>
        <w:pStyle w:val="EYBulletnoparaspace"/>
        <w:rPr>
          <w:rFonts w:cs="Arial"/>
        </w:rPr>
      </w:pPr>
      <w:r w:rsidRPr="00150CD2">
        <w:rPr>
          <w:rFonts w:cs="Arial"/>
        </w:rPr>
        <w:t xml:space="preserve">For adults aged </w:t>
      </w:r>
      <w:r w:rsidR="005A4103" w:rsidRPr="00150CD2">
        <w:rPr>
          <w:rFonts w:cs="Arial"/>
        </w:rPr>
        <w:t xml:space="preserve">25 </w:t>
      </w:r>
      <w:r w:rsidRPr="00150CD2">
        <w:rPr>
          <w:rFonts w:cs="Arial"/>
        </w:rPr>
        <w:t xml:space="preserve">and over: </w:t>
      </w:r>
    </w:p>
    <w:p w14:paraId="21B2B302" w14:textId="5118B5FF" w:rsidR="002317DB" w:rsidRPr="00150CD2" w:rsidRDefault="002317DB" w:rsidP="00D1176D">
      <w:pPr>
        <w:pStyle w:val="EYBullet2noparaspace"/>
        <w:rPr>
          <w:rFonts w:cs="Arial"/>
        </w:rPr>
      </w:pPr>
      <w:r w:rsidRPr="00150CD2">
        <w:rPr>
          <w:rFonts w:cs="Arial"/>
        </w:rPr>
        <w:t>Around half (48%) lived with a family member who was also their primary carer</w:t>
      </w:r>
    </w:p>
    <w:p w14:paraId="5F0062D9" w14:textId="40805D7A" w:rsidR="002317DB" w:rsidRPr="00150CD2" w:rsidRDefault="002317DB" w:rsidP="00D1176D">
      <w:pPr>
        <w:pStyle w:val="EYBullet2noparaspace"/>
        <w:rPr>
          <w:rFonts w:cs="Arial"/>
        </w:rPr>
      </w:pPr>
      <w:r w:rsidRPr="00150CD2">
        <w:rPr>
          <w:rFonts w:cs="Arial"/>
        </w:rPr>
        <w:t>10% had a family member as their primary carer but lived separately</w:t>
      </w:r>
    </w:p>
    <w:p w14:paraId="0AB215AA" w14:textId="60423CAD" w:rsidR="002317DB" w:rsidRPr="00150CD2" w:rsidRDefault="002317DB" w:rsidP="00D1176D">
      <w:pPr>
        <w:pStyle w:val="EYBullet2noparaspace"/>
        <w:rPr>
          <w:rFonts w:cs="Arial"/>
        </w:rPr>
      </w:pPr>
      <w:r w:rsidRPr="00150CD2">
        <w:rPr>
          <w:rFonts w:cs="Arial"/>
        </w:rPr>
        <w:t>29% had a main carer who worked for a care provider</w:t>
      </w:r>
    </w:p>
    <w:p w14:paraId="75F68338" w14:textId="50906D68" w:rsidR="002317DB" w:rsidRPr="00150CD2" w:rsidRDefault="002317DB" w:rsidP="00D1176D">
      <w:pPr>
        <w:pStyle w:val="EYBullet2noparaspace"/>
        <w:rPr>
          <w:rFonts w:cs="Arial"/>
        </w:rPr>
      </w:pPr>
      <w:r w:rsidRPr="00150CD2">
        <w:rPr>
          <w:rFonts w:cs="Arial"/>
        </w:rPr>
        <w:t>10% had other non-family carers</w:t>
      </w:r>
    </w:p>
    <w:p w14:paraId="38080515" w14:textId="05C9690F" w:rsidR="006A32F9" w:rsidRPr="00150CD2" w:rsidRDefault="003C656D" w:rsidP="00AC14EB">
      <w:pPr>
        <w:pStyle w:val="EYBodytextwithparaspace"/>
        <w:rPr>
          <w:rFonts w:cs="Arial"/>
        </w:rPr>
      </w:pPr>
      <w:r w:rsidRPr="00150CD2">
        <w:rPr>
          <w:rFonts w:cs="Arial"/>
        </w:rPr>
        <w:br/>
      </w:r>
      <w:r w:rsidR="006A32F9" w:rsidRPr="00150CD2">
        <w:rPr>
          <w:rFonts w:cs="Arial"/>
        </w:rPr>
        <w:fldChar w:fldCharType="begin"/>
      </w:r>
      <w:r w:rsidR="006A32F9" w:rsidRPr="00150CD2">
        <w:rPr>
          <w:rFonts w:cs="Arial"/>
        </w:rPr>
        <w:instrText xml:space="preserve"> REF _Ref45401999 \h </w:instrText>
      </w:r>
      <w:r w:rsidR="00150CD2">
        <w:rPr>
          <w:rFonts w:cs="Arial"/>
        </w:rPr>
        <w:instrText xml:space="preserve"> \* MERGEFORMAT </w:instrText>
      </w:r>
      <w:r w:rsidR="006A32F9" w:rsidRPr="00150CD2">
        <w:rPr>
          <w:rFonts w:cs="Arial"/>
        </w:rPr>
      </w:r>
      <w:r w:rsidR="006A32F9" w:rsidRPr="00150CD2">
        <w:rPr>
          <w:rFonts w:cs="Arial"/>
        </w:rPr>
        <w:fldChar w:fldCharType="separate"/>
      </w:r>
      <w:r w:rsidR="00053D9A" w:rsidRPr="00150CD2">
        <w:rPr>
          <w:rFonts w:cs="Arial"/>
        </w:rPr>
        <w:t xml:space="preserve">Figure </w:t>
      </w:r>
      <w:r w:rsidR="00053D9A" w:rsidRPr="00150CD2">
        <w:rPr>
          <w:rFonts w:cs="Arial"/>
          <w:noProof/>
        </w:rPr>
        <w:t>10</w:t>
      </w:r>
      <w:r w:rsidR="006A32F9" w:rsidRPr="00150CD2">
        <w:rPr>
          <w:rFonts w:cs="Arial"/>
        </w:rPr>
        <w:fldChar w:fldCharType="end"/>
      </w:r>
      <w:r w:rsidR="006A32F9" w:rsidRPr="00150CD2">
        <w:rPr>
          <w:rFonts w:cs="Arial"/>
        </w:rPr>
        <w:t xml:space="preserve"> and </w:t>
      </w:r>
      <w:r w:rsidR="006A32F9" w:rsidRPr="00150CD2">
        <w:rPr>
          <w:rFonts w:cs="Arial"/>
        </w:rPr>
        <w:fldChar w:fldCharType="begin"/>
      </w:r>
      <w:r w:rsidR="006A32F9" w:rsidRPr="00150CD2">
        <w:rPr>
          <w:rFonts w:cs="Arial"/>
        </w:rPr>
        <w:instrText xml:space="preserve"> REF _Ref45402001 \h </w:instrText>
      </w:r>
      <w:r w:rsidR="00150CD2">
        <w:rPr>
          <w:rFonts w:cs="Arial"/>
        </w:rPr>
        <w:instrText xml:space="preserve"> \* MERGEFORMAT </w:instrText>
      </w:r>
      <w:r w:rsidR="006A32F9" w:rsidRPr="00150CD2">
        <w:rPr>
          <w:rFonts w:cs="Arial"/>
        </w:rPr>
      </w:r>
      <w:r w:rsidR="006A32F9" w:rsidRPr="00150CD2">
        <w:rPr>
          <w:rFonts w:cs="Arial"/>
        </w:rPr>
        <w:fldChar w:fldCharType="separate"/>
      </w:r>
      <w:r w:rsidR="00053D9A" w:rsidRPr="00150CD2">
        <w:rPr>
          <w:rFonts w:cs="Arial"/>
        </w:rPr>
        <w:t xml:space="preserve">Figure </w:t>
      </w:r>
      <w:r w:rsidR="00053D9A" w:rsidRPr="00150CD2">
        <w:rPr>
          <w:rFonts w:cs="Arial"/>
          <w:noProof/>
        </w:rPr>
        <w:t>11</w:t>
      </w:r>
      <w:r w:rsidR="006A32F9" w:rsidRPr="00150CD2">
        <w:rPr>
          <w:rFonts w:cs="Arial"/>
        </w:rPr>
        <w:fldChar w:fldCharType="end"/>
      </w:r>
      <w:r w:rsidR="006A32F9" w:rsidRPr="00150CD2">
        <w:rPr>
          <w:rFonts w:cs="Arial"/>
        </w:rPr>
        <w:t xml:space="preserve"> </w:t>
      </w:r>
      <w:r w:rsidRPr="00150CD2">
        <w:rPr>
          <w:rFonts w:cs="Arial"/>
        </w:rPr>
        <w:t>highlight responses to some of the key wellbeing related questions</w:t>
      </w:r>
      <w:r w:rsidR="00263AAE" w:rsidRPr="00150CD2">
        <w:rPr>
          <w:rFonts w:cs="Arial"/>
        </w:rPr>
        <w:t>. Differences between DSS respondents and non-DSS respondents are statistically significant at the 95</w:t>
      </w:r>
      <w:r w:rsidR="00263AAE" w:rsidRPr="00150CD2">
        <w:rPr>
          <w:rFonts w:cs="Arial"/>
          <w:vertAlign w:val="superscript"/>
        </w:rPr>
        <w:t>th</w:t>
      </w:r>
      <w:r w:rsidR="00263AAE" w:rsidRPr="00150CD2">
        <w:rPr>
          <w:rFonts w:cs="Arial"/>
        </w:rPr>
        <w:t xml:space="preserve"> percentile level (unless otherwise noted). </w:t>
      </w:r>
    </w:p>
    <w:p w14:paraId="73F66693" w14:textId="77777777" w:rsidR="006A32F9" w:rsidRPr="00150CD2" w:rsidRDefault="006A32F9">
      <w:pPr>
        <w:autoSpaceDE/>
        <w:autoSpaceDN/>
        <w:adjustRightInd/>
        <w:rPr>
          <w:rFonts w:cs="Arial"/>
        </w:rPr>
      </w:pPr>
      <w:r w:rsidRPr="00150CD2">
        <w:rPr>
          <w:rFonts w:cs="Arial"/>
        </w:rPr>
        <w:br w:type="page"/>
      </w:r>
    </w:p>
    <w:p w14:paraId="53ABAAB2" w14:textId="15DDAA1D" w:rsidR="00A42F44" w:rsidRPr="00150CD2" w:rsidRDefault="00595EE3" w:rsidP="006A32F9">
      <w:pPr>
        <w:pStyle w:val="Caption"/>
        <w:rPr>
          <w:rFonts w:cs="Arial"/>
        </w:rPr>
      </w:pPr>
      <w:bookmarkStart w:id="159" w:name="_Ref45401999"/>
      <w:r w:rsidRPr="00150CD2">
        <w:rPr>
          <w:rFonts w:cs="Arial"/>
        </w:rPr>
        <w:t xml:space="preserve">Figure </w:t>
      </w:r>
      <w:r w:rsidRPr="00150CD2">
        <w:rPr>
          <w:rFonts w:cs="Arial"/>
        </w:rPr>
        <w:fldChar w:fldCharType="begin"/>
      </w:r>
      <w:r w:rsidRPr="00150CD2">
        <w:rPr>
          <w:rFonts w:cs="Arial"/>
        </w:rPr>
        <w:instrText xml:space="preserve"> SEQ Figure \* ARABIC </w:instrText>
      </w:r>
      <w:r w:rsidRPr="00150CD2">
        <w:rPr>
          <w:rFonts w:cs="Arial"/>
        </w:rPr>
        <w:fldChar w:fldCharType="separate"/>
      </w:r>
      <w:r w:rsidR="00053D9A" w:rsidRPr="00150CD2">
        <w:rPr>
          <w:rFonts w:cs="Arial"/>
          <w:noProof/>
        </w:rPr>
        <w:t>10</w:t>
      </w:r>
      <w:r w:rsidRPr="00150CD2">
        <w:rPr>
          <w:rFonts w:cs="Arial"/>
        </w:rPr>
        <w:fldChar w:fldCharType="end"/>
      </w:r>
      <w:bookmarkEnd w:id="159"/>
      <w:r w:rsidRPr="00150CD2">
        <w:rPr>
          <w:rFonts w:cs="Arial"/>
        </w:rPr>
        <w:t xml:space="preserve">: Selected Disability Survey responses for adults ever allocated DSS funding, compared to other adults </w:t>
      </w:r>
      <w:r w:rsidR="00D96114" w:rsidRPr="00150CD2">
        <w:rPr>
          <w:rFonts w:cs="Arial"/>
        </w:rPr>
        <w:t xml:space="preserve">with and without impairments who have </w:t>
      </w:r>
      <w:r w:rsidRPr="00150CD2">
        <w:rPr>
          <w:rFonts w:cs="Arial"/>
        </w:rPr>
        <w:t xml:space="preserve">never </w:t>
      </w:r>
      <w:r w:rsidR="00D96114" w:rsidRPr="00150CD2">
        <w:rPr>
          <w:rFonts w:cs="Arial"/>
        </w:rPr>
        <w:t xml:space="preserve">been </w:t>
      </w:r>
      <w:r w:rsidRPr="00150CD2">
        <w:rPr>
          <w:rFonts w:cs="Arial"/>
        </w:rPr>
        <w:t>allocated DSS funding</w:t>
      </w:r>
    </w:p>
    <w:tbl>
      <w:tblPr>
        <w:tblStyle w:val="TableGrid1"/>
        <w:tblW w:w="5000" w:type="pct"/>
        <w:tblLayout w:type="fixed"/>
        <w:tblCellMar>
          <w:top w:w="58" w:type="dxa"/>
          <w:left w:w="115" w:type="dxa"/>
          <w:bottom w:w="58" w:type="dxa"/>
          <w:right w:w="72" w:type="dxa"/>
        </w:tblCellMar>
        <w:tblLook w:val="04A0" w:firstRow="1" w:lastRow="0" w:firstColumn="1" w:lastColumn="0" w:noHBand="0" w:noVBand="1"/>
        <w:tblCaption w:val="Figure 10 - Selected Disability Survey responses for DSS and non-DSS adults"/>
        <w:tblDescription w:val="Figure 10 chart highlights differences in selected Disability Survey responses for adults ever allocated DSS funding, compared to other adults with and without impairments who have never been allocated DSS funding. &#10;Below is a description of the key differences:&#10;&#10;1. Self-rated health: A lower proportion of DSS adults and other adults with impairments described themselves as being in “good” to “excellent” health, compared to adults without impairments.&#10;&#10;2. Social connectedness: A lower proportion of DSS adults said they had never or occasionally felt lonely over the 4 weeks prior to the survey, compared to other adults with impairments. Both DSS and non-DSS adults with impairments were less likely to report never/occasionally feeling lonely than adults without impairments.&#10;&#10;3. Contact with friends: A lower proportion of DSS adults had face-to-face contact with friends in the 4 weeks prior to the survey, compared to other adults with impairments. Both DSS and non-DSS adults with impairments were less likely to have had face-to-face contact with friends than adults without impairments.&#10;&#10;4. Contact with community: A lower proportion of DSS and non-DSS adults with impairments reported being to a café, restaurant or pub in the 4 weeks prior to the survey, compared to adults without impairments.&#10;&#10;5. Support at home: A higher proportion of DSS adults reported unmet need for help (or additional help) with shopping, preparing meals or housework in the 12 months prior to the survey, compared to other adults with impairments."/>
      </w:tblPr>
      <w:tblGrid>
        <w:gridCol w:w="3956"/>
        <w:gridCol w:w="1448"/>
        <w:gridCol w:w="1703"/>
        <w:gridCol w:w="1912"/>
      </w:tblGrid>
      <w:tr w:rsidR="00747804" w:rsidRPr="00150CD2" w14:paraId="58D9C239" w14:textId="77777777" w:rsidTr="000431DF">
        <w:trPr>
          <w:tblHeader/>
        </w:trPr>
        <w:tc>
          <w:tcPr>
            <w:tcW w:w="2193" w:type="pct"/>
            <w:tcBorders>
              <w:bottom w:val="single" w:sz="4" w:space="0" w:color="auto"/>
              <w:right w:val="nil"/>
            </w:tcBorders>
            <w:shd w:val="clear" w:color="auto" w:fill="F2F2F2"/>
          </w:tcPr>
          <w:p w14:paraId="1B7416C4" w14:textId="77777777" w:rsidR="00747804" w:rsidRPr="00150CD2" w:rsidRDefault="00747804" w:rsidP="005A46E6">
            <w:pPr>
              <w:autoSpaceDE/>
              <w:autoSpaceDN/>
              <w:adjustRightInd/>
              <w:spacing w:before="60" w:after="60"/>
              <w:rPr>
                <w:rFonts w:cs="Arial"/>
                <w:b/>
                <w:color w:val="808080"/>
                <w:sz w:val="24"/>
                <w:szCs w:val="24"/>
                <w:lang w:val="en-NZ"/>
              </w:rPr>
            </w:pPr>
            <w:bookmarkStart w:id="160" w:name="_Hlk45524197"/>
            <w:r w:rsidRPr="00150CD2">
              <w:rPr>
                <w:rFonts w:cs="Arial"/>
                <w:b/>
                <w:color w:val="808080"/>
                <w:sz w:val="24"/>
                <w:szCs w:val="24"/>
                <w:lang w:val="en-NZ"/>
              </w:rPr>
              <w:t>Wellbeing indicators</w:t>
            </w:r>
          </w:p>
        </w:tc>
        <w:tc>
          <w:tcPr>
            <w:tcW w:w="803" w:type="pct"/>
            <w:tcBorders>
              <w:left w:val="nil"/>
              <w:bottom w:val="single" w:sz="4" w:space="0" w:color="auto"/>
              <w:right w:val="nil"/>
            </w:tcBorders>
            <w:shd w:val="clear" w:color="auto" w:fill="F2F2F2"/>
            <w:tcMar>
              <w:left w:w="288" w:type="dxa"/>
            </w:tcMar>
          </w:tcPr>
          <w:p w14:paraId="4F9A0BF5" w14:textId="0D3DB546" w:rsidR="00747804" w:rsidRPr="00150CD2" w:rsidRDefault="00747804" w:rsidP="005A46E6">
            <w:pPr>
              <w:autoSpaceDE/>
              <w:autoSpaceDN/>
              <w:adjustRightInd/>
              <w:spacing w:before="60" w:after="60"/>
              <w:jc w:val="center"/>
              <w:rPr>
                <w:rFonts w:cs="Arial"/>
                <w:b/>
                <w:color w:val="808080"/>
                <w:sz w:val="24"/>
                <w:szCs w:val="24"/>
                <w:lang w:val="en-NZ"/>
              </w:rPr>
            </w:pPr>
            <w:r w:rsidRPr="00150CD2">
              <w:rPr>
                <w:rFonts w:cs="Arial"/>
                <w:b/>
                <w:color w:val="808080"/>
                <w:sz w:val="24"/>
                <w:szCs w:val="24"/>
                <w:lang w:val="en-NZ"/>
              </w:rPr>
              <w:t>DSS adults</w:t>
            </w:r>
          </w:p>
        </w:tc>
        <w:tc>
          <w:tcPr>
            <w:tcW w:w="944" w:type="pct"/>
            <w:tcBorders>
              <w:left w:val="nil"/>
              <w:bottom w:val="single" w:sz="4" w:space="0" w:color="auto"/>
              <w:right w:val="nil"/>
            </w:tcBorders>
            <w:shd w:val="clear" w:color="auto" w:fill="F2F2F2"/>
          </w:tcPr>
          <w:p w14:paraId="63C99D07" w14:textId="7267ABD3" w:rsidR="00747804" w:rsidRPr="00150CD2" w:rsidRDefault="00747804" w:rsidP="005A46E6">
            <w:pPr>
              <w:autoSpaceDE/>
              <w:autoSpaceDN/>
              <w:adjustRightInd/>
              <w:spacing w:before="60" w:after="60"/>
              <w:jc w:val="center"/>
              <w:rPr>
                <w:rFonts w:cs="Arial"/>
                <w:b/>
                <w:color w:val="808080"/>
                <w:sz w:val="24"/>
                <w:szCs w:val="24"/>
                <w:lang w:val="en-NZ"/>
              </w:rPr>
            </w:pPr>
            <w:r w:rsidRPr="00150CD2">
              <w:rPr>
                <w:rFonts w:cs="Arial"/>
                <w:b/>
                <w:color w:val="808080"/>
                <w:sz w:val="24"/>
                <w:szCs w:val="24"/>
                <w:lang w:val="en-NZ"/>
              </w:rPr>
              <w:t>Non-DSS adults with impairments</w:t>
            </w:r>
          </w:p>
        </w:tc>
        <w:tc>
          <w:tcPr>
            <w:tcW w:w="1060" w:type="pct"/>
            <w:tcBorders>
              <w:left w:val="nil"/>
              <w:bottom w:val="single" w:sz="4" w:space="0" w:color="auto"/>
            </w:tcBorders>
            <w:shd w:val="clear" w:color="auto" w:fill="F2F2F2"/>
            <w:tcMar>
              <w:right w:w="216" w:type="dxa"/>
            </w:tcMar>
          </w:tcPr>
          <w:p w14:paraId="489A0C61" w14:textId="2966F692" w:rsidR="00747804" w:rsidRPr="00150CD2" w:rsidRDefault="00747804" w:rsidP="005A46E6">
            <w:pPr>
              <w:autoSpaceDE/>
              <w:autoSpaceDN/>
              <w:adjustRightInd/>
              <w:spacing w:before="60" w:after="60"/>
              <w:jc w:val="center"/>
              <w:rPr>
                <w:rFonts w:cs="Arial"/>
                <w:b/>
                <w:color w:val="808080"/>
                <w:sz w:val="24"/>
                <w:szCs w:val="24"/>
                <w:lang w:val="en-NZ"/>
              </w:rPr>
            </w:pPr>
            <w:r w:rsidRPr="00150CD2">
              <w:rPr>
                <w:rFonts w:cs="Arial"/>
                <w:b/>
                <w:color w:val="808080"/>
                <w:sz w:val="24"/>
                <w:szCs w:val="24"/>
                <w:lang w:val="en-NZ"/>
              </w:rPr>
              <w:t>Non-DSS adults without impairments</w:t>
            </w:r>
          </w:p>
        </w:tc>
      </w:tr>
      <w:tr w:rsidR="009E40DB" w:rsidRPr="00150CD2" w14:paraId="28DDAF87" w14:textId="77777777" w:rsidTr="00BB45F4">
        <w:tc>
          <w:tcPr>
            <w:tcW w:w="2193" w:type="pct"/>
            <w:tcBorders>
              <w:top w:val="single" w:sz="4" w:space="0" w:color="auto"/>
              <w:bottom w:val="single" w:sz="4" w:space="0" w:color="A6A6A6" w:themeColor="background1" w:themeShade="A6"/>
              <w:right w:val="nil"/>
            </w:tcBorders>
          </w:tcPr>
          <w:p w14:paraId="5A85F4A7" w14:textId="77777777" w:rsidR="009E40DB" w:rsidRPr="00150CD2" w:rsidRDefault="009E40DB" w:rsidP="00747804">
            <w:pPr>
              <w:autoSpaceDE/>
              <w:autoSpaceDN/>
              <w:adjustRightInd/>
              <w:spacing w:before="20" w:after="20"/>
              <w:rPr>
                <w:rFonts w:cs="Arial"/>
                <w:b/>
                <w:sz w:val="24"/>
                <w:szCs w:val="24"/>
                <w:lang w:val="en-US"/>
              </w:rPr>
            </w:pPr>
            <w:r w:rsidRPr="00150CD2">
              <w:rPr>
                <w:rFonts w:cs="Arial"/>
                <w:b/>
                <w:sz w:val="24"/>
                <w:szCs w:val="24"/>
                <w:lang w:val="en-US"/>
              </w:rPr>
              <w:t>Self-rated health</w:t>
            </w:r>
          </w:p>
          <w:p w14:paraId="6656B6FC" w14:textId="1144B850" w:rsidR="009E40DB" w:rsidRPr="00150CD2" w:rsidRDefault="009E40DB" w:rsidP="000431DF">
            <w:pPr>
              <w:autoSpaceDE/>
              <w:autoSpaceDN/>
              <w:adjustRightInd/>
              <w:spacing w:before="20" w:after="20"/>
              <w:rPr>
                <w:rFonts w:cs="Arial"/>
                <w:b/>
                <w:sz w:val="24"/>
                <w:szCs w:val="24"/>
                <w:lang w:val="en-US"/>
              </w:rPr>
            </w:pPr>
            <w:r w:rsidRPr="00150CD2">
              <w:rPr>
                <w:rFonts w:cs="Arial"/>
                <w:sz w:val="24"/>
                <w:szCs w:val="24"/>
                <w:lang w:val="en-US"/>
              </w:rPr>
              <w:t xml:space="preserve">Proportion of adults who described their health as ‘’good” to “excellent” </w:t>
            </w:r>
          </w:p>
        </w:tc>
        <w:tc>
          <w:tcPr>
            <w:tcW w:w="2807" w:type="pct"/>
            <w:gridSpan w:val="3"/>
            <w:tcBorders>
              <w:left w:val="nil"/>
              <w:bottom w:val="single" w:sz="4" w:space="0" w:color="A6A6A6" w:themeColor="background1" w:themeShade="A6"/>
            </w:tcBorders>
            <w:tcMar>
              <w:top w:w="0" w:type="dxa"/>
            </w:tcMar>
          </w:tcPr>
          <w:p w14:paraId="27B6BF82" w14:textId="664C0C77" w:rsidR="009E40DB" w:rsidRPr="00150CD2" w:rsidRDefault="009E40DB" w:rsidP="00BB45F4">
            <w:pPr>
              <w:autoSpaceDE/>
              <w:autoSpaceDN/>
              <w:adjustRightInd/>
              <w:rPr>
                <w:rFonts w:cs="Arial"/>
                <w:sz w:val="24"/>
                <w:szCs w:val="24"/>
                <w:lang w:val="en-US"/>
              </w:rPr>
            </w:pPr>
            <w:r w:rsidRPr="00150CD2">
              <w:rPr>
                <w:rFonts w:cs="Arial"/>
                <w:noProof/>
                <w:sz w:val="24"/>
                <w:szCs w:val="24"/>
                <w:lang w:val="en-US"/>
              </w:rPr>
              <w:drawing>
                <wp:inline distT="0" distB="0" distL="0" distR="0" wp14:anchorId="0E871184" wp14:editId="699B54D7">
                  <wp:extent cx="3030279" cy="785495"/>
                  <wp:effectExtent l="0" t="0" r="0" b="0"/>
                  <wp:docPr id="197" name="Picture 197" descr="Self-rated health: A lower proportion of DSS adults and other adults with impairments described themselves as being in “good” to “excellent” health, compared to adults without impair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9">
                            <a:extLst>
                              <a:ext uri="{28A0092B-C50C-407E-A947-70E740481C1C}">
                                <a14:useLocalDpi xmlns:a14="http://schemas.microsoft.com/office/drawing/2010/main" val="0"/>
                              </a:ext>
                            </a:extLst>
                          </a:blip>
                          <a:srcRect l="6737" t="2514" r="5927" b="84013"/>
                          <a:stretch/>
                        </pic:blipFill>
                        <pic:spPr bwMode="auto">
                          <a:xfrm>
                            <a:off x="0" y="0"/>
                            <a:ext cx="3034700" cy="7866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E40DB" w:rsidRPr="00150CD2" w14:paraId="61668382" w14:textId="77777777" w:rsidTr="00BB45F4">
        <w:tc>
          <w:tcPr>
            <w:tcW w:w="2193" w:type="pct"/>
            <w:tcBorders>
              <w:top w:val="single" w:sz="4" w:space="0" w:color="A6A6A6" w:themeColor="background1" w:themeShade="A6"/>
              <w:bottom w:val="single" w:sz="4" w:space="0" w:color="A6A6A6" w:themeColor="background1" w:themeShade="A6"/>
              <w:right w:val="nil"/>
            </w:tcBorders>
          </w:tcPr>
          <w:p w14:paraId="3D83DCC6" w14:textId="77777777" w:rsidR="009E40DB" w:rsidRPr="00150CD2" w:rsidRDefault="009E40DB" w:rsidP="00747804">
            <w:pPr>
              <w:autoSpaceDE/>
              <w:autoSpaceDN/>
              <w:adjustRightInd/>
              <w:spacing w:before="20" w:after="20"/>
              <w:rPr>
                <w:rFonts w:cs="Arial"/>
                <w:b/>
                <w:sz w:val="24"/>
                <w:szCs w:val="24"/>
                <w:lang w:val="en-US"/>
              </w:rPr>
            </w:pPr>
            <w:r w:rsidRPr="00150CD2">
              <w:rPr>
                <w:rFonts w:cs="Arial"/>
                <w:b/>
                <w:sz w:val="24"/>
                <w:szCs w:val="24"/>
                <w:lang w:val="en-US"/>
              </w:rPr>
              <w:t>Social connectedness</w:t>
            </w:r>
          </w:p>
          <w:p w14:paraId="2B2277B0" w14:textId="020D99BA" w:rsidR="009E40DB" w:rsidRPr="00150CD2" w:rsidRDefault="009E40DB" w:rsidP="000431DF">
            <w:pPr>
              <w:autoSpaceDE/>
              <w:autoSpaceDN/>
              <w:adjustRightInd/>
              <w:spacing w:before="20" w:after="20"/>
              <w:rPr>
                <w:rFonts w:cs="Arial"/>
                <w:b/>
                <w:sz w:val="24"/>
                <w:szCs w:val="24"/>
                <w:lang w:val="en-US"/>
              </w:rPr>
            </w:pPr>
            <w:r w:rsidRPr="00150CD2">
              <w:rPr>
                <w:rFonts w:cs="Arial"/>
                <w:sz w:val="24"/>
                <w:szCs w:val="24"/>
                <w:lang w:val="en-US"/>
              </w:rPr>
              <w:t>Proportion of adults who said they never or occasionally felt lonely</w:t>
            </w:r>
          </w:p>
        </w:tc>
        <w:tc>
          <w:tcPr>
            <w:tcW w:w="2807" w:type="pct"/>
            <w:gridSpan w:val="3"/>
            <w:tcBorders>
              <w:top w:val="single" w:sz="4" w:space="0" w:color="A6A6A6" w:themeColor="background1" w:themeShade="A6"/>
              <w:left w:val="nil"/>
              <w:bottom w:val="single" w:sz="4" w:space="0" w:color="A6A6A6" w:themeColor="background1" w:themeShade="A6"/>
            </w:tcBorders>
          </w:tcPr>
          <w:p w14:paraId="645664D1" w14:textId="012D6045" w:rsidR="009E40DB" w:rsidRPr="00150CD2" w:rsidRDefault="009E40DB" w:rsidP="00BB45F4">
            <w:pPr>
              <w:autoSpaceDE/>
              <w:autoSpaceDN/>
              <w:adjustRightInd/>
              <w:spacing w:before="20" w:after="20"/>
              <w:rPr>
                <w:rFonts w:cs="Arial"/>
                <w:sz w:val="24"/>
                <w:szCs w:val="24"/>
                <w:lang w:val="en-US"/>
              </w:rPr>
            </w:pPr>
            <w:r w:rsidRPr="00150CD2">
              <w:rPr>
                <w:rFonts w:cs="Arial"/>
                <w:noProof/>
                <w:sz w:val="24"/>
                <w:szCs w:val="24"/>
                <w:lang w:val="en-US"/>
              </w:rPr>
              <w:drawing>
                <wp:inline distT="0" distB="0" distL="0" distR="0" wp14:anchorId="44D2DD81" wp14:editId="540D5746">
                  <wp:extent cx="3009014" cy="760095"/>
                  <wp:effectExtent l="0" t="0" r="1270" b="1905"/>
                  <wp:docPr id="19" name="Picture 19" descr="Social connectedness: A lower proportion of DSS adults said they had never or occasionally felt lonely over the 4 weeks prior to the survey, compared to other adults with impairments. Both DSS and non-DSS adults with impairments were less likely to report never/occasionally feeling lonely than adults without impair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9">
                            <a:extLst>
                              <a:ext uri="{28A0092B-C50C-407E-A947-70E740481C1C}">
                                <a14:useLocalDpi xmlns:a14="http://schemas.microsoft.com/office/drawing/2010/main" val="0"/>
                              </a:ext>
                            </a:extLst>
                          </a:blip>
                          <a:srcRect l="6735" t="16318" r="6567" b="70649"/>
                          <a:stretch/>
                        </pic:blipFill>
                        <pic:spPr bwMode="auto">
                          <a:xfrm>
                            <a:off x="0" y="0"/>
                            <a:ext cx="3012510" cy="760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E40DB" w:rsidRPr="00150CD2" w14:paraId="68548A29" w14:textId="77777777" w:rsidTr="00BB45F4">
        <w:tc>
          <w:tcPr>
            <w:tcW w:w="2193" w:type="pct"/>
            <w:tcBorders>
              <w:top w:val="single" w:sz="4" w:space="0" w:color="A6A6A6" w:themeColor="background1" w:themeShade="A6"/>
              <w:bottom w:val="single" w:sz="4" w:space="0" w:color="A6A6A6" w:themeColor="background1" w:themeShade="A6"/>
              <w:right w:val="nil"/>
            </w:tcBorders>
          </w:tcPr>
          <w:p w14:paraId="0D7277F6" w14:textId="77777777" w:rsidR="009E40DB" w:rsidRPr="00150CD2" w:rsidRDefault="009E40DB" w:rsidP="00747804">
            <w:pPr>
              <w:autoSpaceDE/>
              <w:autoSpaceDN/>
              <w:adjustRightInd/>
              <w:spacing w:before="20" w:after="20"/>
              <w:rPr>
                <w:rFonts w:cs="Arial"/>
                <w:b/>
                <w:sz w:val="24"/>
                <w:szCs w:val="24"/>
                <w:lang w:val="en-US"/>
              </w:rPr>
            </w:pPr>
            <w:r w:rsidRPr="00150CD2">
              <w:rPr>
                <w:rFonts w:cs="Arial"/>
                <w:b/>
                <w:sz w:val="24"/>
                <w:szCs w:val="24"/>
                <w:lang w:val="en-US"/>
              </w:rPr>
              <w:t>Contact with friends</w:t>
            </w:r>
          </w:p>
          <w:p w14:paraId="2C9F404D" w14:textId="0465B973" w:rsidR="009E40DB" w:rsidRPr="00150CD2" w:rsidRDefault="009E40DB" w:rsidP="00747804">
            <w:pPr>
              <w:pStyle w:val="EYTableText"/>
              <w:rPr>
                <w:rFonts w:eastAsiaTheme="minorHAnsi" w:cs="Arial"/>
                <w:b/>
                <w:sz w:val="24"/>
                <w:lang w:val="en-US"/>
              </w:rPr>
            </w:pPr>
            <w:r w:rsidRPr="00150CD2">
              <w:rPr>
                <w:rFonts w:cs="Arial"/>
                <w:sz w:val="24"/>
                <w:lang w:val="en-US"/>
              </w:rPr>
              <w:t>Proportion of adults who had face-to-face contact with friends in the previous four weeks</w:t>
            </w:r>
          </w:p>
        </w:tc>
        <w:tc>
          <w:tcPr>
            <w:tcW w:w="2807" w:type="pct"/>
            <w:gridSpan w:val="3"/>
            <w:tcBorders>
              <w:top w:val="single" w:sz="4" w:space="0" w:color="A6A6A6" w:themeColor="background1" w:themeShade="A6"/>
              <w:left w:val="nil"/>
              <w:bottom w:val="single" w:sz="4" w:space="0" w:color="A6A6A6" w:themeColor="background1" w:themeShade="A6"/>
            </w:tcBorders>
          </w:tcPr>
          <w:p w14:paraId="74728490" w14:textId="2E1D57DC" w:rsidR="009E40DB" w:rsidRPr="00150CD2" w:rsidRDefault="009E40DB" w:rsidP="00BB45F4">
            <w:pPr>
              <w:autoSpaceDE/>
              <w:autoSpaceDN/>
              <w:adjustRightInd/>
              <w:spacing w:before="20" w:after="20"/>
              <w:rPr>
                <w:rFonts w:cs="Arial"/>
                <w:sz w:val="24"/>
                <w:szCs w:val="24"/>
                <w:lang w:val="en-US"/>
              </w:rPr>
            </w:pPr>
            <w:r w:rsidRPr="00150CD2">
              <w:rPr>
                <w:rFonts w:cs="Arial"/>
                <w:noProof/>
                <w:sz w:val="24"/>
                <w:szCs w:val="24"/>
                <w:lang w:val="en-US"/>
              </w:rPr>
              <w:drawing>
                <wp:inline distT="0" distB="0" distL="0" distR="0" wp14:anchorId="36C053A9" wp14:editId="61E5D8E0">
                  <wp:extent cx="3030220" cy="775257"/>
                  <wp:effectExtent l="0" t="0" r="0" b="6350"/>
                  <wp:docPr id="25" name="Picture 25" descr="Contact with friends: A lower proportion of DSS adults had face-to-face contact with friends in the 4 weeks prior to the survey, compared to other adults with impairments. Both DSS and non-DSS adults with impairments were less likely to have had face-to-face contact with friends than adults without impair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9">
                            <a:extLst>
                              <a:ext uri="{28A0092B-C50C-407E-A947-70E740481C1C}">
                                <a14:useLocalDpi xmlns:a14="http://schemas.microsoft.com/office/drawing/2010/main" val="0"/>
                              </a:ext>
                            </a:extLst>
                          </a:blip>
                          <a:srcRect l="6446" t="29681" r="5775" b="56953"/>
                          <a:stretch/>
                        </pic:blipFill>
                        <pic:spPr bwMode="auto">
                          <a:xfrm>
                            <a:off x="0" y="0"/>
                            <a:ext cx="3050076" cy="7803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E40DB" w:rsidRPr="00150CD2" w14:paraId="17E3B0C9" w14:textId="77777777" w:rsidTr="00BB45F4">
        <w:tc>
          <w:tcPr>
            <w:tcW w:w="2193" w:type="pct"/>
            <w:tcBorders>
              <w:top w:val="single" w:sz="4" w:space="0" w:color="A6A6A6" w:themeColor="background1" w:themeShade="A6"/>
              <w:bottom w:val="single" w:sz="4" w:space="0" w:color="A6A6A6" w:themeColor="background1" w:themeShade="A6"/>
              <w:right w:val="nil"/>
            </w:tcBorders>
          </w:tcPr>
          <w:p w14:paraId="22568C68" w14:textId="0CBE8445" w:rsidR="009E40DB" w:rsidRPr="00150CD2" w:rsidRDefault="009E40DB" w:rsidP="00747804">
            <w:pPr>
              <w:autoSpaceDE/>
              <w:autoSpaceDN/>
              <w:adjustRightInd/>
              <w:spacing w:before="20" w:after="20"/>
              <w:rPr>
                <w:rFonts w:cs="Arial"/>
                <w:b/>
                <w:sz w:val="24"/>
                <w:szCs w:val="24"/>
                <w:lang w:val="en-US"/>
              </w:rPr>
            </w:pPr>
            <w:r w:rsidRPr="00150CD2">
              <w:rPr>
                <w:rFonts w:cs="Arial"/>
                <w:b/>
                <w:sz w:val="24"/>
                <w:szCs w:val="24"/>
                <w:lang w:val="en-US"/>
              </w:rPr>
              <w:t>Contact with community</w:t>
            </w:r>
          </w:p>
          <w:p w14:paraId="118929FC" w14:textId="11A9B27B" w:rsidR="009E40DB" w:rsidRPr="00150CD2" w:rsidRDefault="009E40DB" w:rsidP="00747804">
            <w:pPr>
              <w:pStyle w:val="EYTableText"/>
              <w:rPr>
                <w:rFonts w:eastAsiaTheme="minorHAnsi" w:cs="Arial"/>
                <w:bCs/>
                <w:sz w:val="24"/>
                <w:lang w:val="en-US"/>
              </w:rPr>
            </w:pPr>
            <w:r w:rsidRPr="00150CD2">
              <w:rPr>
                <w:rFonts w:cs="Arial"/>
                <w:sz w:val="24"/>
                <w:lang w:val="en-US"/>
              </w:rPr>
              <w:t>Proportion of adults who had been to a café, restaurant or pub in the previous four weeks*</w:t>
            </w:r>
          </w:p>
        </w:tc>
        <w:tc>
          <w:tcPr>
            <w:tcW w:w="2807" w:type="pct"/>
            <w:gridSpan w:val="3"/>
            <w:tcBorders>
              <w:top w:val="single" w:sz="4" w:space="0" w:color="A6A6A6" w:themeColor="background1" w:themeShade="A6"/>
              <w:left w:val="nil"/>
              <w:bottom w:val="single" w:sz="4" w:space="0" w:color="A6A6A6" w:themeColor="background1" w:themeShade="A6"/>
            </w:tcBorders>
          </w:tcPr>
          <w:p w14:paraId="561C5487" w14:textId="67A7A4A0" w:rsidR="009E40DB" w:rsidRPr="00150CD2" w:rsidRDefault="009E40DB" w:rsidP="00BB45F4">
            <w:pPr>
              <w:autoSpaceDE/>
              <w:autoSpaceDN/>
              <w:adjustRightInd/>
              <w:spacing w:before="20" w:after="20"/>
              <w:rPr>
                <w:rFonts w:cs="Arial"/>
                <w:sz w:val="24"/>
                <w:szCs w:val="24"/>
                <w:lang w:val="en-US"/>
              </w:rPr>
            </w:pPr>
            <w:r w:rsidRPr="00150CD2">
              <w:rPr>
                <w:rFonts w:cs="Arial"/>
                <w:noProof/>
                <w:sz w:val="24"/>
                <w:szCs w:val="24"/>
                <w:lang w:val="en-US"/>
              </w:rPr>
              <w:drawing>
                <wp:inline distT="0" distB="0" distL="0" distR="0" wp14:anchorId="256386C3" wp14:editId="376E11D4">
                  <wp:extent cx="3008630" cy="753110"/>
                  <wp:effectExtent l="0" t="0" r="1270" b="8890"/>
                  <wp:docPr id="28" name="Picture 28" descr="Contact with community: A lower proportion of DSS and non-DSS adults with impairments reported being to a café, restaurant or pub in the 4 weeks prior to the survey, compared to adults without impair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9">
                            <a:extLst>
                              <a:ext uri="{28A0092B-C50C-407E-A947-70E740481C1C}">
                                <a14:useLocalDpi xmlns:a14="http://schemas.microsoft.com/office/drawing/2010/main" val="0"/>
                              </a:ext>
                            </a:extLst>
                          </a:blip>
                          <a:srcRect l="6736" t="43485" r="6499" b="43589"/>
                          <a:stretch/>
                        </pic:blipFill>
                        <pic:spPr bwMode="auto">
                          <a:xfrm>
                            <a:off x="0" y="0"/>
                            <a:ext cx="3014870" cy="75467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E40DB" w:rsidRPr="00150CD2" w14:paraId="5D80F410" w14:textId="77777777" w:rsidTr="00BB45F4">
        <w:tc>
          <w:tcPr>
            <w:tcW w:w="2193" w:type="pct"/>
            <w:tcBorders>
              <w:top w:val="single" w:sz="4" w:space="0" w:color="A6A6A6" w:themeColor="background1" w:themeShade="A6"/>
              <w:bottom w:val="single" w:sz="4" w:space="0" w:color="auto"/>
              <w:right w:val="nil"/>
            </w:tcBorders>
            <w:vAlign w:val="center"/>
          </w:tcPr>
          <w:p w14:paraId="22E37FFF" w14:textId="77777777" w:rsidR="009E40DB" w:rsidRPr="00150CD2" w:rsidRDefault="009E40DB" w:rsidP="00747804">
            <w:pPr>
              <w:pStyle w:val="EYTableText"/>
              <w:rPr>
                <w:rFonts w:eastAsiaTheme="minorHAnsi" w:cs="Arial"/>
                <w:b/>
                <w:sz w:val="24"/>
                <w:lang w:val="en-US"/>
              </w:rPr>
            </w:pPr>
            <w:r w:rsidRPr="00150CD2">
              <w:rPr>
                <w:rFonts w:eastAsiaTheme="minorHAnsi" w:cs="Arial"/>
                <w:b/>
                <w:sz w:val="24"/>
                <w:lang w:val="en-US"/>
              </w:rPr>
              <w:t>Support at home</w:t>
            </w:r>
          </w:p>
          <w:p w14:paraId="518A0796" w14:textId="0CB22432" w:rsidR="009E40DB" w:rsidRPr="00150CD2" w:rsidRDefault="009E40DB" w:rsidP="00747804">
            <w:pPr>
              <w:pStyle w:val="EYTableText"/>
              <w:rPr>
                <w:rFonts w:eastAsiaTheme="minorHAnsi" w:cs="Arial"/>
                <w:b/>
                <w:sz w:val="24"/>
                <w:lang w:val="en-US"/>
              </w:rPr>
            </w:pPr>
            <w:r w:rsidRPr="00150CD2">
              <w:rPr>
                <w:rFonts w:eastAsiaTheme="minorHAnsi" w:cs="Arial"/>
                <w:sz w:val="24"/>
                <w:lang w:val="en-US"/>
              </w:rPr>
              <w:t>Proportion of adults with unmet need for help (or additional help) with shopping, preparing meals or housework in the last 12 months</w:t>
            </w:r>
          </w:p>
        </w:tc>
        <w:tc>
          <w:tcPr>
            <w:tcW w:w="2807" w:type="pct"/>
            <w:gridSpan w:val="3"/>
            <w:tcBorders>
              <w:top w:val="single" w:sz="4" w:space="0" w:color="A6A6A6" w:themeColor="background1" w:themeShade="A6"/>
              <w:left w:val="nil"/>
            </w:tcBorders>
          </w:tcPr>
          <w:p w14:paraId="3751F06A" w14:textId="7A6D57E0" w:rsidR="009E40DB" w:rsidRPr="00150CD2" w:rsidRDefault="009E40DB" w:rsidP="00BB45F4">
            <w:pPr>
              <w:autoSpaceDE/>
              <w:autoSpaceDN/>
              <w:adjustRightInd/>
              <w:spacing w:before="20" w:after="20"/>
              <w:rPr>
                <w:rFonts w:cs="Arial"/>
                <w:sz w:val="24"/>
                <w:szCs w:val="24"/>
                <w:lang w:val="en-US"/>
              </w:rPr>
            </w:pPr>
            <w:r w:rsidRPr="00150CD2">
              <w:rPr>
                <w:rFonts w:cs="Arial"/>
                <w:noProof/>
                <w:sz w:val="24"/>
                <w:szCs w:val="24"/>
                <w:lang w:val="en-US"/>
              </w:rPr>
              <w:drawing>
                <wp:inline distT="0" distB="0" distL="0" distR="0" wp14:anchorId="4FD1210A" wp14:editId="668CFDBD">
                  <wp:extent cx="3030220" cy="695230"/>
                  <wp:effectExtent l="0" t="0" r="0" b="0"/>
                  <wp:docPr id="29" name="Picture 29" descr="Support at home: A higher proportion of DSS adults reported unmet need for help (or additional help) with shopping, preparing meals or housework in the 12 months prior to the survey, compared to other adults with impair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9">
                            <a:extLst>
                              <a:ext uri="{28A0092B-C50C-407E-A947-70E740481C1C}">
                                <a14:useLocalDpi xmlns:a14="http://schemas.microsoft.com/office/drawing/2010/main" val="0"/>
                              </a:ext>
                            </a:extLst>
                          </a:blip>
                          <a:srcRect l="7043" t="57511" r="5585" b="30559"/>
                          <a:stretch/>
                        </pic:blipFill>
                        <pic:spPr bwMode="auto">
                          <a:xfrm>
                            <a:off x="0" y="0"/>
                            <a:ext cx="3035960" cy="69654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E4AF5C2" w14:textId="44B8D62A" w:rsidR="006A32F9" w:rsidRPr="00150CD2" w:rsidRDefault="006A32F9" w:rsidP="006A32F9">
      <w:pPr>
        <w:pStyle w:val="EYSource"/>
        <w:rPr>
          <w:rFonts w:cs="Arial"/>
        </w:rPr>
      </w:pPr>
      <w:bookmarkStart w:id="161" w:name="_Hlk45524227"/>
      <w:bookmarkEnd w:id="160"/>
      <w:r w:rsidRPr="00150CD2">
        <w:rPr>
          <w:rFonts w:cs="Arial"/>
        </w:rPr>
        <w:t>* Difference with non-DSS adults with impairments does not appear statistically significant at the 95</w:t>
      </w:r>
      <w:r w:rsidRPr="00150CD2">
        <w:rPr>
          <w:rFonts w:cs="Arial"/>
          <w:vertAlign w:val="superscript"/>
        </w:rPr>
        <w:t>th</w:t>
      </w:r>
      <w:r w:rsidRPr="00150CD2">
        <w:rPr>
          <w:rFonts w:cs="Arial"/>
        </w:rPr>
        <w:t xml:space="preserve"> percentile level. Difference with non-DSS adults without impairments is significant.</w:t>
      </w:r>
    </w:p>
    <w:bookmarkEnd w:id="161"/>
    <w:p w14:paraId="4B277BDF" w14:textId="159E58D4" w:rsidR="000431DF" w:rsidRPr="00150CD2" w:rsidRDefault="000431DF">
      <w:pPr>
        <w:autoSpaceDE/>
        <w:autoSpaceDN/>
        <w:adjustRightInd/>
        <w:rPr>
          <w:rFonts w:cs="Arial"/>
        </w:rPr>
      </w:pPr>
      <w:r w:rsidRPr="00150CD2">
        <w:rPr>
          <w:rFonts w:cs="Arial"/>
        </w:rPr>
        <w:br w:type="page"/>
      </w:r>
    </w:p>
    <w:p w14:paraId="702204CB" w14:textId="391CCD10" w:rsidR="00D96114" w:rsidRPr="00150CD2" w:rsidRDefault="00D96114" w:rsidP="009C2F81">
      <w:pPr>
        <w:pStyle w:val="Caption"/>
        <w:keepNext/>
        <w:rPr>
          <w:rFonts w:cs="Arial"/>
        </w:rPr>
      </w:pPr>
      <w:bookmarkStart w:id="162" w:name="_Ref45402001"/>
      <w:r w:rsidRPr="00150CD2">
        <w:rPr>
          <w:rFonts w:cs="Arial"/>
        </w:rPr>
        <w:t xml:space="preserve">Figure </w:t>
      </w:r>
      <w:r w:rsidRPr="00150CD2">
        <w:rPr>
          <w:rFonts w:cs="Arial"/>
        </w:rPr>
        <w:fldChar w:fldCharType="begin"/>
      </w:r>
      <w:r w:rsidRPr="00150CD2">
        <w:rPr>
          <w:rFonts w:cs="Arial"/>
        </w:rPr>
        <w:instrText xml:space="preserve"> SEQ Figure \* ARABIC </w:instrText>
      </w:r>
      <w:r w:rsidRPr="00150CD2">
        <w:rPr>
          <w:rFonts w:cs="Arial"/>
        </w:rPr>
        <w:fldChar w:fldCharType="separate"/>
      </w:r>
      <w:r w:rsidR="00053D9A" w:rsidRPr="00150CD2">
        <w:rPr>
          <w:rFonts w:cs="Arial"/>
          <w:noProof/>
        </w:rPr>
        <w:t>11</w:t>
      </w:r>
      <w:r w:rsidRPr="00150CD2">
        <w:rPr>
          <w:rFonts w:cs="Arial"/>
        </w:rPr>
        <w:fldChar w:fldCharType="end"/>
      </w:r>
      <w:bookmarkEnd w:id="162"/>
      <w:r w:rsidRPr="00150CD2">
        <w:rPr>
          <w:rFonts w:cs="Arial"/>
        </w:rPr>
        <w:t>: Selected General Social Survey responses for adults ever allocated DSS funding, compared to other adults never allocated DSS funding</w:t>
      </w:r>
    </w:p>
    <w:tbl>
      <w:tblPr>
        <w:tblStyle w:val="TableGrid1"/>
        <w:tblW w:w="5002" w:type="pct"/>
        <w:tblLayout w:type="fixed"/>
        <w:tblCellMar>
          <w:top w:w="58" w:type="dxa"/>
          <w:left w:w="115" w:type="dxa"/>
          <w:bottom w:w="58" w:type="dxa"/>
          <w:right w:w="115" w:type="dxa"/>
        </w:tblCellMar>
        <w:tblLook w:val="04A0" w:firstRow="1" w:lastRow="0" w:firstColumn="1" w:lastColumn="0" w:noHBand="0" w:noVBand="1"/>
        <w:tblCaption w:val="Figure 11 - Selected General Social Survey responses for DSS and non-DSS adults"/>
        <w:tblDescription w:val="Figure 11 chart highlights differences in selected General Social Survey responses for adults ever allocated DSS funding, compared to other adults who have never been allocated DSS funding. &#10;Below is a description of the key differences:&#10;&#10;1. Life worthwhileness: A smaller proportion of DSS adults rated their life worthwhileness (sense of purpose) at 7 or higher out of 10, compared to non-DSS adults. Note that this difference is not statistically significant at the 95th percentaile level as the GSS sample size is relatively small.&#10;&#10;2. Material wellbeing: A smaller proportion of DSS adults reported having enough or more than enough money to meet everyday needs, compared to non-DSS adults."/>
      </w:tblPr>
      <w:tblGrid>
        <w:gridCol w:w="4135"/>
        <w:gridCol w:w="2250"/>
        <w:gridCol w:w="2638"/>
      </w:tblGrid>
      <w:tr w:rsidR="00747804" w:rsidRPr="00150CD2" w14:paraId="1AEFBFB6" w14:textId="77777777" w:rsidTr="000431DF">
        <w:trPr>
          <w:tblHeader/>
        </w:trPr>
        <w:tc>
          <w:tcPr>
            <w:tcW w:w="2291" w:type="pct"/>
            <w:tcBorders>
              <w:bottom w:val="single" w:sz="4" w:space="0" w:color="auto"/>
              <w:right w:val="nil"/>
            </w:tcBorders>
            <w:shd w:val="clear" w:color="auto" w:fill="F2F2F2"/>
          </w:tcPr>
          <w:p w14:paraId="34B09B87" w14:textId="77777777" w:rsidR="00747804" w:rsidRPr="00150CD2" w:rsidRDefault="00747804" w:rsidP="005A46E6">
            <w:pPr>
              <w:autoSpaceDE/>
              <w:autoSpaceDN/>
              <w:adjustRightInd/>
              <w:spacing w:before="60" w:after="60"/>
              <w:rPr>
                <w:rFonts w:cs="Arial"/>
                <w:b/>
                <w:color w:val="808080"/>
                <w:sz w:val="24"/>
                <w:szCs w:val="24"/>
                <w:lang w:val="en-NZ"/>
              </w:rPr>
            </w:pPr>
            <w:bookmarkStart w:id="163" w:name="_Hlk45524234"/>
            <w:r w:rsidRPr="00150CD2">
              <w:rPr>
                <w:rFonts w:cs="Arial"/>
                <w:b/>
                <w:color w:val="808080"/>
                <w:sz w:val="24"/>
                <w:szCs w:val="24"/>
                <w:lang w:val="en-NZ"/>
              </w:rPr>
              <w:t>Wellbeing indicators</w:t>
            </w:r>
          </w:p>
        </w:tc>
        <w:tc>
          <w:tcPr>
            <w:tcW w:w="1247" w:type="pct"/>
            <w:tcBorders>
              <w:left w:val="nil"/>
              <w:right w:val="nil"/>
            </w:tcBorders>
            <w:shd w:val="clear" w:color="auto" w:fill="F2F2F2"/>
          </w:tcPr>
          <w:p w14:paraId="764B46E2" w14:textId="10E7753E" w:rsidR="00747804" w:rsidRPr="00150CD2" w:rsidRDefault="00747804" w:rsidP="005A46E6">
            <w:pPr>
              <w:autoSpaceDE/>
              <w:autoSpaceDN/>
              <w:adjustRightInd/>
              <w:spacing w:before="60" w:after="60"/>
              <w:jc w:val="center"/>
              <w:rPr>
                <w:rFonts w:cs="Arial"/>
                <w:b/>
                <w:color w:val="808080"/>
                <w:sz w:val="24"/>
                <w:szCs w:val="24"/>
                <w:lang w:val="en-NZ"/>
              </w:rPr>
            </w:pPr>
            <w:r w:rsidRPr="00150CD2">
              <w:rPr>
                <w:rFonts w:cs="Arial"/>
                <w:b/>
                <w:color w:val="808080"/>
                <w:sz w:val="24"/>
                <w:szCs w:val="24"/>
                <w:lang w:val="en-NZ"/>
              </w:rPr>
              <w:t xml:space="preserve">DSS </w:t>
            </w:r>
            <w:r w:rsidR="00D96114" w:rsidRPr="00150CD2">
              <w:rPr>
                <w:rFonts w:cs="Arial"/>
                <w:b/>
                <w:color w:val="808080"/>
                <w:sz w:val="24"/>
                <w:szCs w:val="24"/>
                <w:lang w:val="en-NZ"/>
              </w:rPr>
              <w:t>adults</w:t>
            </w:r>
          </w:p>
        </w:tc>
        <w:tc>
          <w:tcPr>
            <w:tcW w:w="1462" w:type="pct"/>
            <w:tcBorders>
              <w:left w:val="nil"/>
            </w:tcBorders>
            <w:shd w:val="clear" w:color="auto" w:fill="F2F2F2"/>
          </w:tcPr>
          <w:p w14:paraId="40EB38D3" w14:textId="1F8A27F7" w:rsidR="00747804" w:rsidRPr="00150CD2" w:rsidRDefault="00747804" w:rsidP="005A46E6">
            <w:pPr>
              <w:autoSpaceDE/>
              <w:autoSpaceDN/>
              <w:adjustRightInd/>
              <w:spacing w:before="60" w:after="60"/>
              <w:jc w:val="center"/>
              <w:rPr>
                <w:rFonts w:cs="Arial"/>
                <w:b/>
                <w:color w:val="808080"/>
                <w:sz w:val="24"/>
                <w:szCs w:val="24"/>
                <w:lang w:val="en-NZ"/>
              </w:rPr>
            </w:pPr>
            <w:r w:rsidRPr="00150CD2">
              <w:rPr>
                <w:rFonts w:cs="Arial"/>
                <w:b/>
                <w:color w:val="808080"/>
                <w:sz w:val="24"/>
                <w:szCs w:val="24"/>
                <w:lang w:val="en-NZ"/>
              </w:rPr>
              <w:t xml:space="preserve">Non-DSS </w:t>
            </w:r>
            <w:r w:rsidR="00D96114" w:rsidRPr="00150CD2">
              <w:rPr>
                <w:rFonts w:cs="Arial"/>
                <w:b/>
                <w:color w:val="808080"/>
                <w:sz w:val="24"/>
                <w:szCs w:val="24"/>
                <w:lang w:val="en-NZ"/>
              </w:rPr>
              <w:t>adults</w:t>
            </w:r>
            <w:r w:rsidRPr="00150CD2">
              <w:rPr>
                <w:rFonts w:cs="Arial"/>
                <w:b/>
                <w:color w:val="808080"/>
                <w:sz w:val="24"/>
                <w:szCs w:val="24"/>
                <w:lang w:val="en-NZ"/>
              </w:rPr>
              <w:t xml:space="preserve"> </w:t>
            </w:r>
            <w:r w:rsidRPr="00150CD2">
              <w:rPr>
                <w:rFonts w:cs="Arial"/>
                <w:b/>
                <w:color w:val="808080"/>
                <w:sz w:val="24"/>
                <w:szCs w:val="24"/>
                <w:lang w:val="en-NZ"/>
              </w:rPr>
              <w:br/>
              <w:t>(with and without impairments)</w:t>
            </w:r>
          </w:p>
        </w:tc>
      </w:tr>
      <w:tr w:rsidR="00747804" w:rsidRPr="00150CD2" w14:paraId="6D06A4C7" w14:textId="77777777" w:rsidTr="00BB45F4">
        <w:tc>
          <w:tcPr>
            <w:tcW w:w="2291" w:type="pct"/>
            <w:tcBorders>
              <w:top w:val="single" w:sz="4" w:space="0" w:color="BFBFBF"/>
              <w:bottom w:val="single" w:sz="4" w:space="0" w:color="A6A6A6" w:themeColor="background1" w:themeShade="A6"/>
              <w:right w:val="nil"/>
            </w:tcBorders>
            <w:vAlign w:val="center"/>
          </w:tcPr>
          <w:p w14:paraId="6ABE1442" w14:textId="1BA6FE07" w:rsidR="00C178FE" w:rsidRPr="00150CD2" w:rsidRDefault="00053D9A" w:rsidP="00C178FE">
            <w:pPr>
              <w:pStyle w:val="EYTableText"/>
              <w:rPr>
                <w:rFonts w:eastAsiaTheme="minorHAnsi" w:cs="Arial"/>
                <w:b/>
                <w:sz w:val="24"/>
                <w:lang w:val="en-US"/>
              </w:rPr>
            </w:pPr>
            <w:r w:rsidRPr="00150CD2">
              <w:rPr>
                <w:rFonts w:eastAsiaTheme="minorHAnsi" w:cs="Arial"/>
                <w:b/>
                <w:sz w:val="24"/>
                <w:lang w:val="en-US"/>
              </w:rPr>
              <w:t>L</w:t>
            </w:r>
            <w:r w:rsidR="00C178FE" w:rsidRPr="00150CD2">
              <w:rPr>
                <w:rFonts w:eastAsiaTheme="minorHAnsi" w:cs="Arial"/>
                <w:b/>
                <w:sz w:val="24"/>
                <w:lang w:val="en-US"/>
              </w:rPr>
              <w:t>ife worthwhileness</w:t>
            </w:r>
          </w:p>
          <w:p w14:paraId="0F719E4C" w14:textId="202150B9" w:rsidR="00747804" w:rsidRPr="00150CD2" w:rsidRDefault="00C178FE" w:rsidP="00C178FE">
            <w:pPr>
              <w:pStyle w:val="EYTableText"/>
              <w:rPr>
                <w:rFonts w:cs="Arial"/>
                <w:sz w:val="24"/>
                <w:lang w:val="en-US"/>
              </w:rPr>
            </w:pPr>
            <w:r w:rsidRPr="00150CD2">
              <w:rPr>
                <w:rFonts w:eastAsiaTheme="minorHAnsi" w:cs="Arial"/>
                <w:sz w:val="24"/>
                <w:lang w:val="en-US"/>
              </w:rPr>
              <w:t xml:space="preserve">Proportion </w:t>
            </w:r>
            <w:r w:rsidR="00F34C13" w:rsidRPr="00150CD2">
              <w:rPr>
                <w:rFonts w:eastAsiaTheme="minorHAnsi" w:cs="Arial"/>
                <w:sz w:val="24"/>
                <w:lang w:val="en-US"/>
              </w:rPr>
              <w:t xml:space="preserve">of adults </w:t>
            </w:r>
            <w:r w:rsidRPr="00150CD2">
              <w:rPr>
                <w:rFonts w:eastAsiaTheme="minorHAnsi" w:cs="Arial"/>
                <w:sz w:val="24"/>
                <w:lang w:val="en-US"/>
              </w:rPr>
              <w:t>who rated the worthwhileness of their life at 7 or higher out of 10</w:t>
            </w:r>
            <w:r w:rsidR="00233D93" w:rsidRPr="00150CD2">
              <w:rPr>
                <w:rFonts w:eastAsiaTheme="minorHAnsi" w:cs="Arial"/>
                <w:sz w:val="24"/>
                <w:lang w:val="en-US"/>
              </w:rPr>
              <w:t xml:space="preserve"> **</w:t>
            </w:r>
          </w:p>
        </w:tc>
        <w:tc>
          <w:tcPr>
            <w:tcW w:w="2709" w:type="pct"/>
            <w:gridSpan w:val="2"/>
            <w:tcBorders>
              <w:left w:val="nil"/>
              <w:bottom w:val="single" w:sz="4" w:space="0" w:color="A6A6A6" w:themeColor="background1" w:themeShade="A6"/>
            </w:tcBorders>
            <w:tcMar>
              <w:top w:w="0" w:type="dxa"/>
            </w:tcMar>
          </w:tcPr>
          <w:p w14:paraId="14D290B8" w14:textId="385E89E0" w:rsidR="00747804" w:rsidRPr="00150CD2" w:rsidRDefault="009E40DB" w:rsidP="00BB45F4">
            <w:pPr>
              <w:autoSpaceDE/>
              <w:autoSpaceDN/>
              <w:adjustRightInd/>
              <w:rPr>
                <w:rFonts w:cs="Arial"/>
                <w:sz w:val="24"/>
                <w:szCs w:val="24"/>
                <w:lang w:val="en-US"/>
              </w:rPr>
            </w:pPr>
            <w:r w:rsidRPr="00150CD2">
              <w:rPr>
                <w:rFonts w:cs="Arial"/>
                <w:noProof/>
                <w:sz w:val="24"/>
                <w:szCs w:val="24"/>
                <w:lang w:val="en-US"/>
              </w:rPr>
              <w:drawing>
                <wp:inline distT="0" distB="0" distL="0" distR="0" wp14:anchorId="1DDC207B" wp14:editId="0C1D942D">
                  <wp:extent cx="2838893" cy="734613"/>
                  <wp:effectExtent l="0" t="0" r="0" b="8890"/>
                  <wp:docPr id="198" name="Picture 198" descr="Life worthwhileness: A smaller proportion of DSS adults rated their life worthwhileness (sense of purpose) at 7 or higher out of 10, compared to non-DSS adults. Note that this difference is not statistically significant at the 95th percentaile level as the GSS sample size is relativel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0">
                            <a:extLst>
                              <a:ext uri="{28A0092B-C50C-407E-A947-70E740481C1C}">
                                <a14:useLocalDpi xmlns:a14="http://schemas.microsoft.com/office/drawing/2010/main" val="0"/>
                              </a:ext>
                            </a:extLst>
                          </a:blip>
                          <a:srcRect t="70948" r="18232" b="16445"/>
                          <a:stretch/>
                        </pic:blipFill>
                        <pic:spPr bwMode="auto">
                          <a:xfrm>
                            <a:off x="0" y="0"/>
                            <a:ext cx="2841194" cy="7352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47804" w:rsidRPr="00150CD2" w14:paraId="59F8CDC0" w14:textId="77777777" w:rsidTr="00BB45F4">
        <w:tc>
          <w:tcPr>
            <w:tcW w:w="2291" w:type="pct"/>
            <w:tcBorders>
              <w:top w:val="single" w:sz="4" w:space="0" w:color="A6A6A6" w:themeColor="background1" w:themeShade="A6"/>
              <w:bottom w:val="single" w:sz="4" w:space="0" w:color="auto"/>
              <w:right w:val="nil"/>
            </w:tcBorders>
          </w:tcPr>
          <w:p w14:paraId="47F7BC5E" w14:textId="77777777" w:rsidR="00747804" w:rsidRPr="00150CD2" w:rsidRDefault="00747804" w:rsidP="00747804">
            <w:pPr>
              <w:autoSpaceDE/>
              <w:autoSpaceDN/>
              <w:adjustRightInd/>
              <w:spacing w:before="20" w:after="20"/>
              <w:rPr>
                <w:rFonts w:cs="Arial"/>
                <w:b/>
                <w:sz w:val="24"/>
                <w:szCs w:val="24"/>
                <w:lang w:val="en-US"/>
              </w:rPr>
            </w:pPr>
            <w:r w:rsidRPr="00150CD2">
              <w:rPr>
                <w:rFonts w:cs="Arial"/>
                <w:b/>
                <w:sz w:val="24"/>
                <w:szCs w:val="24"/>
                <w:lang w:val="en-US"/>
              </w:rPr>
              <w:t>Material wellbeing</w:t>
            </w:r>
          </w:p>
          <w:p w14:paraId="313EF23B" w14:textId="71854AA6" w:rsidR="00747804" w:rsidRPr="00150CD2" w:rsidRDefault="00747804" w:rsidP="00747804">
            <w:pPr>
              <w:pStyle w:val="EYTableText"/>
              <w:rPr>
                <w:rFonts w:cs="Arial"/>
                <w:sz w:val="24"/>
                <w:lang w:val="en-US"/>
              </w:rPr>
            </w:pPr>
            <w:r w:rsidRPr="00150CD2">
              <w:rPr>
                <w:rFonts w:cs="Arial"/>
                <w:sz w:val="24"/>
                <w:lang w:val="en-US"/>
              </w:rPr>
              <w:t xml:space="preserve">Proportion </w:t>
            </w:r>
            <w:r w:rsidR="00F34C13" w:rsidRPr="00150CD2">
              <w:rPr>
                <w:rFonts w:cs="Arial"/>
                <w:sz w:val="24"/>
                <w:lang w:val="en-US"/>
              </w:rPr>
              <w:t xml:space="preserve">of adults and household respondents </w:t>
            </w:r>
            <w:r w:rsidRPr="00150CD2">
              <w:rPr>
                <w:rFonts w:cs="Arial"/>
                <w:sz w:val="24"/>
                <w:lang w:val="en-US"/>
              </w:rPr>
              <w:t>who reported having enough or more than enough money to meet everyday needs</w:t>
            </w:r>
          </w:p>
        </w:tc>
        <w:tc>
          <w:tcPr>
            <w:tcW w:w="2709" w:type="pct"/>
            <w:gridSpan w:val="2"/>
            <w:tcBorders>
              <w:top w:val="single" w:sz="4" w:space="0" w:color="A6A6A6" w:themeColor="background1" w:themeShade="A6"/>
              <w:left w:val="nil"/>
            </w:tcBorders>
          </w:tcPr>
          <w:p w14:paraId="56DF9235" w14:textId="7B6985D0" w:rsidR="00747804" w:rsidRPr="00150CD2" w:rsidRDefault="009E40DB" w:rsidP="00BB45F4">
            <w:pPr>
              <w:autoSpaceDE/>
              <w:autoSpaceDN/>
              <w:adjustRightInd/>
              <w:spacing w:before="20" w:after="20"/>
              <w:rPr>
                <w:rFonts w:cs="Arial"/>
                <w:sz w:val="24"/>
                <w:szCs w:val="24"/>
                <w:lang w:val="en-US"/>
              </w:rPr>
            </w:pPr>
            <w:r w:rsidRPr="00150CD2">
              <w:rPr>
                <w:rFonts w:cs="Arial"/>
                <w:noProof/>
                <w:sz w:val="24"/>
                <w:szCs w:val="24"/>
                <w:lang w:val="en-US"/>
              </w:rPr>
              <w:drawing>
                <wp:inline distT="0" distB="0" distL="0" distR="0" wp14:anchorId="1A3F6803" wp14:editId="42B47043">
                  <wp:extent cx="2817628" cy="751840"/>
                  <wp:effectExtent l="0" t="0" r="1905" b="0"/>
                  <wp:docPr id="30" name="Picture 30" descr="Material wellbeing: A smaller proportion of DSS adults reported having enough or more than enough money to meet everyday needs, compared to non-DSS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0">
                            <a:extLst>
                              <a:ext uri="{28A0092B-C50C-407E-A947-70E740481C1C}">
                                <a14:useLocalDpi xmlns:a14="http://schemas.microsoft.com/office/drawing/2010/main" val="0"/>
                              </a:ext>
                            </a:extLst>
                          </a:blip>
                          <a:srcRect t="84329" r="18875" b="2773"/>
                          <a:stretch/>
                        </pic:blipFill>
                        <pic:spPr bwMode="auto">
                          <a:xfrm>
                            <a:off x="0" y="0"/>
                            <a:ext cx="2818872" cy="75217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E406E33" w14:textId="5C4C8516" w:rsidR="00233D93" w:rsidRPr="00150CD2" w:rsidRDefault="00233D93" w:rsidP="00233D93">
      <w:pPr>
        <w:pStyle w:val="EYSource"/>
        <w:rPr>
          <w:rFonts w:cs="Arial"/>
        </w:rPr>
      </w:pPr>
      <w:bookmarkStart w:id="164" w:name="_Hlk45524239"/>
      <w:bookmarkEnd w:id="163"/>
      <w:r w:rsidRPr="00150CD2">
        <w:rPr>
          <w:rFonts w:cs="Arial"/>
        </w:rPr>
        <w:t>** Difference appears statistically significant at the 90</w:t>
      </w:r>
      <w:r w:rsidRPr="00150CD2">
        <w:rPr>
          <w:rFonts w:cs="Arial"/>
          <w:vertAlign w:val="superscript"/>
        </w:rPr>
        <w:t>th</w:t>
      </w:r>
      <w:r w:rsidRPr="00150CD2">
        <w:rPr>
          <w:rFonts w:cs="Arial"/>
        </w:rPr>
        <w:t xml:space="preserve"> percentile level</w:t>
      </w:r>
      <w:r w:rsidR="006A32F9" w:rsidRPr="00150CD2">
        <w:rPr>
          <w:rFonts w:cs="Arial"/>
        </w:rPr>
        <w:t>, but not the 95</w:t>
      </w:r>
      <w:r w:rsidR="006A32F9" w:rsidRPr="00150CD2">
        <w:rPr>
          <w:rFonts w:cs="Arial"/>
          <w:vertAlign w:val="superscript"/>
        </w:rPr>
        <w:t>th</w:t>
      </w:r>
      <w:r w:rsidR="006A32F9" w:rsidRPr="00150CD2">
        <w:rPr>
          <w:rFonts w:cs="Arial"/>
        </w:rPr>
        <w:t xml:space="preserve"> percentile level.</w:t>
      </w:r>
      <w:bookmarkEnd w:id="164"/>
    </w:p>
    <w:p w14:paraId="32215066" w14:textId="77777777" w:rsidR="00747804" w:rsidRPr="00150CD2" w:rsidRDefault="00747804" w:rsidP="001C744E">
      <w:pPr>
        <w:rPr>
          <w:rFonts w:cs="Arial"/>
        </w:rPr>
      </w:pPr>
    </w:p>
    <w:p w14:paraId="4FC21B34" w14:textId="6506664D" w:rsidR="00283D31" w:rsidRPr="00150CD2" w:rsidRDefault="006A32F9" w:rsidP="001C744E">
      <w:pPr>
        <w:pStyle w:val="EYBodytextwithparaspace"/>
        <w:rPr>
          <w:rFonts w:cs="Arial"/>
        </w:rPr>
      </w:pPr>
      <w:r w:rsidRPr="00150CD2">
        <w:rPr>
          <w:rFonts w:cs="Arial"/>
        </w:rPr>
        <w:t>Further information on survey wellbeing observations is set out below.</w:t>
      </w:r>
    </w:p>
    <w:tbl>
      <w:tblPr>
        <w:tblStyle w:val="TableGrid"/>
        <w:tblW w:w="9072" w:type="dxa"/>
        <w:tblLayout w:type="fixed"/>
        <w:tblCellMar>
          <w:top w:w="58" w:type="dxa"/>
          <w:left w:w="115" w:type="dxa"/>
          <w:bottom w:w="58" w:type="dxa"/>
          <w:right w:w="115" w:type="dxa"/>
        </w:tblCellMar>
        <w:tblLook w:val="04A0" w:firstRow="1" w:lastRow="0" w:firstColumn="1" w:lastColumn="0" w:noHBand="0" w:noVBand="1"/>
      </w:tblPr>
      <w:tblGrid>
        <w:gridCol w:w="1728"/>
        <w:gridCol w:w="1728"/>
        <w:gridCol w:w="5616"/>
      </w:tblGrid>
      <w:tr w:rsidR="00BE6223" w:rsidRPr="00150CD2" w14:paraId="2CCAFEB0" w14:textId="77777777" w:rsidTr="009C2F81">
        <w:trPr>
          <w:tblHeader/>
        </w:trPr>
        <w:tc>
          <w:tcPr>
            <w:tcW w:w="1728" w:type="dxa"/>
            <w:shd w:val="clear" w:color="auto" w:fill="F2F2F2" w:themeFill="background1" w:themeFillShade="F2"/>
          </w:tcPr>
          <w:p w14:paraId="1EE39640" w14:textId="620A85CC" w:rsidR="00BE6223" w:rsidRPr="00150CD2" w:rsidRDefault="00923B44" w:rsidP="00BE6223">
            <w:pPr>
              <w:pStyle w:val="EYTableHeading"/>
              <w:rPr>
                <w:rFonts w:cs="Arial"/>
                <w:sz w:val="24"/>
                <w:lang w:val="en-US"/>
              </w:rPr>
            </w:pPr>
            <w:r w:rsidRPr="00150CD2">
              <w:rPr>
                <w:rFonts w:cs="Arial"/>
                <w:sz w:val="24"/>
              </w:rPr>
              <w:t>Outcome domain</w:t>
            </w:r>
          </w:p>
        </w:tc>
        <w:tc>
          <w:tcPr>
            <w:tcW w:w="1728" w:type="dxa"/>
            <w:shd w:val="clear" w:color="auto" w:fill="F2F2F2" w:themeFill="background1" w:themeFillShade="F2"/>
          </w:tcPr>
          <w:p w14:paraId="1C07D697" w14:textId="39D286E0" w:rsidR="00BE6223" w:rsidRPr="00150CD2" w:rsidRDefault="00BE6223" w:rsidP="00BE6223">
            <w:pPr>
              <w:pStyle w:val="EYTableHeading"/>
              <w:rPr>
                <w:rFonts w:cs="Arial"/>
                <w:sz w:val="24"/>
                <w:lang w:val="en-US"/>
              </w:rPr>
            </w:pPr>
            <w:r w:rsidRPr="00150CD2">
              <w:rPr>
                <w:rFonts w:cs="Arial"/>
                <w:sz w:val="24"/>
              </w:rPr>
              <w:t>Indicators</w:t>
            </w:r>
          </w:p>
        </w:tc>
        <w:tc>
          <w:tcPr>
            <w:tcW w:w="5616" w:type="dxa"/>
            <w:shd w:val="clear" w:color="auto" w:fill="F2F2F2" w:themeFill="background1" w:themeFillShade="F2"/>
          </w:tcPr>
          <w:p w14:paraId="73C02150" w14:textId="566D49E3" w:rsidR="00BE6223" w:rsidRPr="00150CD2" w:rsidRDefault="00BE6223" w:rsidP="00BE6223">
            <w:pPr>
              <w:pStyle w:val="EYTableHeading"/>
              <w:rPr>
                <w:rFonts w:cs="Arial"/>
                <w:sz w:val="24"/>
                <w:lang w:val="en-US"/>
              </w:rPr>
            </w:pPr>
            <w:r w:rsidRPr="00150CD2">
              <w:rPr>
                <w:rFonts w:cs="Arial"/>
                <w:sz w:val="24"/>
              </w:rPr>
              <w:t>Insights for individual and household respondents allocated DSS, compared to other individual and household respondents</w:t>
            </w:r>
          </w:p>
        </w:tc>
      </w:tr>
      <w:tr w:rsidR="00BE6223" w:rsidRPr="00150CD2" w14:paraId="5956843F" w14:textId="77777777" w:rsidTr="00FC0C31">
        <w:tc>
          <w:tcPr>
            <w:tcW w:w="1728" w:type="dxa"/>
            <w:tcBorders>
              <w:bottom w:val="single" w:sz="4" w:space="0" w:color="auto"/>
            </w:tcBorders>
          </w:tcPr>
          <w:p w14:paraId="02996CE6" w14:textId="0F9EFC3F" w:rsidR="00BE6223" w:rsidRPr="00150CD2" w:rsidRDefault="00923B44" w:rsidP="00BE6223">
            <w:pPr>
              <w:pStyle w:val="EYTableText"/>
              <w:rPr>
                <w:rFonts w:cs="Arial"/>
                <w:b/>
                <w:sz w:val="24"/>
                <w:lang w:val="en-US"/>
              </w:rPr>
            </w:pPr>
            <w:r w:rsidRPr="00150CD2">
              <w:rPr>
                <w:rFonts w:cs="Arial"/>
                <w:b/>
                <w:sz w:val="24"/>
                <w:lang w:val="en-US"/>
              </w:rPr>
              <w:t>Safety</w:t>
            </w:r>
          </w:p>
        </w:tc>
        <w:tc>
          <w:tcPr>
            <w:tcW w:w="1728" w:type="dxa"/>
          </w:tcPr>
          <w:p w14:paraId="52F3678E" w14:textId="27EB729D" w:rsidR="00BE6223" w:rsidRPr="00150CD2" w:rsidRDefault="003408B5" w:rsidP="00BE6223">
            <w:pPr>
              <w:pStyle w:val="EYTableText"/>
              <w:rPr>
                <w:rFonts w:cs="Arial"/>
                <w:sz w:val="24"/>
                <w:lang w:val="en-US"/>
              </w:rPr>
            </w:pPr>
            <w:r w:rsidRPr="00150CD2">
              <w:rPr>
                <w:rFonts w:cs="Arial"/>
                <w:sz w:val="24"/>
                <w:lang w:val="en-US"/>
              </w:rPr>
              <w:t>Self-reported</w:t>
            </w:r>
            <w:r w:rsidR="00BE6223" w:rsidRPr="00150CD2">
              <w:rPr>
                <w:rFonts w:cs="Arial"/>
                <w:sz w:val="24"/>
                <w:lang w:val="en-US"/>
              </w:rPr>
              <w:t xml:space="preserve"> feelings of safety</w:t>
            </w:r>
          </w:p>
        </w:tc>
        <w:tc>
          <w:tcPr>
            <w:tcW w:w="5616" w:type="dxa"/>
          </w:tcPr>
          <w:p w14:paraId="132DED37" w14:textId="454D33DB" w:rsidR="00482D9B" w:rsidRPr="00150CD2" w:rsidRDefault="00482D9B" w:rsidP="00BE6223">
            <w:pPr>
              <w:pStyle w:val="EYTableText"/>
              <w:rPr>
                <w:rFonts w:cs="Arial"/>
                <w:sz w:val="24"/>
                <w:lang w:val="en-US"/>
              </w:rPr>
            </w:pPr>
            <w:r w:rsidRPr="00150CD2">
              <w:rPr>
                <w:rFonts w:cs="Arial"/>
                <w:b/>
                <w:sz w:val="24"/>
                <w:lang w:val="en-US"/>
              </w:rPr>
              <w:t xml:space="preserve">The majority of adult DSS client survey respondents reported feeling safe in their home by themselves, however less than half felt safe out in their </w:t>
            </w:r>
            <w:r w:rsidRPr="00150CD2">
              <w:rPr>
                <w:rFonts w:cs="Arial"/>
                <w:b/>
                <w:sz w:val="24"/>
              </w:rPr>
              <w:t>neighbourhood</w:t>
            </w:r>
            <w:r w:rsidRPr="00150CD2">
              <w:rPr>
                <w:rFonts w:cs="Arial"/>
                <w:b/>
                <w:sz w:val="24"/>
                <w:lang w:val="en-US"/>
              </w:rPr>
              <w:t xml:space="preserve"> after dark.</w:t>
            </w:r>
            <w:r w:rsidRPr="00150CD2">
              <w:rPr>
                <w:rFonts w:cs="Arial"/>
                <w:sz w:val="24"/>
                <w:lang w:val="en-US"/>
              </w:rPr>
              <w:t xml:space="preserve"> Compared to non-DSS respondents</w:t>
            </w:r>
            <w:r w:rsidR="006E67B9" w:rsidRPr="00150CD2">
              <w:rPr>
                <w:rFonts w:cs="Arial"/>
                <w:sz w:val="24"/>
                <w:lang w:val="en-US"/>
              </w:rPr>
              <w:t xml:space="preserve"> without impairments</w:t>
            </w:r>
            <w:r w:rsidRPr="00150CD2">
              <w:rPr>
                <w:rFonts w:cs="Arial"/>
                <w:sz w:val="24"/>
                <w:lang w:val="en-US"/>
              </w:rPr>
              <w:t xml:space="preserve">, DSS clients were more likely to report feeling unsafe/very unsafe </w:t>
            </w:r>
            <w:r w:rsidR="006E67B9" w:rsidRPr="00150CD2">
              <w:rPr>
                <w:rFonts w:cs="Arial"/>
                <w:sz w:val="24"/>
                <w:lang w:val="en-US"/>
              </w:rPr>
              <w:t xml:space="preserve">at night </w:t>
            </w:r>
            <w:r w:rsidRPr="00150CD2">
              <w:rPr>
                <w:rFonts w:cs="Arial"/>
                <w:sz w:val="24"/>
                <w:lang w:val="en-US"/>
              </w:rPr>
              <w:t xml:space="preserve">or never being at home / out in their </w:t>
            </w:r>
            <w:r w:rsidRPr="00150CD2">
              <w:rPr>
                <w:rFonts w:cs="Arial"/>
                <w:sz w:val="24"/>
                <w:lang w:val="en-NZ"/>
              </w:rPr>
              <w:t>neighbourhood</w:t>
            </w:r>
            <w:r w:rsidRPr="00150CD2">
              <w:rPr>
                <w:rFonts w:cs="Arial"/>
                <w:sz w:val="24"/>
                <w:lang w:val="en-US"/>
              </w:rPr>
              <w:t xml:space="preserve"> by themselves.</w:t>
            </w:r>
          </w:p>
          <w:p w14:paraId="43C3A411" w14:textId="2128A362" w:rsidR="006E67B9" w:rsidRPr="00150CD2" w:rsidRDefault="006E67B9" w:rsidP="00BE6223">
            <w:pPr>
              <w:pStyle w:val="EYTableText"/>
              <w:rPr>
                <w:rFonts w:cs="Arial"/>
                <w:b/>
                <w:bCs/>
                <w:sz w:val="24"/>
                <w:lang w:val="en-US"/>
              </w:rPr>
            </w:pPr>
            <w:r w:rsidRPr="00150CD2">
              <w:rPr>
                <w:rFonts w:cs="Arial"/>
                <w:b/>
                <w:bCs/>
                <w:sz w:val="24"/>
                <w:lang w:val="en-US"/>
              </w:rPr>
              <w:t>General Social Survey:</w:t>
            </w:r>
          </w:p>
          <w:p w14:paraId="5ED88EAC" w14:textId="546CA909" w:rsidR="00BE6223" w:rsidRPr="00150CD2" w:rsidRDefault="00657AE7" w:rsidP="00A64F72">
            <w:pPr>
              <w:pStyle w:val="EYTablebullet1"/>
              <w:rPr>
                <w:rFonts w:cs="Arial"/>
                <w:sz w:val="24"/>
                <w:lang w:val="en-US"/>
              </w:rPr>
            </w:pPr>
            <w:r w:rsidRPr="00150CD2">
              <w:rPr>
                <w:rFonts w:cs="Arial"/>
                <w:sz w:val="24"/>
                <w:lang w:val="en-US"/>
              </w:rPr>
              <w:t>69</w:t>
            </w:r>
            <w:r w:rsidR="00BE6223" w:rsidRPr="00150CD2">
              <w:rPr>
                <w:rFonts w:cs="Arial"/>
                <w:sz w:val="24"/>
                <w:lang w:val="en-US"/>
              </w:rPr>
              <w:t xml:space="preserve">% of adult DSS respondents reported feeling safe in their home by themselves, and </w:t>
            </w:r>
            <w:r w:rsidRPr="00150CD2">
              <w:rPr>
                <w:rFonts w:cs="Arial"/>
                <w:sz w:val="24"/>
                <w:lang w:val="en-US"/>
              </w:rPr>
              <w:t>38</w:t>
            </w:r>
            <w:r w:rsidR="00BE6223" w:rsidRPr="00150CD2">
              <w:rPr>
                <w:rFonts w:cs="Arial"/>
                <w:sz w:val="24"/>
                <w:lang w:val="en-US"/>
              </w:rPr>
              <w:t xml:space="preserve">% reported feeling safe walking through their </w:t>
            </w:r>
            <w:r w:rsidR="00BE6223" w:rsidRPr="00150CD2">
              <w:rPr>
                <w:rFonts w:cs="Arial"/>
                <w:sz w:val="24"/>
              </w:rPr>
              <w:t>neighbourhood</w:t>
            </w:r>
            <w:r w:rsidR="00BE6223" w:rsidRPr="00150CD2">
              <w:rPr>
                <w:rFonts w:cs="Arial"/>
                <w:sz w:val="24"/>
                <w:lang w:val="en-US"/>
              </w:rPr>
              <w:t xml:space="preserve">. </w:t>
            </w:r>
            <w:r w:rsidR="00482D9B" w:rsidRPr="00150CD2">
              <w:rPr>
                <w:rFonts w:cs="Arial"/>
                <w:sz w:val="24"/>
                <w:lang w:val="en-US"/>
              </w:rPr>
              <w:br/>
            </w:r>
            <w:r w:rsidR="00BE6223" w:rsidRPr="00150CD2">
              <w:rPr>
                <w:rFonts w:cs="Arial"/>
                <w:sz w:val="24"/>
                <w:lang w:val="en-US"/>
              </w:rPr>
              <w:t xml:space="preserve">These </w:t>
            </w:r>
            <w:r w:rsidRPr="00150CD2">
              <w:rPr>
                <w:rFonts w:cs="Arial"/>
                <w:sz w:val="24"/>
                <w:lang w:val="en-US"/>
              </w:rPr>
              <w:t xml:space="preserve">proportions </w:t>
            </w:r>
            <w:r w:rsidR="00BE6223" w:rsidRPr="00150CD2">
              <w:rPr>
                <w:rFonts w:cs="Arial"/>
                <w:sz w:val="24"/>
                <w:lang w:val="en-US"/>
              </w:rPr>
              <w:t xml:space="preserve">were </w:t>
            </w:r>
            <w:r w:rsidRPr="00150CD2">
              <w:rPr>
                <w:rFonts w:cs="Arial"/>
                <w:sz w:val="24"/>
                <w:lang w:val="en-US"/>
              </w:rPr>
              <w:t>lower</w:t>
            </w:r>
            <w:r w:rsidR="00BE6223" w:rsidRPr="00150CD2">
              <w:rPr>
                <w:rFonts w:cs="Arial"/>
                <w:sz w:val="24"/>
                <w:lang w:val="en-US"/>
              </w:rPr>
              <w:t xml:space="preserve"> than for </w:t>
            </w:r>
            <w:r w:rsidR="00482D9B" w:rsidRPr="00150CD2">
              <w:rPr>
                <w:rFonts w:cs="Arial"/>
                <w:sz w:val="24"/>
                <w:lang w:val="en-US"/>
              </w:rPr>
              <w:t xml:space="preserve">other adult respondents </w:t>
            </w:r>
            <w:r w:rsidR="00BE6223" w:rsidRPr="00150CD2">
              <w:rPr>
                <w:rFonts w:cs="Arial"/>
                <w:sz w:val="24"/>
                <w:lang w:val="en-US"/>
              </w:rPr>
              <w:t>(</w:t>
            </w:r>
            <w:r w:rsidR="004D4FDA" w:rsidRPr="00150CD2">
              <w:rPr>
                <w:rFonts w:cs="Arial"/>
                <w:sz w:val="24"/>
                <w:lang w:val="en-US"/>
              </w:rPr>
              <w:t>85% felt safe at home and 57% reported feeling safe in their neighbourhood</w:t>
            </w:r>
            <w:r w:rsidR="008E1E12" w:rsidRPr="00150CD2">
              <w:rPr>
                <w:rFonts w:cs="Arial"/>
                <w:sz w:val="24"/>
                <w:lang w:val="en-US"/>
              </w:rPr>
              <w:t xml:space="preserve"> after dark</w:t>
            </w:r>
            <w:r w:rsidR="00BE6223" w:rsidRPr="00150CD2">
              <w:rPr>
                <w:rFonts w:cs="Arial"/>
                <w:sz w:val="24"/>
                <w:lang w:val="en-US"/>
              </w:rPr>
              <w:t xml:space="preserve">). </w:t>
            </w:r>
          </w:p>
          <w:p w14:paraId="79F5FB71" w14:textId="5E1250D6" w:rsidR="006E67B9" w:rsidRPr="00150CD2" w:rsidRDefault="006E67B9" w:rsidP="006E67B9">
            <w:pPr>
              <w:pStyle w:val="EYTableText"/>
              <w:rPr>
                <w:rFonts w:cs="Arial"/>
                <w:b/>
                <w:bCs/>
                <w:sz w:val="24"/>
                <w:lang w:val="en-US"/>
              </w:rPr>
            </w:pPr>
            <w:r w:rsidRPr="00150CD2">
              <w:rPr>
                <w:rFonts w:cs="Arial"/>
                <w:b/>
                <w:bCs/>
                <w:sz w:val="24"/>
                <w:lang w:val="en-US"/>
              </w:rPr>
              <w:t>Disability Survey:</w:t>
            </w:r>
          </w:p>
          <w:p w14:paraId="52E834E4" w14:textId="20A9C0B4" w:rsidR="006E67B9" w:rsidRPr="00150CD2" w:rsidRDefault="00657AE7" w:rsidP="00482D9B">
            <w:pPr>
              <w:pStyle w:val="EYTablebullet1"/>
              <w:rPr>
                <w:rFonts w:cs="Arial"/>
                <w:sz w:val="24"/>
                <w:lang w:val="en-US"/>
              </w:rPr>
            </w:pPr>
            <w:r w:rsidRPr="00150CD2">
              <w:rPr>
                <w:rFonts w:cs="Arial"/>
                <w:sz w:val="24"/>
                <w:lang w:val="en-US"/>
              </w:rPr>
              <w:t>90</w:t>
            </w:r>
            <w:r w:rsidR="004D4FDA" w:rsidRPr="00150CD2">
              <w:rPr>
                <w:rFonts w:cs="Arial"/>
                <w:sz w:val="24"/>
                <w:lang w:val="en-US"/>
              </w:rPr>
              <w:t xml:space="preserve">% of adult DSS respondents reported feeling safe in their home by themselves after dark, and </w:t>
            </w:r>
            <w:r w:rsidRPr="00150CD2">
              <w:rPr>
                <w:rFonts w:cs="Arial"/>
                <w:sz w:val="24"/>
                <w:lang w:val="en-US"/>
              </w:rPr>
              <w:t>44</w:t>
            </w:r>
            <w:r w:rsidR="004D4FDA" w:rsidRPr="00150CD2">
              <w:rPr>
                <w:rFonts w:cs="Arial"/>
                <w:sz w:val="24"/>
                <w:lang w:val="en-US"/>
              </w:rPr>
              <w:t>% reported feeling safe when out in their neighbourhood by themselves after dark. (</w:t>
            </w:r>
            <w:r w:rsidRPr="00150CD2">
              <w:rPr>
                <w:rFonts w:cs="Arial"/>
                <w:sz w:val="24"/>
                <w:lang w:val="en-US"/>
              </w:rPr>
              <w:t>33</w:t>
            </w:r>
            <w:r w:rsidR="004D4FDA" w:rsidRPr="00150CD2">
              <w:rPr>
                <w:rFonts w:cs="Arial"/>
                <w:sz w:val="24"/>
                <w:lang w:val="en-US"/>
              </w:rPr>
              <w:t xml:space="preserve">% said they were never out in their neighbourhood by themselves, a response more </w:t>
            </w:r>
            <w:r w:rsidR="00482D9B" w:rsidRPr="00150CD2">
              <w:rPr>
                <w:rFonts w:cs="Arial"/>
                <w:sz w:val="24"/>
                <w:lang w:val="en-US"/>
              </w:rPr>
              <w:t>frequent</w:t>
            </w:r>
            <w:r w:rsidR="004D4FDA" w:rsidRPr="00150CD2">
              <w:rPr>
                <w:rFonts w:cs="Arial"/>
                <w:sz w:val="24"/>
                <w:lang w:val="en-US"/>
              </w:rPr>
              <w:t xml:space="preserve"> for those with intellectual and non-physical disabilities)</w:t>
            </w:r>
            <w:r w:rsidR="00482D9B" w:rsidRPr="00150CD2">
              <w:rPr>
                <w:rFonts w:cs="Arial"/>
                <w:sz w:val="24"/>
                <w:lang w:val="en-US"/>
              </w:rPr>
              <w:t>.</w:t>
            </w:r>
          </w:p>
          <w:p w14:paraId="038D287A" w14:textId="7064709B" w:rsidR="004D4FDA" w:rsidRPr="00150CD2" w:rsidRDefault="006E67B9" w:rsidP="00482D9B">
            <w:pPr>
              <w:pStyle w:val="EYTablebullet1"/>
              <w:rPr>
                <w:rFonts w:cs="Arial"/>
                <w:sz w:val="24"/>
                <w:lang w:val="en-US"/>
              </w:rPr>
            </w:pPr>
            <w:r w:rsidRPr="00150CD2">
              <w:rPr>
                <w:rFonts w:cs="Arial"/>
                <w:sz w:val="24"/>
                <w:lang w:val="en-US"/>
              </w:rPr>
              <w:t xml:space="preserve">These proportions were lower than for </w:t>
            </w:r>
            <w:r w:rsidR="00482D9B" w:rsidRPr="00150CD2">
              <w:rPr>
                <w:rFonts w:cs="Arial"/>
                <w:sz w:val="24"/>
                <w:lang w:val="en-US"/>
              </w:rPr>
              <w:t>non-DSS respondents</w:t>
            </w:r>
            <w:r w:rsidR="00657AE7" w:rsidRPr="00150CD2">
              <w:rPr>
                <w:rFonts w:cs="Arial"/>
                <w:sz w:val="24"/>
                <w:lang w:val="en-US"/>
              </w:rPr>
              <w:t xml:space="preserve"> without impairments</w:t>
            </w:r>
            <w:r w:rsidR="00482D9B" w:rsidRPr="00150CD2">
              <w:rPr>
                <w:rFonts w:cs="Arial"/>
                <w:sz w:val="24"/>
                <w:lang w:val="en-US"/>
              </w:rPr>
              <w:t xml:space="preserve">, </w:t>
            </w:r>
            <w:r w:rsidRPr="00150CD2">
              <w:rPr>
                <w:rFonts w:cs="Arial"/>
                <w:sz w:val="24"/>
                <w:lang w:val="en-US"/>
              </w:rPr>
              <w:t xml:space="preserve">where </w:t>
            </w:r>
            <w:r w:rsidR="00657AE7" w:rsidRPr="00150CD2">
              <w:rPr>
                <w:rFonts w:cs="Arial"/>
                <w:sz w:val="24"/>
                <w:lang w:val="en-US"/>
              </w:rPr>
              <w:t>96</w:t>
            </w:r>
            <w:r w:rsidR="00482D9B" w:rsidRPr="00150CD2">
              <w:rPr>
                <w:rFonts w:cs="Arial"/>
                <w:sz w:val="24"/>
                <w:lang w:val="en-US"/>
              </w:rPr>
              <w:t xml:space="preserve">% felt safe at home after dark and </w:t>
            </w:r>
            <w:r w:rsidR="00657AE7" w:rsidRPr="00150CD2">
              <w:rPr>
                <w:rFonts w:cs="Arial"/>
                <w:sz w:val="24"/>
                <w:lang w:val="en-US"/>
              </w:rPr>
              <w:t>79</w:t>
            </w:r>
            <w:r w:rsidR="00482D9B" w:rsidRPr="00150CD2">
              <w:rPr>
                <w:rFonts w:cs="Arial"/>
                <w:sz w:val="24"/>
                <w:lang w:val="en-US"/>
              </w:rPr>
              <w:t>% felt safe in their neighbourhood after dark.</w:t>
            </w:r>
          </w:p>
        </w:tc>
      </w:tr>
      <w:tr w:rsidR="00D51E24" w:rsidRPr="00150CD2" w14:paraId="1BD707F8" w14:textId="77777777" w:rsidTr="00FC0C31">
        <w:tc>
          <w:tcPr>
            <w:tcW w:w="1728" w:type="dxa"/>
            <w:tcBorders>
              <w:bottom w:val="nil"/>
            </w:tcBorders>
          </w:tcPr>
          <w:p w14:paraId="671C3A01" w14:textId="4437E7B8" w:rsidR="00D51E24" w:rsidRPr="00150CD2" w:rsidRDefault="00D51E24" w:rsidP="00BE6223">
            <w:pPr>
              <w:pStyle w:val="EYTableText"/>
              <w:rPr>
                <w:rFonts w:cs="Arial"/>
                <w:b/>
                <w:sz w:val="24"/>
                <w:lang w:val="en-US"/>
              </w:rPr>
            </w:pPr>
            <w:r w:rsidRPr="00150CD2">
              <w:rPr>
                <w:rFonts w:cs="Arial"/>
                <w:b/>
                <w:sz w:val="24"/>
                <w:lang w:val="en-US"/>
              </w:rPr>
              <w:t>Happy and well</w:t>
            </w:r>
          </w:p>
        </w:tc>
        <w:tc>
          <w:tcPr>
            <w:tcW w:w="1728" w:type="dxa"/>
          </w:tcPr>
          <w:p w14:paraId="3C9511F8" w14:textId="2FC16625" w:rsidR="00D51E24" w:rsidRPr="00150CD2" w:rsidRDefault="00D51E24" w:rsidP="00BE6223">
            <w:pPr>
              <w:pStyle w:val="EYTableText"/>
              <w:rPr>
                <w:rFonts w:cs="Arial"/>
                <w:sz w:val="24"/>
                <w:lang w:val="en-US"/>
              </w:rPr>
            </w:pPr>
            <w:r w:rsidRPr="00150CD2">
              <w:rPr>
                <w:rFonts w:cs="Arial"/>
                <w:sz w:val="24"/>
                <w:lang w:val="en-US"/>
              </w:rPr>
              <w:t>Life satisfaction</w:t>
            </w:r>
          </w:p>
          <w:p w14:paraId="40EA1F64" w14:textId="3DDF2D09" w:rsidR="00D51E24" w:rsidRPr="00150CD2" w:rsidRDefault="00D51E24" w:rsidP="00BE6223">
            <w:pPr>
              <w:pStyle w:val="EYTableText"/>
              <w:rPr>
                <w:rFonts w:cs="Arial"/>
                <w:sz w:val="24"/>
                <w:lang w:val="en-US"/>
              </w:rPr>
            </w:pPr>
            <w:r w:rsidRPr="00150CD2">
              <w:rPr>
                <w:rFonts w:cs="Arial"/>
                <w:sz w:val="24"/>
                <w:lang w:val="en-US"/>
              </w:rPr>
              <w:t>Life worthwhile</w:t>
            </w:r>
          </w:p>
        </w:tc>
        <w:tc>
          <w:tcPr>
            <w:tcW w:w="5616" w:type="dxa"/>
          </w:tcPr>
          <w:p w14:paraId="55D8B706" w14:textId="5840ED35" w:rsidR="00A12A43" w:rsidRPr="00150CD2" w:rsidRDefault="00D51E24" w:rsidP="00BE6223">
            <w:pPr>
              <w:pStyle w:val="EYTableText"/>
              <w:rPr>
                <w:rFonts w:cs="Arial"/>
                <w:b/>
                <w:sz w:val="24"/>
                <w:lang w:val="en-US"/>
              </w:rPr>
            </w:pPr>
            <w:r w:rsidRPr="00150CD2">
              <w:rPr>
                <w:rFonts w:cs="Arial"/>
                <w:b/>
                <w:sz w:val="24"/>
                <w:lang w:val="en-US"/>
              </w:rPr>
              <w:t xml:space="preserve">The majority of adult DSS survey respondents reported moderate to high levels of life satisfaction and life worthwhileness. However, overall life satisfaction responses were lower than those of the </w:t>
            </w:r>
            <w:r w:rsidR="00A12A43" w:rsidRPr="00150CD2">
              <w:rPr>
                <w:rFonts w:cs="Arial"/>
                <w:b/>
                <w:sz w:val="24"/>
                <w:lang w:val="en-US"/>
              </w:rPr>
              <w:t xml:space="preserve">non-DSS </w:t>
            </w:r>
            <w:r w:rsidRPr="00150CD2">
              <w:rPr>
                <w:rFonts w:cs="Arial"/>
                <w:b/>
                <w:sz w:val="24"/>
                <w:lang w:val="en-US"/>
              </w:rPr>
              <w:t xml:space="preserve">population. </w:t>
            </w:r>
          </w:p>
          <w:p w14:paraId="7CC7D36B" w14:textId="2B726B24" w:rsidR="00D51E24" w:rsidRPr="00150CD2" w:rsidRDefault="00D51E24" w:rsidP="00BE6223">
            <w:pPr>
              <w:pStyle w:val="EYTableText"/>
              <w:rPr>
                <w:rFonts w:cs="Arial"/>
                <w:sz w:val="24"/>
                <w:lang w:val="en-US"/>
              </w:rPr>
            </w:pPr>
            <w:r w:rsidRPr="00150CD2">
              <w:rPr>
                <w:rFonts w:cs="Arial"/>
                <w:sz w:val="24"/>
                <w:lang w:val="en-US"/>
              </w:rPr>
              <w:t xml:space="preserve">Self-reported life satisfaction </w:t>
            </w:r>
            <w:r w:rsidR="00A12A43" w:rsidRPr="00150CD2">
              <w:rPr>
                <w:rFonts w:cs="Arial"/>
                <w:sz w:val="24"/>
                <w:lang w:val="en-US"/>
              </w:rPr>
              <w:t xml:space="preserve">for DSS respondents in the Disability Survey </w:t>
            </w:r>
            <w:r w:rsidRPr="00150CD2">
              <w:rPr>
                <w:rFonts w:cs="Arial"/>
                <w:sz w:val="24"/>
                <w:lang w:val="en-US"/>
              </w:rPr>
              <w:t>was higher for respondents with intellectual disability and lower for those with physical disability, and higher for those with lower SPA need levels.</w:t>
            </w:r>
          </w:p>
          <w:p w14:paraId="5F8517FF" w14:textId="77777777" w:rsidR="00BA2FA8" w:rsidRPr="00150CD2" w:rsidRDefault="00BA2FA8" w:rsidP="00BE6223">
            <w:pPr>
              <w:pStyle w:val="EYTableText"/>
              <w:rPr>
                <w:rFonts w:cs="Arial"/>
                <w:sz w:val="24"/>
                <w:lang w:val="en-US"/>
              </w:rPr>
            </w:pPr>
          </w:p>
          <w:p w14:paraId="77E69854" w14:textId="4DD8F0AE" w:rsidR="00D51E24" w:rsidRPr="00150CD2" w:rsidRDefault="00D51E24" w:rsidP="00BE6223">
            <w:pPr>
              <w:pStyle w:val="EYTableText"/>
              <w:rPr>
                <w:rFonts w:cs="Arial"/>
                <w:b/>
                <w:sz w:val="24"/>
                <w:lang w:val="en-US"/>
              </w:rPr>
            </w:pPr>
            <w:r w:rsidRPr="00150CD2">
              <w:rPr>
                <w:rFonts w:cs="Arial"/>
                <w:b/>
                <w:sz w:val="24"/>
                <w:lang w:val="en-US"/>
              </w:rPr>
              <w:t>G</w:t>
            </w:r>
            <w:r w:rsidR="00657AE7" w:rsidRPr="00150CD2">
              <w:rPr>
                <w:rFonts w:cs="Arial"/>
                <w:b/>
                <w:sz w:val="24"/>
                <w:lang w:val="en-US"/>
              </w:rPr>
              <w:t>eneral Social Survey</w:t>
            </w:r>
            <w:r w:rsidRPr="00150CD2">
              <w:rPr>
                <w:rFonts w:cs="Arial"/>
                <w:b/>
                <w:sz w:val="24"/>
                <w:lang w:val="en-US"/>
              </w:rPr>
              <w:t>:</w:t>
            </w:r>
          </w:p>
          <w:p w14:paraId="04802F17" w14:textId="169628AB" w:rsidR="00D51E24" w:rsidRPr="00150CD2" w:rsidRDefault="00D51E24" w:rsidP="008A51FC">
            <w:pPr>
              <w:pStyle w:val="EYTablebullet1"/>
              <w:rPr>
                <w:rFonts w:cs="Arial"/>
                <w:sz w:val="24"/>
                <w:lang w:val="en-US"/>
              </w:rPr>
            </w:pPr>
            <w:r w:rsidRPr="00150CD2">
              <w:rPr>
                <w:rFonts w:cs="Arial"/>
                <w:sz w:val="24"/>
                <w:lang w:val="en-US"/>
              </w:rPr>
              <w:t>For adult DSS respondents, 7</w:t>
            </w:r>
            <w:r w:rsidR="0036625F" w:rsidRPr="00150CD2">
              <w:rPr>
                <w:rFonts w:cs="Arial"/>
                <w:sz w:val="24"/>
                <w:lang w:val="en-US"/>
              </w:rPr>
              <w:t>4</w:t>
            </w:r>
            <w:r w:rsidRPr="00150CD2">
              <w:rPr>
                <w:rFonts w:cs="Arial"/>
                <w:sz w:val="24"/>
                <w:lang w:val="en-US"/>
              </w:rPr>
              <w:t xml:space="preserve">% rated their life satisfaction at 6 or higher (out of 10), compared with 88% of non-DSS respondents. </w:t>
            </w:r>
          </w:p>
          <w:p w14:paraId="3BB9B17D" w14:textId="5A14A781" w:rsidR="00D51E24" w:rsidRPr="00150CD2" w:rsidRDefault="0036625F" w:rsidP="00BE6223">
            <w:pPr>
              <w:pStyle w:val="EYTablebullet1"/>
              <w:rPr>
                <w:rFonts w:cs="Arial"/>
                <w:sz w:val="24"/>
                <w:lang w:val="en-US"/>
              </w:rPr>
            </w:pPr>
            <w:r w:rsidRPr="00150CD2">
              <w:rPr>
                <w:rFonts w:cs="Arial"/>
                <w:sz w:val="24"/>
                <w:lang w:val="en-US"/>
              </w:rPr>
              <w:t>74</w:t>
            </w:r>
            <w:r w:rsidR="00D51E24" w:rsidRPr="00150CD2">
              <w:rPr>
                <w:rFonts w:cs="Arial"/>
                <w:sz w:val="24"/>
                <w:lang w:val="en-US"/>
              </w:rPr>
              <w:t>% of adult DSS respondents rated the worthwhileness of their life as 7 or higher out of 10</w:t>
            </w:r>
            <w:r w:rsidRPr="00150CD2">
              <w:rPr>
                <w:rFonts w:cs="Arial"/>
                <w:sz w:val="24"/>
                <w:lang w:val="en-US"/>
              </w:rPr>
              <w:t>.</w:t>
            </w:r>
            <w:r w:rsidR="00D51E24" w:rsidRPr="00150CD2">
              <w:rPr>
                <w:rFonts w:cs="Arial"/>
                <w:sz w:val="24"/>
                <w:lang w:val="en-US"/>
              </w:rPr>
              <w:t xml:space="preserve"> For the non-DSS adult </w:t>
            </w:r>
            <w:r w:rsidRPr="00150CD2">
              <w:rPr>
                <w:rFonts w:cs="Arial"/>
                <w:sz w:val="24"/>
                <w:lang w:val="en-US"/>
              </w:rPr>
              <w:t xml:space="preserve">respondents 87% rated their </w:t>
            </w:r>
            <w:r w:rsidR="000B4FEA" w:rsidRPr="00150CD2">
              <w:rPr>
                <w:rFonts w:cs="Arial"/>
                <w:sz w:val="24"/>
                <w:lang w:val="en-US"/>
              </w:rPr>
              <w:t>life worthwhileness as 7 or higher out of 10</w:t>
            </w:r>
            <w:r w:rsidR="00D51E24" w:rsidRPr="00150CD2">
              <w:rPr>
                <w:rFonts w:cs="Arial"/>
                <w:sz w:val="24"/>
                <w:lang w:val="en-US"/>
              </w:rPr>
              <w:t xml:space="preserve">. </w:t>
            </w:r>
          </w:p>
          <w:p w14:paraId="0874E85C" w14:textId="656AE889" w:rsidR="00D51E24" w:rsidRPr="00150CD2" w:rsidRDefault="00D51E24" w:rsidP="00BE6223">
            <w:pPr>
              <w:pStyle w:val="EYTableText"/>
              <w:rPr>
                <w:rFonts w:cs="Arial"/>
                <w:b/>
                <w:sz w:val="24"/>
                <w:lang w:val="en-US"/>
              </w:rPr>
            </w:pPr>
            <w:r w:rsidRPr="00150CD2">
              <w:rPr>
                <w:rFonts w:cs="Arial"/>
                <w:b/>
                <w:sz w:val="24"/>
                <w:lang w:val="en-US"/>
              </w:rPr>
              <w:t>D</w:t>
            </w:r>
            <w:r w:rsidR="00657AE7" w:rsidRPr="00150CD2">
              <w:rPr>
                <w:rFonts w:cs="Arial"/>
                <w:b/>
                <w:sz w:val="24"/>
                <w:lang w:val="en-US"/>
              </w:rPr>
              <w:t>isability Survey</w:t>
            </w:r>
            <w:r w:rsidRPr="00150CD2">
              <w:rPr>
                <w:rFonts w:cs="Arial"/>
                <w:b/>
                <w:sz w:val="24"/>
                <w:lang w:val="en-US"/>
              </w:rPr>
              <w:t>:</w:t>
            </w:r>
          </w:p>
          <w:p w14:paraId="2383613C" w14:textId="1535458E" w:rsidR="00013ED9" w:rsidRPr="00150CD2" w:rsidRDefault="00D51E24" w:rsidP="00013ED9">
            <w:pPr>
              <w:pStyle w:val="EYTablebullet1"/>
              <w:rPr>
                <w:rFonts w:cs="Arial"/>
                <w:sz w:val="24"/>
                <w:lang w:val="en-US"/>
              </w:rPr>
            </w:pPr>
            <w:r w:rsidRPr="00150CD2">
              <w:rPr>
                <w:rFonts w:cs="Arial"/>
                <w:sz w:val="24"/>
                <w:lang w:val="en-US"/>
              </w:rPr>
              <w:t xml:space="preserve">61% of </w:t>
            </w:r>
            <w:r w:rsidR="0036625F" w:rsidRPr="00150CD2">
              <w:rPr>
                <w:rFonts w:cs="Arial"/>
                <w:sz w:val="24"/>
                <w:lang w:val="en-US"/>
              </w:rPr>
              <w:t xml:space="preserve">DSS </w:t>
            </w:r>
            <w:r w:rsidRPr="00150CD2">
              <w:rPr>
                <w:rFonts w:cs="Arial"/>
                <w:sz w:val="24"/>
                <w:lang w:val="en-US"/>
              </w:rPr>
              <w:t>respondents rated their life satisfaction as being at 7 or higher (on a scale of 1-10)</w:t>
            </w:r>
            <w:r w:rsidR="0036625F" w:rsidRPr="00150CD2">
              <w:rPr>
                <w:rFonts w:cs="Arial"/>
                <w:sz w:val="24"/>
                <w:lang w:val="en-US"/>
              </w:rPr>
              <w:t>. This proportion was lower than for non-DSS respondents with impairments (69% rated their life satisfaction as 7 or higher) and for non-DSS respondents without impairments (88% rated their life satisfaction as 7 or higher)</w:t>
            </w:r>
            <w:r w:rsidR="001C5011" w:rsidRPr="00150CD2">
              <w:rPr>
                <w:rFonts w:cs="Arial"/>
                <w:sz w:val="24"/>
                <w:lang w:val="en-US"/>
              </w:rPr>
              <w:t>.</w:t>
            </w:r>
          </w:p>
          <w:p w14:paraId="2E4B5A61" w14:textId="7B0E09B5" w:rsidR="00D51E24" w:rsidRPr="00150CD2" w:rsidRDefault="00013ED9" w:rsidP="00013ED9">
            <w:pPr>
              <w:pStyle w:val="EYTablebullet1"/>
              <w:rPr>
                <w:rFonts w:cs="Arial"/>
                <w:sz w:val="24"/>
                <w:lang w:val="en-US"/>
              </w:rPr>
            </w:pPr>
            <w:r w:rsidRPr="00150CD2">
              <w:rPr>
                <w:rFonts w:cs="Arial"/>
                <w:sz w:val="24"/>
                <w:lang w:val="en-US"/>
              </w:rPr>
              <w:t xml:space="preserve">Responses varied by disability type, with </w:t>
            </w:r>
            <w:r w:rsidR="00A12A43" w:rsidRPr="00150CD2">
              <w:rPr>
                <w:rFonts w:cs="Arial"/>
                <w:sz w:val="24"/>
                <w:lang w:val="en-US"/>
              </w:rPr>
              <w:t xml:space="preserve">over 80% </w:t>
            </w:r>
            <w:r w:rsidRPr="00150CD2">
              <w:rPr>
                <w:rFonts w:cs="Arial"/>
                <w:sz w:val="24"/>
                <w:lang w:val="en-US"/>
              </w:rPr>
              <w:t xml:space="preserve">of those with intellectual disability rating </w:t>
            </w:r>
            <w:r w:rsidR="00A12A43" w:rsidRPr="00150CD2">
              <w:rPr>
                <w:rFonts w:cs="Arial"/>
                <w:sz w:val="24"/>
                <w:lang w:val="en-US"/>
              </w:rPr>
              <w:t xml:space="preserve">their </w:t>
            </w:r>
            <w:r w:rsidRPr="00150CD2">
              <w:rPr>
                <w:rFonts w:cs="Arial"/>
                <w:sz w:val="24"/>
                <w:lang w:val="en-US"/>
              </w:rPr>
              <w:t xml:space="preserve">life satisfaction as being at 7 or higher (compared with </w:t>
            </w:r>
            <w:r w:rsidR="000B4FEA" w:rsidRPr="00150CD2">
              <w:rPr>
                <w:rFonts w:cs="Arial"/>
                <w:sz w:val="24"/>
                <w:lang w:val="en-US"/>
              </w:rPr>
              <w:t>52</w:t>
            </w:r>
            <w:r w:rsidRPr="00150CD2">
              <w:rPr>
                <w:rFonts w:cs="Arial"/>
                <w:sz w:val="24"/>
                <w:lang w:val="en-US"/>
              </w:rPr>
              <w:t>% with physical disabilities)</w:t>
            </w:r>
            <w:r w:rsidR="00A12A43" w:rsidRPr="00150CD2">
              <w:rPr>
                <w:rFonts w:cs="Arial"/>
                <w:sz w:val="24"/>
                <w:lang w:val="en-US"/>
              </w:rPr>
              <w:t>.</w:t>
            </w:r>
          </w:p>
        </w:tc>
      </w:tr>
      <w:tr w:rsidR="00D51E24" w:rsidRPr="00150CD2" w14:paraId="53480BA5" w14:textId="77777777" w:rsidTr="00FC0C31">
        <w:tc>
          <w:tcPr>
            <w:tcW w:w="1728" w:type="dxa"/>
            <w:tcBorders>
              <w:top w:val="nil"/>
              <w:bottom w:val="nil"/>
            </w:tcBorders>
          </w:tcPr>
          <w:p w14:paraId="162434A4" w14:textId="77777777" w:rsidR="00D51E24" w:rsidRPr="00150CD2" w:rsidRDefault="00D51E24" w:rsidP="00BE6223">
            <w:pPr>
              <w:pStyle w:val="EYTableText"/>
              <w:rPr>
                <w:rFonts w:cs="Arial"/>
                <w:b/>
                <w:sz w:val="24"/>
                <w:lang w:val="en-US"/>
              </w:rPr>
            </w:pPr>
          </w:p>
        </w:tc>
        <w:tc>
          <w:tcPr>
            <w:tcW w:w="1728" w:type="dxa"/>
          </w:tcPr>
          <w:p w14:paraId="0604266A" w14:textId="1618F663" w:rsidR="00D51E24" w:rsidRPr="00150CD2" w:rsidRDefault="00D51E24" w:rsidP="00BE6223">
            <w:pPr>
              <w:pStyle w:val="EYTableText"/>
              <w:rPr>
                <w:rFonts w:cs="Arial"/>
                <w:sz w:val="24"/>
                <w:lang w:val="en-US"/>
              </w:rPr>
            </w:pPr>
            <w:r w:rsidRPr="00150CD2">
              <w:rPr>
                <w:rFonts w:cs="Arial"/>
                <w:sz w:val="24"/>
                <w:lang w:val="en-US"/>
              </w:rPr>
              <w:t>Express identity</w:t>
            </w:r>
          </w:p>
        </w:tc>
        <w:tc>
          <w:tcPr>
            <w:tcW w:w="5616" w:type="dxa"/>
          </w:tcPr>
          <w:p w14:paraId="684251C6" w14:textId="610253F2" w:rsidR="00D51E24" w:rsidRPr="00150CD2" w:rsidRDefault="00A12A43" w:rsidP="00BE6223">
            <w:pPr>
              <w:pStyle w:val="EYTableText"/>
              <w:rPr>
                <w:rFonts w:cs="Arial"/>
                <w:sz w:val="24"/>
                <w:lang w:val="en-US"/>
              </w:rPr>
            </w:pPr>
            <w:r w:rsidRPr="00150CD2">
              <w:rPr>
                <w:rFonts w:cs="Arial"/>
                <w:sz w:val="24"/>
                <w:lang w:val="en-US"/>
              </w:rPr>
              <w:t>76</w:t>
            </w:r>
            <w:r w:rsidR="00D51E24" w:rsidRPr="00150CD2">
              <w:rPr>
                <w:rFonts w:cs="Arial"/>
                <w:sz w:val="24"/>
                <w:lang w:val="en-US"/>
              </w:rPr>
              <w:t xml:space="preserve">% of adult DSS respondents </w:t>
            </w:r>
            <w:r w:rsidRPr="00150CD2">
              <w:rPr>
                <w:rFonts w:cs="Arial"/>
                <w:sz w:val="24"/>
                <w:lang w:val="en-US"/>
              </w:rPr>
              <w:t xml:space="preserve">to the General Social Survey </w:t>
            </w:r>
            <w:r w:rsidR="005E0676" w:rsidRPr="00150CD2">
              <w:rPr>
                <w:rFonts w:cs="Arial"/>
                <w:sz w:val="24"/>
                <w:lang w:val="en-US"/>
              </w:rPr>
              <w:t xml:space="preserve">said they </w:t>
            </w:r>
            <w:r w:rsidRPr="00150CD2">
              <w:rPr>
                <w:rFonts w:cs="Arial"/>
                <w:sz w:val="24"/>
                <w:lang w:val="en-US"/>
              </w:rPr>
              <w:t>felt able to express their identity. This was lower than for non-DSS respondents (87%)</w:t>
            </w:r>
            <w:r w:rsidR="00D51E24" w:rsidRPr="00150CD2">
              <w:rPr>
                <w:rFonts w:cs="Arial"/>
                <w:sz w:val="24"/>
                <w:lang w:val="en-US"/>
              </w:rPr>
              <w:t>.</w:t>
            </w:r>
          </w:p>
        </w:tc>
      </w:tr>
      <w:tr w:rsidR="00D51E24" w:rsidRPr="00150CD2" w14:paraId="3CA96B10" w14:textId="77777777" w:rsidTr="00FC0C31">
        <w:tc>
          <w:tcPr>
            <w:tcW w:w="1728" w:type="dxa"/>
            <w:tcBorders>
              <w:top w:val="nil"/>
              <w:bottom w:val="nil"/>
            </w:tcBorders>
          </w:tcPr>
          <w:p w14:paraId="138CA0A4" w14:textId="77777777" w:rsidR="00D51E24" w:rsidRPr="00150CD2" w:rsidRDefault="00D51E24" w:rsidP="00923B44">
            <w:pPr>
              <w:pStyle w:val="EYTableText"/>
              <w:rPr>
                <w:rFonts w:cs="Arial"/>
                <w:b/>
                <w:sz w:val="24"/>
                <w:lang w:val="en-US"/>
              </w:rPr>
            </w:pPr>
          </w:p>
        </w:tc>
        <w:tc>
          <w:tcPr>
            <w:tcW w:w="1728" w:type="dxa"/>
          </w:tcPr>
          <w:p w14:paraId="14FB78BD" w14:textId="1ED05D69" w:rsidR="00D51E24" w:rsidRPr="00150CD2" w:rsidRDefault="00D51E24" w:rsidP="00923B44">
            <w:pPr>
              <w:pStyle w:val="EYTableText"/>
              <w:rPr>
                <w:rFonts w:cs="Arial"/>
                <w:sz w:val="24"/>
                <w:lang w:val="en-US"/>
              </w:rPr>
            </w:pPr>
            <w:r w:rsidRPr="00150CD2">
              <w:rPr>
                <w:rFonts w:cs="Arial"/>
                <w:sz w:val="24"/>
                <w:lang w:val="en-US"/>
              </w:rPr>
              <w:t>Self-rated health</w:t>
            </w:r>
          </w:p>
        </w:tc>
        <w:tc>
          <w:tcPr>
            <w:tcW w:w="5616" w:type="dxa"/>
          </w:tcPr>
          <w:p w14:paraId="2DFD591B" w14:textId="315B4A99" w:rsidR="00BA2FA8" w:rsidRPr="00150CD2" w:rsidRDefault="00D51E24" w:rsidP="00923B44">
            <w:pPr>
              <w:pStyle w:val="EYTableText"/>
              <w:rPr>
                <w:rFonts w:cs="Arial"/>
                <w:b/>
                <w:sz w:val="24"/>
                <w:lang w:val="en-US"/>
              </w:rPr>
            </w:pPr>
            <w:r w:rsidRPr="00150CD2">
              <w:rPr>
                <w:rFonts w:cs="Arial"/>
                <w:b/>
                <w:sz w:val="24"/>
                <w:lang w:val="en-US"/>
              </w:rPr>
              <w:t>DSS clients generally rated their health as being lower than non-DSS respondents</w:t>
            </w:r>
            <w:r w:rsidR="00BA2FA8" w:rsidRPr="00150CD2">
              <w:rPr>
                <w:rFonts w:cs="Arial"/>
                <w:b/>
                <w:sz w:val="24"/>
                <w:lang w:val="en-US"/>
              </w:rPr>
              <w:t>.</w:t>
            </w:r>
            <w:r w:rsidRPr="00150CD2">
              <w:rPr>
                <w:rFonts w:cs="Arial"/>
                <w:b/>
                <w:sz w:val="24"/>
                <w:lang w:val="en-US"/>
              </w:rPr>
              <w:t xml:space="preserve"> </w:t>
            </w:r>
          </w:p>
          <w:p w14:paraId="0AFA7F0A" w14:textId="77777777" w:rsidR="00BA2FA8" w:rsidRPr="00150CD2" w:rsidRDefault="00BA2FA8" w:rsidP="00923B44">
            <w:pPr>
              <w:pStyle w:val="EYTableText"/>
              <w:rPr>
                <w:rFonts w:cs="Arial"/>
                <w:b/>
                <w:sz w:val="24"/>
                <w:lang w:val="en-US"/>
              </w:rPr>
            </w:pPr>
          </w:p>
          <w:p w14:paraId="0C1D8BAC" w14:textId="77777777" w:rsidR="00BA2FA8" w:rsidRPr="00150CD2" w:rsidRDefault="00BA2FA8" w:rsidP="00BA2FA8">
            <w:pPr>
              <w:pStyle w:val="EYTableText"/>
              <w:rPr>
                <w:rFonts w:cs="Arial"/>
                <w:sz w:val="24"/>
                <w:lang w:val="en-US"/>
              </w:rPr>
            </w:pPr>
            <w:r w:rsidRPr="00150CD2">
              <w:rPr>
                <w:rFonts w:cs="Arial"/>
                <w:sz w:val="24"/>
                <w:lang w:val="en-US"/>
              </w:rPr>
              <w:t>In the General Social Survey, 45% of DSS respondents described their health as “good” to “excellent”</w:t>
            </w:r>
            <w:r w:rsidRPr="00150CD2">
              <w:rPr>
                <w:rFonts w:cs="Arial"/>
                <w:b/>
                <w:sz w:val="24"/>
                <w:lang w:val="en-US"/>
              </w:rPr>
              <w:t xml:space="preserve"> </w:t>
            </w:r>
            <w:r w:rsidRPr="00150CD2">
              <w:rPr>
                <w:rFonts w:cs="Arial"/>
                <w:sz w:val="24"/>
                <w:lang w:val="en-US"/>
              </w:rPr>
              <w:t>compared with 85% of non-DSS respondents.</w:t>
            </w:r>
          </w:p>
          <w:p w14:paraId="40A6DC69" w14:textId="0C12DD6C" w:rsidR="00BA2FA8" w:rsidRPr="00150CD2" w:rsidRDefault="00BA2FA8" w:rsidP="00923B44">
            <w:pPr>
              <w:pStyle w:val="EYTableText"/>
              <w:rPr>
                <w:rFonts w:cs="Arial"/>
                <w:sz w:val="24"/>
                <w:lang w:val="en-US"/>
              </w:rPr>
            </w:pPr>
          </w:p>
          <w:p w14:paraId="3A9C3C84" w14:textId="7892CF79" w:rsidR="00D51E24" w:rsidRPr="00150CD2" w:rsidRDefault="00BA2FA8" w:rsidP="00923B44">
            <w:pPr>
              <w:pStyle w:val="EYTableText"/>
              <w:rPr>
                <w:rFonts w:cs="Arial"/>
                <w:sz w:val="24"/>
                <w:lang w:val="en-US"/>
              </w:rPr>
            </w:pPr>
            <w:r w:rsidRPr="00150CD2">
              <w:rPr>
                <w:rFonts w:cs="Arial"/>
                <w:sz w:val="24"/>
                <w:lang w:val="en-US"/>
              </w:rPr>
              <w:t>In the Disability Survey, 61</w:t>
            </w:r>
            <w:r w:rsidR="00D51E24" w:rsidRPr="00150CD2">
              <w:rPr>
                <w:rFonts w:cs="Arial"/>
                <w:sz w:val="24"/>
                <w:lang w:val="en-US"/>
              </w:rPr>
              <w:t xml:space="preserve">% of DSS respondents </w:t>
            </w:r>
            <w:r w:rsidRPr="00150CD2">
              <w:rPr>
                <w:rFonts w:cs="Arial"/>
                <w:sz w:val="24"/>
                <w:lang w:val="en-US"/>
              </w:rPr>
              <w:t>described their health as “good” to “excellent” compared with 64% of non-DSS respondents with impairments and 94% of non-DSS respondents without impairments.</w:t>
            </w:r>
          </w:p>
          <w:p w14:paraId="0E53B73D" w14:textId="00AD03C0" w:rsidR="00D51E24" w:rsidRPr="00150CD2" w:rsidRDefault="00D51E24" w:rsidP="00614E70">
            <w:pPr>
              <w:pStyle w:val="EYTableText"/>
              <w:rPr>
                <w:rFonts w:cs="Arial"/>
                <w:sz w:val="24"/>
                <w:lang w:val="en-US"/>
              </w:rPr>
            </w:pPr>
            <w:r w:rsidRPr="00150CD2">
              <w:rPr>
                <w:rFonts w:cs="Arial"/>
                <w:sz w:val="24"/>
                <w:lang w:val="en-US"/>
              </w:rPr>
              <w:t>Self-reported health status was lower for those with physical disability (compared with intellectual disability) and higher for young people aged 15-2</w:t>
            </w:r>
            <w:r w:rsidR="007D7146" w:rsidRPr="00150CD2">
              <w:rPr>
                <w:rFonts w:cs="Arial"/>
                <w:sz w:val="24"/>
                <w:lang w:val="en-US"/>
              </w:rPr>
              <w:t>4, although the differences are not statistically significant given the small size of these groups.</w:t>
            </w:r>
          </w:p>
        </w:tc>
      </w:tr>
      <w:tr w:rsidR="00D51E24" w:rsidRPr="00150CD2" w14:paraId="5C05C91A" w14:textId="77777777" w:rsidTr="00FC0C31">
        <w:tc>
          <w:tcPr>
            <w:tcW w:w="1728" w:type="dxa"/>
            <w:tcBorders>
              <w:top w:val="nil"/>
              <w:bottom w:val="single" w:sz="4" w:space="0" w:color="auto"/>
            </w:tcBorders>
          </w:tcPr>
          <w:p w14:paraId="3A27B8B9" w14:textId="77777777" w:rsidR="00D51E24" w:rsidRPr="00150CD2" w:rsidRDefault="00D51E24" w:rsidP="00923B44">
            <w:pPr>
              <w:pStyle w:val="EYTableText"/>
              <w:rPr>
                <w:rFonts w:cs="Arial"/>
                <w:b/>
                <w:sz w:val="24"/>
                <w:lang w:val="en-US"/>
              </w:rPr>
            </w:pPr>
          </w:p>
        </w:tc>
        <w:tc>
          <w:tcPr>
            <w:tcW w:w="1728" w:type="dxa"/>
          </w:tcPr>
          <w:p w14:paraId="20E662F5" w14:textId="2211295A" w:rsidR="00D51E24" w:rsidRPr="00150CD2" w:rsidRDefault="00D51E24" w:rsidP="00923B44">
            <w:pPr>
              <w:pStyle w:val="EYTableText"/>
              <w:rPr>
                <w:rFonts w:cs="Arial"/>
                <w:sz w:val="24"/>
                <w:lang w:val="en-US"/>
              </w:rPr>
            </w:pPr>
            <w:r w:rsidRPr="00150CD2">
              <w:rPr>
                <w:rFonts w:cs="Arial"/>
                <w:sz w:val="24"/>
                <w:lang w:val="en-US"/>
              </w:rPr>
              <w:t>Health services contact</w:t>
            </w:r>
          </w:p>
        </w:tc>
        <w:tc>
          <w:tcPr>
            <w:tcW w:w="5616" w:type="dxa"/>
          </w:tcPr>
          <w:p w14:paraId="6D6529B9" w14:textId="22F99DED" w:rsidR="00D51E24" w:rsidRPr="00150CD2" w:rsidRDefault="00D51E24" w:rsidP="00D51E24">
            <w:pPr>
              <w:pStyle w:val="EYTableText"/>
              <w:rPr>
                <w:rFonts w:cs="Arial"/>
                <w:sz w:val="24"/>
                <w:lang w:val="en-US"/>
              </w:rPr>
            </w:pPr>
            <w:r w:rsidRPr="00150CD2">
              <w:rPr>
                <w:rFonts w:cs="Arial"/>
                <w:sz w:val="24"/>
                <w:lang w:val="en-US"/>
              </w:rPr>
              <w:t xml:space="preserve">The majority of DSS respondents </w:t>
            </w:r>
            <w:r w:rsidR="007D7146" w:rsidRPr="00150CD2">
              <w:rPr>
                <w:rFonts w:cs="Arial"/>
                <w:sz w:val="24"/>
                <w:lang w:val="en-US"/>
              </w:rPr>
              <w:t xml:space="preserve">to the Disability Survey </w:t>
            </w:r>
            <w:r w:rsidRPr="00150CD2">
              <w:rPr>
                <w:rFonts w:cs="Arial"/>
                <w:sz w:val="24"/>
                <w:lang w:val="en-US"/>
              </w:rPr>
              <w:t xml:space="preserve">had contact with primary care health workers and medical specialists over the 12 months prior to the survey. </w:t>
            </w:r>
            <w:r w:rsidR="007D7146" w:rsidRPr="00150CD2">
              <w:rPr>
                <w:rFonts w:cs="Arial"/>
                <w:sz w:val="24"/>
                <w:lang w:val="en-US"/>
              </w:rPr>
              <w:t>92</w:t>
            </w:r>
            <w:r w:rsidRPr="00150CD2">
              <w:rPr>
                <w:rFonts w:cs="Arial"/>
                <w:sz w:val="24"/>
                <w:lang w:val="en-US"/>
              </w:rPr>
              <w:t xml:space="preserve">% saw a family doctor or GP; </w:t>
            </w:r>
            <w:r w:rsidR="007D7146" w:rsidRPr="00150CD2">
              <w:rPr>
                <w:rFonts w:cs="Arial"/>
                <w:sz w:val="24"/>
                <w:lang w:val="en-US"/>
              </w:rPr>
              <w:t xml:space="preserve">61% saw a dentist or oral health professional; </w:t>
            </w:r>
            <w:r w:rsidRPr="00150CD2">
              <w:rPr>
                <w:rFonts w:cs="Arial"/>
                <w:sz w:val="24"/>
                <w:lang w:val="en-US"/>
              </w:rPr>
              <w:t>69% saw a pharmacist; and 56% saw a medical specialist.</w:t>
            </w:r>
          </w:p>
          <w:p w14:paraId="08D77EDA" w14:textId="77777777" w:rsidR="00FA0C36" w:rsidRPr="00150CD2" w:rsidRDefault="00D51E24" w:rsidP="00923B44">
            <w:pPr>
              <w:pStyle w:val="EYTableText"/>
              <w:rPr>
                <w:rFonts w:cs="Arial"/>
                <w:sz w:val="24"/>
                <w:lang w:val="en-US"/>
              </w:rPr>
            </w:pPr>
            <w:r w:rsidRPr="00150CD2">
              <w:rPr>
                <w:rFonts w:cs="Arial"/>
                <w:sz w:val="24"/>
                <w:lang w:val="en-US"/>
              </w:rPr>
              <w:t xml:space="preserve">Contact rates with primary care health workers and medical specialists were broadly similar to </w:t>
            </w:r>
            <w:r w:rsidR="00C7229A" w:rsidRPr="00150CD2">
              <w:rPr>
                <w:rFonts w:cs="Arial"/>
                <w:sz w:val="24"/>
                <w:lang w:val="en-US"/>
              </w:rPr>
              <w:t>non-DSS respondents</w:t>
            </w:r>
            <w:r w:rsidR="007D7146" w:rsidRPr="00150CD2">
              <w:rPr>
                <w:rFonts w:cs="Arial"/>
                <w:sz w:val="24"/>
                <w:lang w:val="en-US"/>
              </w:rPr>
              <w:t xml:space="preserve"> with impairments</w:t>
            </w:r>
            <w:r w:rsidRPr="00150CD2">
              <w:rPr>
                <w:rFonts w:cs="Arial"/>
                <w:sz w:val="24"/>
                <w:lang w:val="en-US"/>
              </w:rPr>
              <w:t xml:space="preserve">, </w:t>
            </w:r>
            <w:r w:rsidR="00FA0C36" w:rsidRPr="00150CD2">
              <w:rPr>
                <w:rFonts w:cs="Arial"/>
                <w:sz w:val="24"/>
                <w:lang w:val="en-US"/>
              </w:rPr>
              <w:t>with some exceptions:</w:t>
            </w:r>
          </w:p>
          <w:p w14:paraId="6BE633D2" w14:textId="43406EDD" w:rsidR="00D51E24" w:rsidRPr="00150CD2" w:rsidRDefault="00D51E24" w:rsidP="00614E70">
            <w:pPr>
              <w:pStyle w:val="EYTablebullet1"/>
              <w:rPr>
                <w:rFonts w:cs="Arial"/>
                <w:sz w:val="24"/>
                <w:lang w:val="en-US"/>
              </w:rPr>
            </w:pPr>
            <w:r w:rsidRPr="00150CD2">
              <w:rPr>
                <w:rFonts w:cs="Arial"/>
                <w:sz w:val="24"/>
                <w:lang w:val="en-US"/>
              </w:rPr>
              <w:t xml:space="preserve">DSS </w:t>
            </w:r>
            <w:r w:rsidR="00FA0C36" w:rsidRPr="00150CD2">
              <w:rPr>
                <w:rFonts w:cs="Arial"/>
                <w:sz w:val="24"/>
                <w:lang w:val="en-US"/>
              </w:rPr>
              <w:t xml:space="preserve">young people </w:t>
            </w:r>
            <w:r w:rsidRPr="00150CD2">
              <w:rPr>
                <w:rFonts w:cs="Arial"/>
                <w:sz w:val="24"/>
                <w:lang w:val="en-US"/>
              </w:rPr>
              <w:t>(ages 15-</w:t>
            </w:r>
            <w:r w:rsidR="00FA0C36" w:rsidRPr="00150CD2">
              <w:rPr>
                <w:rFonts w:cs="Arial"/>
                <w:sz w:val="24"/>
                <w:lang w:val="en-US"/>
              </w:rPr>
              <w:t>24</w:t>
            </w:r>
            <w:r w:rsidRPr="00150CD2">
              <w:rPr>
                <w:rFonts w:cs="Arial"/>
                <w:sz w:val="24"/>
                <w:lang w:val="en-US"/>
              </w:rPr>
              <w:t xml:space="preserve">) were more likely to have contact with GP clinic nurses and medical specialists than non-DSS </w:t>
            </w:r>
            <w:r w:rsidR="00FA0C36" w:rsidRPr="00150CD2">
              <w:rPr>
                <w:rFonts w:cs="Arial"/>
                <w:sz w:val="24"/>
                <w:lang w:val="en-US"/>
              </w:rPr>
              <w:t>young people with impairments</w:t>
            </w:r>
            <w:r w:rsidRPr="00150CD2">
              <w:rPr>
                <w:rFonts w:cs="Arial"/>
                <w:sz w:val="24"/>
                <w:lang w:val="en-US"/>
              </w:rPr>
              <w:t>.</w:t>
            </w:r>
          </w:p>
          <w:p w14:paraId="416F0B00" w14:textId="688F4C1F" w:rsidR="00D51E24" w:rsidRPr="00150CD2" w:rsidRDefault="00D51E24" w:rsidP="00614E70">
            <w:pPr>
              <w:pStyle w:val="EYTablebullet1"/>
              <w:rPr>
                <w:rFonts w:cs="Arial"/>
                <w:sz w:val="24"/>
                <w:lang w:val="en-US"/>
              </w:rPr>
            </w:pPr>
            <w:r w:rsidRPr="00150CD2">
              <w:rPr>
                <w:rFonts w:cs="Arial"/>
                <w:sz w:val="24"/>
                <w:lang w:val="en-US"/>
              </w:rPr>
              <w:t xml:space="preserve">DSS clients of all ages were more likely to have seen a dentist or oral health professional than </w:t>
            </w:r>
            <w:r w:rsidR="00507EDD" w:rsidRPr="00150CD2">
              <w:rPr>
                <w:rFonts w:cs="Arial"/>
                <w:sz w:val="24"/>
                <w:lang w:val="en-US"/>
              </w:rPr>
              <w:t xml:space="preserve">non-DSS </w:t>
            </w:r>
            <w:r w:rsidR="00FA0C36" w:rsidRPr="00150CD2">
              <w:rPr>
                <w:rFonts w:cs="Arial"/>
                <w:sz w:val="24"/>
                <w:lang w:val="en-US"/>
              </w:rPr>
              <w:t xml:space="preserve">people with impairments </w:t>
            </w:r>
            <w:r w:rsidR="00507EDD" w:rsidRPr="00150CD2">
              <w:rPr>
                <w:rFonts w:cs="Arial"/>
                <w:sz w:val="24"/>
                <w:lang w:val="en-US"/>
              </w:rPr>
              <w:t>(4</w:t>
            </w:r>
            <w:r w:rsidR="00FA0C36" w:rsidRPr="00150CD2">
              <w:rPr>
                <w:rFonts w:cs="Arial"/>
                <w:sz w:val="24"/>
                <w:lang w:val="en-US"/>
              </w:rPr>
              <w:t>1</w:t>
            </w:r>
            <w:r w:rsidR="00507EDD" w:rsidRPr="00150CD2">
              <w:rPr>
                <w:rFonts w:cs="Arial"/>
                <w:sz w:val="24"/>
                <w:lang w:val="en-US"/>
              </w:rPr>
              <w:t>%</w:t>
            </w:r>
            <w:r w:rsidR="00FA0C36" w:rsidRPr="00150CD2">
              <w:rPr>
                <w:rFonts w:cs="Arial"/>
                <w:sz w:val="24"/>
                <w:lang w:val="en-US"/>
              </w:rPr>
              <w:t xml:space="preserve"> saw a dentist in the prior year</w:t>
            </w:r>
            <w:r w:rsidR="00507EDD" w:rsidRPr="00150CD2">
              <w:rPr>
                <w:rFonts w:cs="Arial"/>
                <w:sz w:val="24"/>
                <w:lang w:val="en-US"/>
              </w:rPr>
              <w:t>)</w:t>
            </w:r>
            <w:r w:rsidR="00FA0C36" w:rsidRPr="00150CD2">
              <w:rPr>
                <w:rFonts w:cs="Arial"/>
                <w:sz w:val="24"/>
                <w:lang w:val="en-US"/>
              </w:rPr>
              <w:t>.</w:t>
            </w:r>
          </w:p>
        </w:tc>
      </w:tr>
      <w:tr w:rsidR="00A75191" w:rsidRPr="00150CD2" w14:paraId="38C52653" w14:textId="77777777" w:rsidTr="00FC0C31">
        <w:tc>
          <w:tcPr>
            <w:tcW w:w="1728" w:type="dxa"/>
            <w:tcBorders>
              <w:bottom w:val="nil"/>
            </w:tcBorders>
          </w:tcPr>
          <w:p w14:paraId="0DF3964E" w14:textId="77777777" w:rsidR="00A75191" w:rsidRPr="00150CD2" w:rsidRDefault="00A75191" w:rsidP="00BE6223">
            <w:pPr>
              <w:pStyle w:val="EYTableText"/>
              <w:rPr>
                <w:rFonts w:cs="Arial"/>
                <w:b/>
                <w:sz w:val="24"/>
                <w:lang w:val="en-US"/>
              </w:rPr>
            </w:pPr>
            <w:r w:rsidRPr="00150CD2">
              <w:rPr>
                <w:rFonts w:cs="Arial"/>
                <w:b/>
                <w:sz w:val="24"/>
                <w:lang w:val="en-US"/>
              </w:rPr>
              <w:t>Have what they need</w:t>
            </w:r>
          </w:p>
        </w:tc>
        <w:tc>
          <w:tcPr>
            <w:tcW w:w="1728" w:type="dxa"/>
          </w:tcPr>
          <w:p w14:paraId="500606AF" w14:textId="14478099" w:rsidR="00A75191" w:rsidRPr="00150CD2" w:rsidRDefault="00A75191" w:rsidP="00BE6223">
            <w:pPr>
              <w:pStyle w:val="EYTableText"/>
              <w:rPr>
                <w:rFonts w:cs="Arial"/>
                <w:sz w:val="24"/>
                <w:lang w:val="en-US"/>
              </w:rPr>
            </w:pPr>
            <w:r w:rsidRPr="00150CD2">
              <w:rPr>
                <w:rFonts w:cs="Arial"/>
                <w:sz w:val="24"/>
                <w:lang w:val="en-US"/>
              </w:rPr>
              <w:t xml:space="preserve">Adequacy of income to meet </w:t>
            </w:r>
            <w:r w:rsidR="003408B5" w:rsidRPr="00150CD2">
              <w:rPr>
                <w:rFonts w:cs="Arial"/>
                <w:sz w:val="24"/>
                <w:lang w:val="en-US"/>
              </w:rPr>
              <w:t>everyday</w:t>
            </w:r>
            <w:r w:rsidRPr="00150CD2">
              <w:rPr>
                <w:rFonts w:cs="Arial"/>
                <w:sz w:val="24"/>
                <w:lang w:val="en-US"/>
              </w:rPr>
              <w:t xml:space="preserve"> needs</w:t>
            </w:r>
          </w:p>
          <w:p w14:paraId="54D9EE40" w14:textId="3D8141EF" w:rsidR="00A75191" w:rsidRPr="00150CD2" w:rsidRDefault="00A75191" w:rsidP="00BE6223">
            <w:pPr>
              <w:pStyle w:val="EYTableText"/>
              <w:rPr>
                <w:rFonts w:cs="Arial"/>
                <w:sz w:val="24"/>
                <w:lang w:val="en-US"/>
              </w:rPr>
            </w:pPr>
            <w:r w:rsidRPr="00150CD2">
              <w:rPr>
                <w:rFonts w:cs="Arial"/>
                <w:sz w:val="24"/>
                <w:lang w:val="en-US"/>
              </w:rPr>
              <w:t>Material wellbeing</w:t>
            </w:r>
          </w:p>
        </w:tc>
        <w:tc>
          <w:tcPr>
            <w:tcW w:w="5616" w:type="dxa"/>
          </w:tcPr>
          <w:p w14:paraId="4849ACFC" w14:textId="5C683001" w:rsidR="00A75191" w:rsidRPr="00150CD2" w:rsidRDefault="00A75191" w:rsidP="00BE6223">
            <w:pPr>
              <w:pStyle w:val="EYTableText"/>
              <w:rPr>
                <w:rFonts w:cs="Arial"/>
                <w:b/>
                <w:sz w:val="24"/>
                <w:lang w:val="en-US"/>
              </w:rPr>
            </w:pPr>
            <w:r w:rsidRPr="00150CD2">
              <w:rPr>
                <w:rFonts w:cs="Arial"/>
                <w:b/>
                <w:sz w:val="24"/>
                <w:lang w:val="en-US"/>
              </w:rPr>
              <w:t>For DSS respondents and other respondents from their households to the 2014 and 2016 G</w:t>
            </w:r>
            <w:r w:rsidR="005524A4" w:rsidRPr="00150CD2">
              <w:rPr>
                <w:rFonts w:cs="Arial"/>
                <w:b/>
                <w:sz w:val="24"/>
                <w:lang w:val="en-US"/>
              </w:rPr>
              <w:t xml:space="preserve">eneral </w:t>
            </w:r>
            <w:r w:rsidRPr="00150CD2">
              <w:rPr>
                <w:rFonts w:cs="Arial"/>
                <w:b/>
                <w:sz w:val="24"/>
                <w:lang w:val="en-US"/>
              </w:rPr>
              <w:t>S</w:t>
            </w:r>
            <w:r w:rsidR="005524A4" w:rsidRPr="00150CD2">
              <w:rPr>
                <w:rFonts w:cs="Arial"/>
                <w:b/>
                <w:sz w:val="24"/>
                <w:lang w:val="en-US"/>
              </w:rPr>
              <w:t>ocial Survey</w:t>
            </w:r>
            <w:r w:rsidRPr="00150CD2">
              <w:rPr>
                <w:rFonts w:cs="Arial"/>
                <w:b/>
                <w:sz w:val="24"/>
                <w:lang w:val="en-US"/>
              </w:rPr>
              <w:t>:</w:t>
            </w:r>
          </w:p>
          <w:p w14:paraId="222AEE8B" w14:textId="2406820A" w:rsidR="00A75191" w:rsidRPr="00150CD2" w:rsidRDefault="005524A4" w:rsidP="009E47CC">
            <w:pPr>
              <w:pStyle w:val="EYTablebullet1"/>
              <w:rPr>
                <w:rFonts w:cs="Arial"/>
                <w:b/>
                <w:sz w:val="24"/>
                <w:lang w:val="en-US"/>
              </w:rPr>
            </w:pPr>
            <w:r w:rsidRPr="00150CD2">
              <w:rPr>
                <w:rFonts w:cs="Arial"/>
                <w:b/>
                <w:sz w:val="24"/>
                <w:lang w:val="en-US"/>
              </w:rPr>
              <w:t>40</w:t>
            </w:r>
            <w:r w:rsidR="00A75191" w:rsidRPr="00150CD2">
              <w:rPr>
                <w:rFonts w:cs="Arial"/>
                <w:b/>
                <w:sz w:val="24"/>
                <w:lang w:val="en-US"/>
              </w:rPr>
              <w:t xml:space="preserve">% reported having enough or more than enough money to meet everyday needs. </w:t>
            </w:r>
          </w:p>
          <w:p w14:paraId="7EA5144D" w14:textId="28B76DC9" w:rsidR="00A75191" w:rsidRPr="00150CD2" w:rsidRDefault="005524A4" w:rsidP="009E47CC">
            <w:pPr>
              <w:pStyle w:val="EYTablebullet1"/>
              <w:rPr>
                <w:rFonts w:cs="Arial"/>
                <w:b/>
                <w:sz w:val="24"/>
                <w:lang w:val="en-US"/>
              </w:rPr>
            </w:pPr>
            <w:r w:rsidRPr="00150CD2">
              <w:rPr>
                <w:rFonts w:cs="Arial"/>
                <w:b/>
                <w:sz w:val="24"/>
                <w:lang w:val="en-US"/>
              </w:rPr>
              <w:t>43</w:t>
            </w:r>
            <w:r w:rsidR="00A75191" w:rsidRPr="00150CD2">
              <w:rPr>
                <w:rFonts w:cs="Arial"/>
                <w:b/>
                <w:sz w:val="24"/>
                <w:lang w:val="en-US"/>
              </w:rPr>
              <w:t xml:space="preserve">% reported higher levels of material wellbeing (levels 13 to 20 on a scale of 1-20), while 22% reported low material wellbeing (levels 6 or lower) </w:t>
            </w:r>
          </w:p>
          <w:p w14:paraId="0CDCD132" w14:textId="1FFB7BAF" w:rsidR="00A75191" w:rsidRPr="00150CD2" w:rsidRDefault="00A75191" w:rsidP="00BE6223">
            <w:pPr>
              <w:pStyle w:val="EYTableText"/>
              <w:rPr>
                <w:rFonts w:cs="Arial"/>
                <w:sz w:val="24"/>
                <w:lang w:val="en-US"/>
              </w:rPr>
            </w:pPr>
            <w:r w:rsidRPr="00150CD2">
              <w:rPr>
                <w:rFonts w:cs="Arial"/>
                <w:sz w:val="24"/>
                <w:lang w:val="en-US"/>
              </w:rPr>
              <w:t xml:space="preserve">These responses </w:t>
            </w:r>
            <w:r w:rsidR="005524A4" w:rsidRPr="00150CD2">
              <w:rPr>
                <w:rFonts w:cs="Arial"/>
                <w:sz w:val="24"/>
                <w:lang w:val="en-US"/>
              </w:rPr>
              <w:t xml:space="preserve">appeared </w:t>
            </w:r>
            <w:r w:rsidRPr="00150CD2">
              <w:rPr>
                <w:rFonts w:cs="Arial"/>
                <w:sz w:val="24"/>
                <w:lang w:val="en-US"/>
              </w:rPr>
              <w:t>broadly similar across disability types, SPA levels and ages.</w:t>
            </w:r>
          </w:p>
          <w:p w14:paraId="5C761309" w14:textId="7934D902" w:rsidR="00A75191" w:rsidRPr="00150CD2" w:rsidRDefault="00A75191" w:rsidP="009E47CC">
            <w:pPr>
              <w:pStyle w:val="EYTableText"/>
              <w:rPr>
                <w:rFonts w:cs="Arial"/>
                <w:b/>
                <w:sz w:val="24"/>
                <w:lang w:val="en-US"/>
              </w:rPr>
            </w:pPr>
            <w:r w:rsidRPr="00150CD2">
              <w:rPr>
                <w:rFonts w:cs="Arial"/>
                <w:sz w:val="24"/>
                <w:lang w:val="en-US"/>
              </w:rPr>
              <w:t xml:space="preserve">These income and material wellbeing levels were considerably lower than the non-DSS population. For </w:t>
            </w:r>
            <w:r w:rsidR="005524A4" w:rsidRPr="00150CD2">
              <w:rPr>
                <w:rFonts w:cs="Arial"/>
                <w:sz w:val="24"/>
                <w:lang w:val="en-US"/>
              </w:rPr>
              <w:t>non-DSS</w:t>
            </w:r>
            <w:r w:rsidRPr="00150CD2">
              <w:rPr>
                <w:rFonts w:cs="Arial"/>
                <w:sz w:val="24"/>
                <w:lang w:val="en-US"/>
              </w:rPr>
              <w:t xml:space="preserve"> </w:t>
            </w:r>
            <w:r w:rsidR="005524A4" w:rsidRPr="00150CD2">
              <w:rPr>
                <w:rFonts w:cs="Arial"/>
                <w:sz w:val="24"/>
                <w:lang w:val="en-US"/>
              </w:rPr>
              <w:t>respondents and other respondents from their households</w:t>
            </w:r>
            <w:r w:rsidRPr="00150CD2">
              <w:rPr>
                <w:rFonts w:cs="Arial"/>
                <w:sz w:val="24"/>
                <w:lang w:val="en-US"/>
              </w:rPr>
              <w:t xml:space="preserve">, </w:t>
            </w:r>
            <w:r w:rsidR="005524A4" w:rsidRPr="00150CD2">
              <w:rPr>
                <w:rFonts w:cs="Arial"/>
                <w:sz w:val="24"/>
                <w:lang w:val="en-US"/>
              </w:rPr>
              <w:t>64</w:t>
            </w:r>
            <w:r w:rsidRPr="00150CD2">
              <w:rPr>
                <w:rFonts w:cs="Arial"/>
                <w:sz w:val="24"/>
                <w:lang w:val="en-US"/>
              </w:rPr>
              <w:t xml:space="preserve">% reported having enough or more than enough income. Around </w:t>
            </w:r>
            <w:r w:rsidR="005524A4" w:rsidRPr="00150CD2">
              <w:rPr>
                <w:rFonts w:cs="Arial"/>
                <w:sz w:val="24"/>
                <w:lang w:val="en-US"/>
              </w:rPr>
              <w:t>64</w:t>
            </w:r>
            <w:r w:rsidRPr="00150CD2">
              <w:rPr>
                <w:rFonts w:cs="Arial"/>
                <w:sz w:val="24"/>
                <w:lang w:val="en-US"/>
              </w:rPr>
              <w:t xml:space="preserve">% of non-DSS respondents reported higher material wellbeing (levels 13 to 20) and </w:t>
            </w:r>
            <w:r w:rsidR="005524A4" w:rsidRPr="00150CD2">
              <w:rPr>
                <w:rFonts w:cs="Arial"/>
                <w:sz w:val="24"/>
                <w:lang w:val="en-US"/>
              </w:rPr>
              <w:t>10</w:t>
            </w:r>
            <w:r w:rsidRPr="00150CD2">
              <w:rPr>
                <w:rFonts w:cs="Arial"/>
                <w:sz w:val="24"/>
                <w:lang w:val="en-US"/>
              </w:rPr>
              <w:t>% reported low material wellbeing (levels 6 or lower).</w:t>
            </w:r>
          </w:p>
        </w:tc>
      </w:tr>
      <w:tr w:rsidR="00A75191" w:rsidRPr="00150CD2" w14:paraId="3650360B" w14:textId="77777777" w:rsidTr="00FC0C31">
        <w:tc>
          <w:tcPr>
            <w:tcW w:w="1728" w:type="dxa"/>
            <w:tcBorders>
              <w:top w:val="nil"/>
              <w:bottom w:val="nil"/>
            </w:tcBorders>
          </w:tcPr>
          <w:p w14:paraId="1F264AAE" w14:textId="77777777" w:rsidR="00A75191" w:rsidRPr="00150CD2" w:rsidRDefault="00A75191" w:rsidP="00BE6223">
            <w:pPr>
              <w:pStyle w:val="EYTableText"/>
              <w:rPr>
                <w:rFonts w:cs="Arial"/>
                <w:b/>
                <w:sz w:val="24"/>
                <w:lang w:val="en-US"/>
              </w:rPr>
            </w:pPr>
          </w:p>
        </w:tc>
        <w:tc>
          <w:tcPr>
            <w:tcW w:w="1728" w:type="dxa"/>
          </w:tcPr>
          <w:p w14:paraId="1B0BAE3C" w14:textId="77777777" w:rsidR="00A75191" w:rsidRPr="00150CD2" w:rsidRDefault="00A75191" w:rsidP="00BE6223">
            <w:pPr>
              <w:pStyle w:val="EYTableText"/>
              <w:rPr>
                <w:rFonts w:cs="Arial"/>
                <w:sz w:val="24"/>
                <w:lang w:val="en-US"/>
              </w:rPr>
            </w:pPr>
            <w:r w:rsidRPr="00150CD2">
              <w:rPr>
                <w:rFonts w:cs="Arial"/>
                <w:sz w:val="24"/>
                <w:lang w:val="en-US"/>
              </w:rPr>
              <w:t>House condition</w:t>
            </w:r>
          </w:p>
        </w:tc>
        <w:tc>
          <w:tcPr>
            <w:tcW w:w="5616" w:type="dxa"/>
          </w:tcPr>
          <w:p w14:paraId="1FBF8E88" w14:textId="2E85FF3A" w:rsidR="00D13BE1" w:rsidRPr="00150CD2" w:rsidRDefault="00D13BE1" w:rsidP="00124E17">
            <w:pPr>
              <w:pStyle w:val="EYTablebullet1"/>
              <w:rPr>
                <w:rFonts w:cs="Arial"/>
                <w:sz w:val="24"/>
                <w:lang w:val="en-US"/>
              </w:rPr>
            </w:pPr>
            <w:r w:rsidRPr="00150CD2">
              <w:rPr>
                <w:rFonts w:cs="Arial"/>
                <w:sz w:val="24"/>
                <w:lang w:val="en-US"/>
              </w:rPr>
              <w:t>27</w:t>
            </w:r>
            <w:r w:rsidR="00A75191" w:rsidRPr="00150CD2">
              <w:rPr>
                <w:rFonts w:cs="Arial"/>
                <w:sz w:val="24"/>
                <w:lang w:val="en-US"/>
              </w:rPr>
              <w:t xml:space="preserve">% </w:t>
            </w:r>
            <w:r w:rsidRPr="00150CD2">
              <w:rPr>
                <w:rFonts w:cs="Arial"/>
                <w:sz w:val="24"/>
                <w:lang w:val="en-US"/>
              </w:rPr>
              <w:t xml:space="preserve">of DSS respondents </w:t>
            </w:r>
            <w:r w:rsidR="00A75191" w:rsidRPr="00150CD2">
              <w:rPr>
                <w:rFonts w:cs="Arial"/>
                <w:sz w:val="24"/>
                <w:lang w:val="en-US"/>
              </w:rPr>
              <w:t>reported their house feeling colder than they would like (G</w:t>
            </w:r>
            <w:r w:rsidRPr="00150CD2">
              <w:rPr>
                <w:rFonts w:cs="Arial"/>
                <w:sz w:val="24"/>
                <w:lang w:val="en-US"/>
              </w:rPr>
              <w:t>eneral Social Survey</w:t>
            </w:r>
            <w:r w:rsidR="00A75191" w:rsidRPr="00150CD2">
              <w:rPr>
                <w:rFonts w:cs="Arial"/>
                <w:sz w:val="24"/>
                <w:lang w:val="en-US"/>
              </w:rPr>
              <w:t>)</w:t>
            </w:r>
            <w:r w:rsidR="00814044" w:rsidRPr="00150CD2">
              <w:rPr>
                <w:rFonts w:cs="Arial"/>
                <w:sz w:val="24"/>
                <w:lang w:val="en-US"/>
              </w:rPr>
              <w:t>.</w:t>
            </w:r>
          </w:p>
          <w:p w14:paraId="79127287" w14:textId="556DC990" w:rsidR="00A75191" w:rsidRPr="00150CD2" w:rsidRDefault="00A75191" w:rsidP="008210C9">
            <w:pPr>
              <w:pStyle w:val="EYTablebullet1"/>
              <w:rPr>
                <w:rFonts w:cs="Arial"/>
                <w:sz w:val="24"/>
                <w:lang w:val="en-US"/>
              </w:rPr>
            </w:pPr>
            <w:r w:rsidRPr="00150CD2">
              <w:rPr>
                <w:rFonts w:cs="Arial"/>
                <w:sz w:val="24"/>
                <w:lang w:val="en-US"/>
              </w:rPr>
              <w:t>2</w:t>
            </w:r>
            <w:r w:rsidR="00D13BE1" w:rsidRPr="00150CD2">
              <w:rPr>
                <w:rFonts w:cs="Arial"/>
                <w:sz w:val="24"/>
                <w:lang w:val="en-US"/>
              </w:rPr>
              <w:t>7</w:t>
            </w:r>
            <w:r w:rsidRPr="00150CD2">
              <w:rPr>
                <w:rFonts w:cs="Arial"/>
                <w:sz w:val="24"/>
                <w:lang w:val="en-US"/>
              </w:rPr>
              <w:t xml:space="preserve">% </w:t>
            </w:r>
            <w:r w:rsidR="00D13BE1" w:rsidRPr="00150CD2">
              <w:rPr>
                <w:rFonts w:cs="Arial"/>
                <w:sz w:val="24"/>
                <w:lang w:val="en-US"/>
              </w:rPr>
              <w:t xml:space="preserve">of DSS respondents </w:t>
            </w:r>
            <w:r w:rsidRPr="00150CD2">
              <w:rPr>
                <w:rFonts w:cs="Arial"/>
                <w:sz w:val="24"/>
                <w:lang w:val="en-US"/>
              </w:rPr>
              <w:t>said the</w:t>
            </w:r>
            <w:r w:rsidR="00D13BE1" w:rsidRPr="00150CD2">
              <w:rPr>
                <w:rFonts w:cs="Arial"/>
                <w:sz w:val="24"/>
                <w:lang w:val="en-US"/>
              </w:rPr>
              <w:t>y</w:t>
            </w:r>
            <w:r w:rsidRPr="00150CD2">
              <w:rPr>
                <w:rFonts w:cs="Arial"/>
                <w:sz w:val="24"/>
                <w:lang w:val="en-US"/>
              </w:rPr>
              <w:t xml:space="preserve"> found their house difficult to keep warm (D</w:t>
            </w:r>
            <w:r w:rsidR="00D13BE1" w:rsidRPr="00150CD2">
              <w:rPr>
                <w:rFonts w:cs="Arial"/>
                <w:sz w:val="24"/>
                <w:lang w:val="en-US"/>
              </w:rPr>
              <w:t xml:space="preserve">isability </w:t>
            </w:r>
            <w:r w:rsidRPr="00150CD2">
              <w:rPr>
                <w:rFonts w:cs="Arial"/>
                <w:sz w:val="24"/>
                <w:lang w:val="en-US"/>
              </w:rPr>
              <w:t>S</w:t>
            </w:r>
            <w:r w:rsidR="00D13BE1" w:rsidRPr="00150CD2">
              <w:rPr>
                <w:rFonts w:cs="Arial"/>
                <w:sz w:val="24"/>
                <w:lang w:val="en-US"/>
              </w:rPr>
              <w:t>urvey</w:t>
            </w:r>
            <w:r w:rsidRPr="00150CD2">
              <w:rPr>
                <w:rFonts w:cs="Arial"/>
                <w:sz w:val="24"/>
                <w:lang w:val="en-US"/>
              </w:rPr>
              <w:t>)</w:t>
            </w:r>
            <w:r w:rsidR="00220060" w:rsidRPr="00150CD2">
              <w:rPr>
                <w:rFonts w:cs="Arial"/>
                <w:sz w:val="24"/>
                <w:lang w:val="en-US"/>
              </w:rPr>
              <w:t>. This was</w:t>
            </w:r>
            <w:r w:rsidR="00D13BE1" w:rsidRPr="00150CD2">
              <w:rPr>
                <w:rFonts w:cs="Arial"/>
                <w:sz w:val="24"/>
                <w:lang w:val="en-US"/>
              </w:rPr>
              <w:t xml:space="preserve"> a similar proportion to other respondents with impairments (27%) but higher than for non-DSS respondents without impairments (17%).</w:t>
            </w:r>
          </w:p>
          <w:p w14:paraId="59308AF8" w14:textId="3F4AD146" w:rsidR="00A75191" w:rsidRPr="00150CD2" w:rsidRDefault="00220060" w:rsidP="008210C9">
            <w:pPr>
              <w:pStyle w:val="EYTablebullet1"/>
              <w:rPr>
                <w:rFonts w:cs="Arial"/>
                <w:sz w:val="24"/>
                <w:lang w:val="en-US"/>
              </w:rPr>
            </w:pPr>
            <w:r w:rsidRPr="00150CD2">
              <w:rPr>
                <w:rFonts w:cs="Arial"/>
                <w:sz w:val="24"/>
                <w:lang w:val="en-US"/>
              </w:rPr>
              <w:t>8% of DSS respondents to the General Social Survey (and other respondents from their households) reported their houses as having major mould or dampness problems, while l</w:t>
            </w:r>
            <w:r w:rsidR="00A75191" w:rsidRPr="00150CD2">
              <w:rPr>
                <w:rFonts w:cs="Arial"/>
                <w:sz w:val="24"/>
                <w:lang w:val="en-US"/>
              </w:rPr>
              <w:t>ess than 5% described having issues with overcrowding</w:t>
            </w:r>
            <w:r w:rsidRPr="00150CD2">
              <w:rPr>
                <w:rFonts w:cs="Arial"/>
                <w:sz w:val="24"/>
                <w:lang w:val="en-US"/>
              </w:rPr>
              <w:t>.</w:t>
            </w:r>
            <w:r w:rsidR="00A75191" w:rsidRPr="00150CD2">
              <w:rPr>
                <w:rFonts w:cs="Arial"/>
                <w:sz w:val="24"/>
                <w:lang w:val="en-US"/>
              </w:rPr>
              <w:t xml:space="preserve"> </w:t>
            </w:r>
            <w:r w:rsidRPr="00150CD2">
              <w:rPr>
                <w:rFonts w:cs="Arial"/>
                <w:sz w:val="24"/>
                <w:lang w:val="en-US"/>
              </w:rPr>
              <w:t>7</w:t>
            </w:r>
            <w:r w:rsidR="00A75191" w:rsidRPr="00150CD2">
              <w:rPr>
                <w:rFonts w:cs="Arial"/>
                <w:sz w:val="24"/>
                <w:lang w:val="en-US"/>
              </w:rPr>
              <w:t xml:space="preserve">% </w:t>
            </w:r>
            <w:r w:rsidRPr="00150CD2">
              <w:rPr>
                <w:rFonts w:cs="Arial"/>
                <w:sz w:val="24"/>
                <w:lang w:val="en-US"/>
              </w:rPr>
              <w:t xml:space="preserve">of DSS respondents to the Disability Survey </w:t>
            </w:r>
            <w:r w:rsidR="00A75191" w:rsidRPr="00150CD2">
              <w:rPr>
                <w:rFonts w:cs="Arial"/>
                <w:sz w:val="24"/>
                <w:lang w:val="en-US"/>
              </w:rPr>
              <w:t>said they needed one or more additional bedrooms</w:t>
            </w:r>
            <w:r w:rsidRPr="00150CD2">
              <w:rPr>
                <w:rFonts w:cs="Arial"/>
                <w:sz w:val="24"/>
                <w:lang w:val="en-US"/>
              </w:rPr>
              <w:t>. These proportions were similar to non-DSS respondents.</w:t>
            </w:r>
          </w:p>
        </w:tc>
      </w:tr>
      <w:tr w:rsidR="00A75191" w:rsidRPr="00150CD2" w14:paraId="5BEA4665" w14:textId="77777777" w:rsidTr="00FC0C31">
        <w:tc>
          <w:tcPr>
            <w:tcW w:w="1728" w:type="dxa"/>
            <w:tcBorders>
              <w:top w:val="nil"/>
              <w:bottom w:val="nil"/>
            </w:tcBorders>
          </w:tcPr>
          <w:p w14:paraId="2A3B4412" w14:textId="77777777" w:rsidR="00A75191" w:rsidRPr="00150CD2" w:rsidRDefault="00A75191" w:rsidP="00BE6223">
            <w:pPr>
              <w:pStyle w:val="EYTableText"/>
              <w:rPr>
                <w:rFonts w:cs="Arial"/>
                <w:b/>
                <w:sz w:val="24"/>
                <w:lang w:val="en-US"/>
              </w:rPr>
            </w:pPr>
          </w:p>
        </w:tc>
        <w:tc>
          <w:tcPr>
            <w:tcW w:w="1728" w:type="dxa"/>
          </w:tcPr>
          <w:p w14:paraId="3EAF2A33" w14:textId="382D7AA8" w:rsidR="00A75191" w:rsidRPr="00150CD2" w:rsidRDefault="00A75191" w:rsidP="00BE6223">
            <w:pPr>
              <w:pStyle w:val="EYTableText"/>
              <w:rPr>
                <w:rFonts w:cs="Arial"/>
                <w:sz w:val="24"/>
                <w:lang w:val="en-US"/>
              </w:rPr>
            </w:pPr>
            <w:r w:rsidRPr="00150CD2">
              <w:rPr>
                <w:rFonts w:cs="Arial"/>
                <w:sz w:val="24"/>
                <w:lang w:val="en-US"/>
              </w:rPr>
              <w:t>Support services and equipment</w:t>
            </w:r>
          </w:p>
        </w:tc>
        <w:tc>
          <w:tcPr>
            <w:tcW w:w="5616" w:type="dxa"/>
          </w:tcPr>
          <w:p w14:paraId="7A30E799" w14:textId="45282C84" w:rsidR="00A75191" w:rsidRPr="00150CD2" w:rsidRDefault="00A75191" w:rsidP="00E765D9">
            <w:pPr>
              <w:pStyle w:val="EYTableText"/>
              <w:rPr>
                <w:rFonts w:cs="Arial"/>
                <w:sz w:val="24"/>
                <w:lang w:val="en-US"/>
              </w:rPr>
            </w:pPr>
            <w:r w:rsidRPr="00150CD2">
              <w:rPr>
                <w:rFonts w:cs="Arial"/>
                <w:sz w:val="24"/>
                <w:lang w:val="en-US"/>
              </w:rPr>
              <w:t xml:space="preserve">Around half of DSS respondents </w:t>
            </w:r>
            <w:r w:rsidR="00814044" w:rsidRPr="00150CD2">
              <w:rPr>
                <w:rFonts w:cs="Arial"/>
                <w:sz w:val="24"/>
                <w:lang w:val="en-US"/>
              </w:rPr>
              <w:t xml:space="preserve">to the Disability Survey </w:t>
            </w:r>
            <w:r w:rsidRPr="00150CD2">
              <w:rPr>
                <w:rFonts w:cs="Arial"/>
                <w:sz w:val="24"/>
                <w:lang w:val="en-US"/>
              </w:rPr>
              <w:t xml:space="preserve">received respite care or carer support in the 12 months prior to the survey. </w:t>
            </w:r>
          </w:p>
          <w:p w14:paraId="43B34C87" w14:textId="24FF7991" w:rsidR="00A75191" w:rsidRPr="00150CD2" w:rsidRDefault="00A75191" w:rsidP="00E765D9">
            <w:pPr>
              <w:pStyle w:val="EYTableText"/>
              <w:rPr>
                <w:rFonts w:cs="Arial"/>
                <w:b/>
                <w:sz w:val="24"/>
                <w:lang w:val="en-US"/>
              </w:rPr>
            </w:pPr>
            <w:r w:rsidRPr="00150CD2">
              <w:rPr>
                <w:rFonts w:cs="Arial"/>
                <w:b/>
                <w:sz w:val="24"/>
                <w:lang w:val="en-US"/>
              </w:rPr>
              <w:t>DSS respondents were around twice as likely as other respondents with an impairment to state that they had needed the following support services or equipment at some point over the prior 12 months but were unable to get it:</w:t>
            </w:r>
          </w:p>
          <w:p w14:paraId="12EDBC8D" w14:textId="3140A164" w:rsidR="00A75191" w:rsidRPr="00150CD2" w:rsidRDefault="00A75191" w:rsidP="0008581C">
            <w:pPr>
              <w:pStyle w:val="EYTablebullet1"/>
              <w:ind w:left="288" w:hanging="288"/>
              <w:contextualSpacing/>
              <w:rPr>
                <w:rFonts w:cs="Arial"/>
                <w:sz w:val="24"/>
                <w:lang w:val="en-US"/>
              </w:rPr>
            </w:pPr>
            <w:r w:rsidRPr="00150CD2">
              <w:rPr>
                <w:rFonts w:cs="Arial"/>
                <w:sz w:val="24"/>
                <w:lang w:val="en-US"/>
              </w:rPr>
              <w:t>Respite care / carer support (</w:t>
            </w:r>
            <w:r w:rsidR="00814044" w:rsidRPr="00150CD2">
              <w:rPr>
                <w:rFonts w:cs="Arial"/>
                <w:sz w:val="24"/>
                <w:lang w:val="en-US"/>
              </w:rPr>
              <w:t>18</w:t>
            </w:r>
            <w:r w:rsidRPr="00150CD2">
              <w:rPr>
                <w:rFonts w:cs="Arial"/>
                <w:sz w:val="24"/>
                <w:lang w:val="en-US"/>
              </w:rPr>
              <w:t>%</w:t>
            </w:r>
            <w:r w:rsidR="00814044" w:rsidRPr="00150CD2">
              <w:rPr>
                <w:rFonts w:cs="Arial"/>
                <w:sz w:val="24"/>
                <w:lang w:val="en-US"/>
              </w:rPr>
              <w:t xml:space="preserve"> of DSS respondents</w:t>
            </w:r>
            <w:r w:rsidRPr="00150CD2">
              <w:rPr>
                <w:rFonts w:cs="Arial"/>
                <w:sz w:val="24"/>
                <w:lang w:val="en-US"/>
              </w:rPr>
              <w:t>)</w:t>
            </w:r>
          </w:p>
          <w:p w14:paraId="4AAB3FE7" w14:textId="177C4037" w:rsidR="00A75191" w:rsidRPr="00150CD2" w:rsidRDefault="00A75191" w:rsidP="0008581C">
            <w:pPr>
              <w:pStyle w:val="EYTablebullet1"/>
              <w:ind w:left="288" w:hanging="288"/>
              <w:contextualSpacing/>
              <w:rPr>
                <w:rFonts w:cs="Arial"/>
                <w:sz w:val="24"/>
                <w:lang w:val="en-US"/>
              </w:rPr>
            </w:pPr>
            <w:r w:rsidRPr="00150CD2">
              <w:rPr>
                <w:rFonts w:cs="Arial"/>
                <w:sz w:val="24"/>
                <w:lang w:val="en-US"/>
              </w:rPr>
              <w:t>Equipment or service needed by those with difficulty speaking or being understood (</w:t>
            </w:r>
            <w:r w:rsidR="00814044" w:rsidRPr="00150CD2">
              <w:rPr>
                <w:rFonts w:cs="Arial"/>
                <w:sz w:val="24"/>
                <w:lang w:val="en-US"/>
              </w:rPr>
              <w:t>21</w:t>
            </w:r>
            <w:r w:rsidRPr="00150CD2">
              <w:rPr>
                <w:rFonts w:cs="Arial"/>
                <w:sz w:val="24"/>
                <w:lang w:val="en-US"/>
              </w:rPr>
              <w:t>%)</w:t>
            </w:r>
          </w:p>
          <w:p w14:paraId="3F17A39F" w14:textId="14B82B04" w:rsidR="00A75191" w:rsidRPr="00150CD2" w:rsidRDefault="00A75191" w:rsidP="0008581C">
            <w:pPr>
              <w:pStyle w:val="EYTablebullet1"/>
              <w:ind w:left="288" w:hanging="288"/>
              <w:contextualSpacing/>
              <w:rPr>
                <w:rFonts w:cs="Arial"/>
                <w:sz w:val="24"/>
                <w:lang w:val="en-US"/>
              </w:rPr>
            </w:pPr>
            <w:r w:rsidRPr="00150CD2">
              <w:rPr>
                <w:rFonts w:cs="Arial"/>
                <w:sz w:val="24"/>
                <w:lang w:val="en-US"/>
              </w:rPr>
              <w:t>Special equipment needed by those with a mobility limitation to help move about (</w:t>
            </w:r>
            <w:r w:rsidR="00814044" w:rsidRPr="00150CD2">
              <w:rPr>
                <w:rFonts w:cs="Arial"/>
                <w:sz w:val="24"/>
                <w:lang w:val="en-US"/>
              </w:rPr>
              <w:t>15</w:t>
            </w:r>
            <w:r w:rsidRPr="00150CD2">
              <w:rPr>
                <w:rFonts w:cs="Arial"/>
                <w:sz w:val="24"/>
                <w:lang w:val="en-US"/>
              </w:rPr>
              <w:t>%)</w:t>
            </w:r>
          </w:p>
          <w:p w14:paraId="6F484547" w14:textId="7E593E92" w:rsidR="00A75191" w:rsidRPr="00150CD2" w:rsidRDefault="00A75191" w:rsidP="0008581C">
            <w:pPr>
              <w:pStyle w:val="EYTablebullet1"/>
              <w:ind w:left="288" w:hanging="288"/>
              <w:contextualSpacing/>
              <w:rPr>
                <w:rFonts w:cs="Arial"/>
                <w:sz w:val="24"/>
                <w:lang w:val="en-US"/>
              </w:rPr>
            </w:pPr>
            <w:r w:rsidRPr="00150CD2">
              <w:rPr>
                <w:rFonts w:cs="Arial"/>
                <w:sz w:val="24"/>
                <w:lang w:val="en-US"/>
              </w:rPr>
              <w:t>Help (or extra help) with personal care (18%)</w:t>
            </w:r>
          </w:p>
          <w:p w14:paraId="60F2C130" w14:textId="4B35371D" w:rsidR="00A75191" w:rsidRPr="00150CD2" w:rsidRDefault="00A75191" w:rsidP="0008581C">
            <w:pPr>
              <w:pStyle w:val="EYTablebullet1"/>
              <w:ind w:left="288" w:hanging="288"/>
              <w:contextualSpacing/>
              <w:rPr>
                <w:rFonts w:cs="Arial"/>
                <w:sz w:val="24"/>
                <w:lang w:val="en-US"/>
              </w:rPr>
            </w:pPr>
            <w:r w:rsidRPr="00150CD2">
              <w:rPr>
                <w:rFonts w:cs="Arial"/>
                <w:sz w:val="24"/>
                <w:lang w:val="en-US"/>
              </w:rPr>
              <w:t>Help (or extra help) with shopping, preparing meals, or housework (29%)</w:t>
            </w:r>
          </w:p>
        </w:tc>
      </w:tr>
      <w:tr w:rsidR="00A75191" w:rsidRPr="00150CD2" w14:paraId="473AD9D2" w14:textId="77777777" w:rsidTr="00FC0C31">
        <w:tc>
          <w:tcPr>
            <w:tcW w:w="1728" w:type="dxa"/>
            <w:tcBorders>
              <w:top w:val="nil"/>
            </w:tcBorders>
          </w:tcPr>
          <w:p w14:paraId="71700E90" w14:textId="77777777" w:rsidR="00A75191" w:rsidRPr="00150CD2" w:rsidRDefault="00A75191" w:rsidP="00BE6223">
            <w:pPr>
              <w:pStyle w:val="EYTableText"/>
              <w:rPr>
                <w:rFonts w:cs="Arial"/>
                <w:b/>
                <w:sz w:val="24"/>
                <w:lang w:val="en-US"/>
              </w:rPr>
            </w:pPr>
          </w:p>
        </w:tc>
        <w:tc>
          <w:tcPr>
            <w:tcW w:w="1728" w:type="dxa"/>
          </w:tcPr>
          <w:p w14:paraId="72EB8F8A" w14:textId="0C994A38" w:rsidR="00A75191" w:rsidRPr="00150CD2" w:rsidRDefault="00A75191" w:rsidP="00BE6223">
            <w:pPr>
              <w:pStyle w:val="EYTableText"/>
              <w:rPr>
                <w:rFonts w:cs="Arial"/>
                <w:sz w:val="24"/>
                <w:lang w:val="en-US"/>
              </w:rPr>
            </w:pPr>
            <w:r w:rsidRPr="00150CD2">
              <w:rPr>
                <w:rFonts w:cs="Arial"/>
                <w:sz w:val="24"/>
                <w:lang w:val="en-US"/>
              </w:rPr>
              <w:t>Transport</w:t>
            </w:r>
          </w:p>
        </w:tc>
        <w:tc>
          <w:tcPr>
            <w:tcW w:w="5616" w:type="dxa"/>
          </w:tcPr>
          <w:p w14:paraId="057A1167" w14:textId="7856F24B" w:rsidR="00A75191" w:rsidRPr="00150CD2" w:rsidRDefault="00A75191" w:rsidP="00A75191">
            <w:pPr>
              <w:pStyle w:val="EYTableText"/>
              <w:rPr>
                <w:rFonts w:cs="Arial"/>
                <w:sz w:val="24"/>
                <w:lang w:val="en-US"/>
              </w:rPr>
            </w:pPr>
            <w:r w:rsidRPr="00150CD2">
              <w:rPr>
                <w:rFonts w:cs="Arial"/>
                <w:sz w:val="24"/>
                <w:lang w:val="en-US"/>
              </w:rPr>
              <w:t xml:space="preserve">Around 60% of DSS respondents used public transport in the 12 months prior to the </w:t>
            </w:r>
            <w:r w:rsidR="001C304A" w:rsidRPr="00150CD2">
              <w:rPr>
                <w:rFonts w:cs="Arial"/>
                <w:sz w:val="24"/>
                <w:lang w:val="en-US"/>
              </w:rPr>
              <w:t>Disability Survey</w:t>
            </w:r>
            <w:r w:rsidRPr="00150CD2">
              <w:rPr>
                <w:rFonts w:cs="Arial"/>
                <w:sz w:val="24"/>
                <w:lang w:val="en-US"/>
              </w:rPr>
              <w:t>. Public transport usage levels were similar to usage by non-DSS respondents with impairment, however DSS respondents were several times more likely to report challenges with usage:</w:t>
            </w:r>
          </w:p>
          <w:p w14:paraId="05B8DBBD" w14:textId="3A9A3024" w:rsidR="00A75191" w:rsidRPr="00150CD2" w:rsidRDefault="001C304A" w:rsidP="00A75191">
            <w:pPr>
              <w:pStyle w:val="EYTablebullet1"/>
              <w:rPr>
                <w:rFonts w:cs="Arial"/>
                <w:sz w:val="24"/>
                <w:lang w:val="en-US"/>
              </w:rPr>
            </w:pPr>
            <w:r w:rsidRPr="00150CD2">
              <w:rPr>
                <w:rFonts w:cs="Arial"/>
                <w:sz w:val="24"/>
                <w:lang w:val="en-US"/>
              </w:rPr>
              <w:t>27</w:t>
            </w:r>
            <w:r w:rsidR="00A75191" w:rsidRPr="00150CD2">
              <w:rPr>
                <w:rFonts w:cs="Arial"/>
                <w:sz w:val="24"/>
                <w:lang w:val="en-US"/>
              </w:rPr>
              <w:t xml:space="preserve">% of those who used public transport for short distances said they had difficulty because of a condition or health problem </w:t>
            </w:r>
          </w:p>
          <w:p w14:paraId="51EE8A42" w14:textId="4835A986" w:rsidR="00A75191" w:rsidRPr="00150CD2" w:rsidRDefault="001C304A" w:rsidP="00A75191">
            <w:pPr>
              <w:pStyle w:val="EYTablebullet1"/>
              <w:rPr>
                <w:rFonts w:cs="Arial"/>
                <w:sz w:val="24"/>
                <w:lang w:val="en-US"/>
              </w:rPr>
            </w:pPr>
            <w:r w:rsidRPr="00150CD2">
              <w:rPr>
                <w:rFonts w:cs="Arial"/>
                <w:sz w:val="24"/>
                <w:lang w:val="en-US"/>
              </w:rPr>
              <w:t>58</w:t>
            </w:r>
            <w:r w:rsidR="00A75191" w:rsidRPr="00150CD2">
              <w:rPr>
                <w:rFonts w:cs="Arial"/>
                <w:sz w:val="24"/>
                <w:lang w:val="en-US"/>
              </w:rPr>
              <w:t>% of those who did not use public transport said they would have difficulty because of a condition or health problem</w:t>
            </w:r>
          </w:p>
        </w:tc>
      </w:tr>
      <w:tr w:rsidR="004579CC" w:rsidRPr="00150CD2" w14:paraId="3CA7EFE1" w14:textId="77777777" w:rsidTr="00FC0C31">
        <w:tc>
          <w:tcPr>
            <w:tcW w:w="1728" w:type="dxa"/>
            <w:tcBorders>
              <w:bottom w:val="single" w:sz="4" w:space="0" w:color="auto"/>
            </w:tcBorders>
          </w:tcPr>
          <w:p w14:paraId="5A0E74AC" w14:textId="09696296" w:rsidR="004579CC" w:rsidRPr="00150CD2" w:rsidRDefault="00DB5AEF" w:rsidP="00BE6223">
            <w:pPr>
              <w:pStyle w:val="EYTableText"/>
              <w:rPr>
                <w:rFonts w:cs="Arial"/>
                <w:b/>
                <w:sz w:val="24"/>
                <w:lang w:val="en-US"/>
              </w:rPr>
            </w:pPr>
            <w:r w:rsidRPr="00150CD2">
              <w:rPr>
                <w:rFonts w:cs="Arial"/>
                <w:b/>
                <w:sz w:val="24"/>
                <w:lang w:val="en-US"/>
              </w:rPr>
              <w:t>Developing and achieving</w:t>
            </w:r>
          </w:p>
        </w:tc>
        <w:tc>
          <w:tcPr>
            <w:tcW w:w="1728" w:type="dxa"/>
          </w:tcPr>
          <w:p w14:paraId="779EC538" w14:textId="7B8EDC38" w:rsidR="004579CC" w:rsidRPr="00150CD2" w:rsidRDefault="00564148" w:rsidP="00BE6223">
            <w:pPr>
              <w:pStyle w:val="EYTableText"/>
              <w:rPr>
                <w:rFonts w:cs="Arial"/>
                <w:sz w:val="24"/>
                <w:lang w:val="en-US"/>
              </w:rPr>
            </w:pPr>
            <w:r w:rsidRPr="00150CD2">
              <w:rPr>
                <w:rFonts w:cs="Arial"/>
                <w:sz w:val="24"/>
                <w:lang w:val="en-US"/>
              </w:rPr>
              <w:t>Education and employment</w:t>
            </w:r>
          </w:p>
        </w:tc>
        <w:tc>
          <w:tcPr>
            <w:tcW w:w="5616" w:type="dxa"/>
          </w:tcPr>
          <w:p w14:paraId="0CC9DF51" w14:textId="4DB5485B" w:rsidR="001057F2" w:rsidRPr="00150CD2" w:rsidRDefault="001057F2" w:rsidP="00CF2FAD">
            <w:pPr>
              <w:pStyle w:val="EYTableText"/>
              <w:rPr>
                <w:rFonts w:cs="Arial"/>
                <w:sz w:val="24"/>
                <w:lang w:val="en-US"/>
              </w:rPr>
            </w:pPr>
            <w:r w:rsidRPr="00150CD2">
              <w:rPr>
                <w:rFonts w:cs="Arial"/>
                <w:sz w:val="24"/>
                <w:lang w:val="en-US"/>
              </w:rPr>
              <w:t xml:space="preserve">For DSS respondents to the </w:t>
            </w:r>
            <w:r w:rsidR="001C304A" w:rsidRPr="00150CD2">
              <w:rPr>
                <w:rFonts w:cs="Arial"/>
                <w:sz w:val="24"/>
                <w:lang w:val="en-US"/>
              </w:rPr>
              <w:t>Disability Survey</w:t>
            </w:r>
            <w:r w:rsidR="00564148" w:rsidRPr="00150CD2">
              <w:rPr>
                <w:rFonts w:cs="Arial"/>
                <w:sz w:val="24"/>
                <w:lang w:val="en-US"/>
              </w:rPr>
              <w:t>:</w:t>
            </w:r>
          </w:p>
          <w:p w14:paraId="22B7231C" w14:textId="2B2C16FD" w:rsidR="00DB5AEF" w:rsidRPr="00150CD2" w:rsidRDefault="00CB5878" w:rsidP="001057F2">
            <w:pPr>
              <w:pStyle w:val="EYTablebullet1"/>
              <w:rPr>
                <w:rFonts w:cs="Arial"/>
                <w:sz w:val="24"/>
                <w:lang w:val="en-US"/>
              </w:rPr>
            </w:pPr>
            <w:r w:rsidRPr="00150CD2">
              <w:rPr>
                <w:rFonts w:cs="Arial"/>
                <w:sz w:val="24"/>
                <w:lang w:val="en-US"/>
              </w:rPr>
              <w:t>63</w:t>
            </w:r>
            <w:r w:rsidR="00DB5AEF" w:rsidRPr="00150CD2">
              <w:rPr>
                <w:rFonts w:cs="Arial"/>
                <w:sz w:val="24"/>
                <w:lang w:val="en-US"/>
              </w:rPr>
              <w:t>% of 15-</w:t>
            </w:r>
            <w:r w:rsidRPr="00150CD2">
              <w:rPr>
                <w:rFonts w:cs="Arial"/>
                <w:sz w:val="24"/>
                <w:lang w:val="en-US"/>
              </w:rPr>
              <w:t xml:space="preserve">24 </w:t>
            </w:r>
            <w:r w:rsidR="00DB5AEF" w:rsidRPr="00150CD2">
              <w:rPr>
                <w:rFonts w:cs="Arial"/>
                <w:sz w:val="24"/>
                <w:lang w:val="en-US"/>
              </w:rPr>
              <w:t xml:space="preserve">year olds and 6% of those aged </w:t>
            </w:r>
            <w:r w:rsidRPr="00150CD2">
              <w:rPr>
                <w:rFonts w:cs="Arial"/>
                <w:sz w:val="24"/>
                <w:lang w:val="en-US"/>
              </w:rPr>
              <w:t xml:space="preserve">25 </w:t>
            </w:r>
            <w:r w:rsidR="00DB5AEF" w:rsidRPr="00150CD2">
              <w:rPr>
                <w:rFonts w:cs="Arial"/>
                <w:sz w:val="24"/>
                <w:lang w:val="en-US"/>
              </w:rPr>
              <w:t xml:space="preserve">and over were enrolled in formal education or training, including school and tertiary education. </w:t>
            </w:r>
          </w:p>
          <w:p w14:paraId="506ABBBD" w14:textId="557AA760" w:rsidR="001057F2" w:rsidRPr="00150CD2" w:rsidRDefault="00CB5878" w:rsidP="001057F2">
            <w:pPr>
              <w:pStyle w:val="EYTablebullet1"/>
              <w:rPr>
                <w:rFonts w:cs="Arial"/>
                <w:sz w:val="24"/>
                <w:lang w:val="en-US"/>
              </w:rPr>
            </w:pPr>
            <w:r w:rsidRPr="00150CD2">
              <w:rPr>
                <w:rFonts w:cs="Arial"/>
                <w:sz w:val="24"/>
                <w:lang w:val="en-US"/>
              </w:rPr>
              <w:t>48</w:t>
            </w:r>
            <w:r w:rsidR="001057F2" w:rsidRPr="00150CD2">
              <w:rPr>
                <w:rFonts w:cs="Arial"/>
                <w:sz w:val="24"/>
                <w:lang w:val="en-US"/>
              </w:rPr>
              <w:t>% not currently enrolled in study would like to do study or training in the future (similar rates were reported across different age groups)</w:t>
            </w:r>
            <w:r w:rsidRPr="00150CD2">
              <w:rPr>
                <w:rFonts w:cs="Arial"/>
                <w:sz w:val="24"/>
                <w:lang w:val="en-US"/>
              </w:rPr>
              <w:t>.</w:t>
            </w:r>
          </w:p>
          <w:p w14:paraId="2100F446" w14:textId="48589A90" w:rsidR="00CF2FAD" w:rsidRPr="00150CD2" w:rsidRDefault="00AD4B5D" w:rsidP="001057F2">
            <w:pPr>
              <w:pStyle w:val="EYTablebullet1"/>
              <w:rPr>
                <w:rFonts w:cs="Arial"/>
                <w:sz w:val="24"/>
                <w:lang w:val="en-US"/>
              </w:rPr>
            </w:pPr>
            <w:r w:rsidRPr="00150CD2">
              <w:rPr>
                <w:rFonts w:cs="Arial"/>
                <w:sz w:val="24"/>
                <w:lang w:val="en-US"/>
              </w:rPr>
              <w:t>20% of DSS adults had a paid job or were self-employed (18</w:t>
            </w:r>
            <w:r w:rsidR="001057F2" w:rsidRPr="00150CD2">
              <w:rPr>
                <w:rFonts w:cs="Arial"/>
                <w:sz w:val="24"/>
                <w:lang w:val="en-US"/>
              </w:rPr>
              <w:t>% of 15-</w:t>
            </w:r>
            <w:r w:rsidRPr="00150CD2">
              <w:rPr>
                <w:rFonts w:cs="Arial"/>
                <w:sz w:val="24"/>
                <w:lang w:val="en-US"/>
              </w:rPr>
              <w:t xml:space="preserve">24 </w:t>
            </w:r>
            <w:r w:rsidR="001057F2" w:rsidRPr="00150CD2">
              <w:rPr>
                <w:rFonts w:cs="Arial"/>
                <w:sz w:val="24"/>
                <w:lang w:val="en-US"/>
              </w:rPr>
              <w:t xml:space="preserve">year olds and 22% of adults aged </w:t>
            </w:r>
            <w:r w:rsidRPr="00150CD2">
              <w:rPr>
                <w:rFonts w:cs="Arial"/>
                <w:sz w:val="24"/>
                <w:lang w:val="en-US"/>
              </w:rPr>
              <w:t xml:space="preserve">25 </w:t>
            </w:r>
            <w:r w:rsidR="001057F2" w:rsidRPr="00150CD2">
              <w:rPr>
                <w:rFonts w:cs="Arial"/>
                <w:sz w:val="24"/>
                <w:lang w:val="en-US"/>
              </w:rPr>
              <w:t>and over</w:t>
            </w:r>
            <w:r w:rsidRPr="00150CD2">
              <w:rPr>
                <w:rFonts w:cs="Arial"/>
                <w:sz w:val="24"/>
                <w:lang w:val="en-US"/>
              </w:rPr>
              <w:t>)</w:t>
            </w:r>
            <w:r w:rsidR="00CB5878" w:rsidRPr="00150CD2">
              <w:rPr>
                <w:rFonts w:cs="Arial"/>
                <w:sz w:val="24"/>
                <w:lang w:val="en-US"/>
              </w:rPr>
              <w:t>.</w:t>
            </w:r>
            <w:r w:rsidRPr="00150CD2">
              <w:rPr>
                <w:rFonts w:cs="Arial"/>
                <w:sz w:val="24"/>
                <w:lang w:val="en-US"/>
              </w:rPr>
              <w:t xml:space="preserve"> This was lower than for non-DSS adults with impairments (57%) and non-DSS adults without impairments (77%).</w:t>
            </w:r>
          </w:p>
        </w:tc>
      </w:tr>
      <w:tr w:rsidR="00BE6223" w:rsidRPr="00150CD2" w14:paraId="657B5027" w14:textId="77777777" w:rsidTr="00FC0C31">
        <w:tc>
          <w:tcPr>
            <w:tcW w:w="1728" w:type="dxa"/>
            <w:tcBorders>
              <w:bottom w:val="nil"/>
            </w:tcBorders>
          </w:tcPr>
          <w:p w14:paraId="2F827257" w14:textId="77777777" w:rsidR="00BE6223" w:rsidRPr="00150CD2" w:rsidRDefault="00BE6223" w:rsidP="00BE6223">
            <w:pPr>
              <w:pStyle w:val="EYTableText"/>
              <w:rPr>
                <w:rFonts w:cs="Arial"/>
                <w:b/>
                <w:sz w:val="24"/>
                <w:lang w:val="en-US"/>
              </w:rPr>
            </w:pPr>
            <w:r w:rsidRPr="00150CD2">
              <w:rPr>
                <w:rFonts w:cs="Arial"/>
                <w:b/>
                <w:sz w:val="24"/>
                <w:lang w:val="en-US"/>
              </w:rPr>
              <w:t>Belong Contribute and are Valued</w:t>
            </w:r>
          </w:p>
          <w:p w14:paraId="3E3617B1" w14:textId="5EA78299" w:rsidR="009150D9" w:rsidRPr="00150CD2" w:rsidRDefault="009150D9" w:rsidP="00BE6223">
            <w:pPr>
              <w:pStyle w:val="EYTableText"/>
              <w:rPr>
                <w:rFonts w:cs="Arial"/>
                <w:b/>
                <w:sz w:val="24"/>
                <w:lang w:val="en-US"/>
              </w:rPr>
            </w:pPr>
            <w:r w:rsidRPr="00150CD2">
              <w:rPr>
                <w:rFonts w:cs="Arial"/>
                <w:b/>
                <w:sz w:val="24"/>
                <w:lang w:val="en-US"/>
              </w:rPr>
              <w:t>Have positive relationships</w:t>
            </w:r>
          </w:p>
        </w:tc>
        <w:tc>
          <w:tcPr>
            <w:tcW w:w="1728" w:type="dxa"/>
          </w:tcPr>
          <w:p w14:paraId="4CAFC5BD" w14:textId="77777777" w:rsidR="00564148" w:rsidRPr="00150CD2" w:rsidRDefault="00564148" w:rsidP="00BE6223">
            <w:pPr>
              <w:pStyle w:val="EYTableText"/>
              <w:rPr>
                <w:rFonts w:cs="Arial"/>
                <w:sz w:val="24"/>
                <w:lang w:val="en-US"/>
              </w:rPr>
            </w:pPr>
            <w:r w:rsidRPr="00150CD2">
              <w:rPr>
                <w:rFonts w:cs="Arial"/>
                <w:sz w:val="24"/>
                <w:lang w:val="en-US"/>
              </w:rPr>
              <w:t>Participation in community, leisure and recreation activities</w:t>
            </w:r>
          </w:p>
          <w:p w14:paraId="3C37B705" w14:textId="2E73BDA1" w:rsidR="00564148" w:rsidRPr="00150CD2" w:rsidRDefault="00564148" w:rsidP="00BE6223">
            <w:pPr>
              <w:pStyle w:val="EYTableText"/>
              <w:rPr>
                <w:rFonts w:cs="Arial"/>
                <w:sz w:val="24"/>
                <w:lang w:val="en-US"/>
              </w:rPr>
            </w:pPr>
            <w:r w:rsidRPr="00150CD2">
              <w:rPr>
                <w:rFonts w:cs="Arial"/>
                <w:sz w:val="24"/>
                <w:lang w:val="en-US"/>
              </w:rPr>
              <w:t>Volunteer activities</w:t>
            </w:r>
          </w:p>
        </w:tc>
        <w:tc>
          <w:tcPr>
            <w:tcW w:w="5616" w:type="dxa"/>
          </w:tcPr>
          <w:p w14:paraId="07E6ADD9" w14:textId="5156446C" w:rsidR="00BA2137" w:rsidRPr="00150CD2" w:rsidRDefault="00BA2137" w:rsidP="00BE6223">
            <w:pPr>
              <w:pStyle w:val="EYTableText"/>
              <w:rPr>
                <w:rFonts w:cs="Arial"/>
                <w:sz w:val="24"/>
                <w:lang w:val="en-US"/>
              </w:rPr>
            </w:pPr>
            <w:r w:rsidRPr="00150CD2">
              <w:rPr>
                <w:rFonts w:cs="Arial"/>
                <w:sz w:val="24"/>
                <w:lang w:val="en-US"/>
              </w:rPr>
              <w:t xml:space="preserve">DSS </w:t>
            </w:r>
            <w:r w:rsidR="00683FE7" w:rsidRPr="00150CD2">
              <w:rPr>
                <w:rFonts w:cs="Arial"/>
                <w:sz w:val="24"/>
                <w:lang w:val="en-US"/>
              </w:rPr>
              <w:t xml:space="preserve">Disability Survey </w:t>
            </w:r>
            <w:r w:rsidRPr="00150CD2">
              <w:rPr>
                <w:rFonts w:cs="Arial"/>
                <w:sz w:val="24"/>
                <w:lang w:val="en-US"/>
              </w:rPr>
              <w:t xml:space="preserve">respondents </w:t>
            </w:r>
            <w:r w:rsidR="00DD5444" w:rsidRPr="00150CD2">
              <w:rPr>
                <w:rFonts w:cs="Arial"/>
                <w:sz w:val="24"/>
                <w:lang w:val="en-US"/>
              </w:rPr>
              <w:t>described involvement in a range of activities</w:t>
            </w:r>
            <w:r w:rsidR="003A112B" w:rsidRPr="00150CD2">
              <w:rPr>
                <w:rFonts w:cs="Arial"/>
                <w:sz w:val="24"/>
                <w:lang w:val="en-US"/>
              </w:rPr>
              <w:t xml:space="preserve"> in the 4 weeks prior to the survey</w:t>
            </w:r>
            <w:r w:rsidR="00683FE7" w:rsidRPr="00150CD2">
              <w:rPr>
                <w:rFonts w:cs="Arial"/>
                <w:sz w:val="24"/>
                <w:lang w:val="en-US"/>
              </w:rPr>
              <w:t>. F</w:t>
            </w:r>
            <w:r w:rsidR="00DD5444" w:rsidRPr="00150CD2">
              <w:rPr>
                <w:rFonts w:cs="Arial"/>
                <w:sz w:val="24"/>
                <w:lang w:val="en-US"/>
              </w:rPr>
              <w:t>or example:</w:t>
            </w:r>
          </w:p>
          <w:p w14:paraId="56AC7413" w14:textId="758BC05E" w:rsidR="00920926" w:rsidRPr="00150CD2" w:rsidRDefault="00BA2137" w:rsidP="009150D9">
            <w:pPr>
              <w:pStyle w:val="EYTablebullet1"/>
              <w:rPr>
                <w:rFonts w:cs="Arial"/>
                <w:sz w:val="24"/>
                <w:lang w:val="en-US"/>
              </w:rPr>
            </w:pPr>
            <w:r w:rsidRPr="00150CD2">
              <w:rPr>
                <w:rFonts w:cs="Arial"/>
                <w:sz w:val="24"/>
                <w:lang w:val="en-US"/>
              </w:rPr>
              <w:t>27% said they did voluntary work</w:t>
            </w:r>
            <w:r w:rsidR="003A112B" w:rsidRPr="00150CD2">
              <w:rPr>
                <w:rFonts w:cs="Arial"/>
                <w:sz w:val="24"/>
                <w:lang w:val="en-US"/>
              </w:rPr>
              <w:t xml:space="preserve"> for an organisation, community group or person not living with them</w:t>
            </w:r>
          </w:p>
          <w:p w14:paraId="4AE04895" w14:textId="196B4DA3" w:rsidR="00BA2137" w:rsidRPr="00150CD2" w:rsidRDefault="003A112B" w:rsidP="009150D9">
            <w:pPr>
              <w:pStyle w:val="EYTablebullet1"/>
              <w:rPr>
                <w:rFonts w:cs="Arial"/>
                <w:sz w:val="24"/>
                <w:lang w:val="en-US"/>
              </w:rPr>
            </w:pPr>
            <w:r w:rsidRPr="00150CD2">
              <w:rPr>
                <w:rFonts w:cs="Arial"/>
                <w:sz w:val="24"/>
                <w:lang w:val="en-US"/>
              </w:rPr>
              <w:t>68</w:t>
            </w:r>
            <w:r w:rsidR="00BA2137" w:rsidRPr="00150CD2">
              <w:rPr>
                <w:rFonts w:cs="Arial"/>
                <w:sz w:val="24"/>
                <w:lang w:val="en-US"/>
              </w:rPr>
              <w:t>% had been to a café, restaurant or pub</w:t>
            </w:r>
          </w:p>
          <w:p w14:paraId="53F63084" w14:textId="448E283A" w:rsidR="007600DA" w:rsidRPr="00150CD2" w:rsidRDefault="007600DA" w:rsidP="009150D9">
            <w:pPr>
              <w:pStyle w:val="EYTablebullet1"/>
              <w:rPr>
                <w:rFonts w:cs="Arial"/>
                <w:sz w:val="24"/>
                <w:lang w:val="en-US"/>
              </w:rPr>
            </w:pPr>
            <w:r w:rsidRPr="00150CD2">
              <w:rPr>
                <w:rFonts w:cs="Arial"/>
                <w:sz w:val="24"/>
                <w:lang w:val="en-US"/>
              </w:rPr>
              <w:t>24% had been to a theatre or cinema</w:t>
            </w:r>
          </w:p>
          <w:p w14:paraId="7543B337" w14:textId="7130B4C9" w:rsidR="007600DA" w:rsidRPr="00150CD2" w:rsidRDefault="007600DA" w:rsidP="00BE6223">
            <w:pPr>
              <w:pStyle w:val="EYTableText"/>
              <w:rPr>
                <w:rFonts w:cs="Arial"/>
                <w:sz w:val="24"/>
                <w:lang w:val="en-US"/>
              </w:rPr>
            </w:pPr>
            <w:r w:rsidRPr="00150CD2">
              <w:rPr>
                <w:rFonts w:cs="Arial"/>
                <w:sz w:val="24"/>
                <w:lang w:val="en-US"/>
              </w:rPr>
              <w:t>In general</w:t>
            </w:r>
            <w:r w:rsidR="003A112B" w:rsidRPr="00150CD2">
              <w:rPr>
                <w:rFonts w:cs="Arial"/>
                <w:sz w:val="24"/>
                <w:lang w:val="en-US"/>
              </w:rPr>
              <w:t>,</w:t>
            </w:r>
            <w:r w:rsidRPr="00150CD2">
              <w:rPr>
                <w:rFonts w:cs="Arial"/>
                <w:sz w:val="24"/>
                <w:lang w:val="en-US"/>
              </w:rPr>
              <w:t xml:space="preserve"> the proportion of DSS respondents involved in these activities was lower than for non-DSS respondents</w:t>
            </w:r>
            <w:r w:rsidR="003A112B" w:rsidRPr="00150CD2">
              <w:rPr>
                <w:rFonts w:cs="Arial"/>
                <w:sz w:val="24"/>
                <w:lang w:val="en-US"/>
              </w:rPr>
              <w:t xml:space="preserve"> without impairments</w:t>
            </w:r>
            <w:r w:rsidR="00DD5444" w:rsidRPr="00150CD2">
              <w:rPr>
                <w:rFonts w:cs="Arial"/>
                <w:sz w:val="24"/>
                <w:lang w:val="en-US"/>
              </w:rPr>
              <w:t>, although differences varied depending on the activity and other characteristics (e.g. age)</w:t>
            </w:r>
            <w:r w:rsidR="003A112B" w:rsidRPr="00150CD2">
              <w:rPr>
                <w:rFonts w:cs="Arial"/>
                <w:sz w:val="24"/>
                <w:lang w:val="en-US"/>
              </w:rPr>
              <w:t xml:space="preserve">. </w:t>
            </w:r>
            <w:r w:rsidR="00DD5444" w:rsidRPr="00150CD2">
              <w:rPr>
                <w:rFonts w:cs="Arial"/>
                <w:sz w:val="24"/>
                <w:lang w:val="en-US"/>
              </w:rPr>
              <w:t xml:space="preserve">DSS </w:t>
            </w:r>
            <w:r w:rsidR="005A4103" w:rsidRPr="00150CD2">
              <w:rPr>
                <w:rFonts w:cs="Arial"/>
                <w:sz w:val="24"/>
                <w:lang w:val="en-US"/>
              </w:rPr>
              <w:t xml:space="preserve">young people </w:t>
            </w:r>
            <w:r w:rsidRPr="00150CD2">
              <w:rPr>
                <w:rFonts w:cs="Arial"/>
                <w:sz w:val="24"/>
                <w:lang w:val="en-US"/>
              </w:rPr>
              <w:t>(ages 15-2</w:t>
            </w:r>
            <w:r w:rsidR="00AE6863" w:rsidRPr="00150CD2">
              <w:rPr>
                <w:rFonts w:cs="Arial"/>
                <w:sz w:val="24"/>
                <w:lang w:val="en-US"/>
              </w:rPr>
              <w:t>4</w:t>
            </w:r>
            <w:r w:rsidRPr="00150CD2">
              <w:rPr>
                <w:rFonts w:cs="Arial"/>
                <w:sz w:val="24"/>
                <w:lang w:val="en-US"/>
              </w:rPr>
              <w:t xml:space="preserve">) </w:t>
            </w:r>
            <w:r w:rsidR="00DD5444" w:rsidRPr="00150CD2">
              <w:rPr>
                <w:rFonts w:cs="Arial"/>
                <w:sz w:val="24"/>
                <w:lang w:val="en-US"/>
              </w:rPr>
              <w:t xml:space="preserve">had higher levels of involvement in </w:t>
            </w:r>
            <w:r w:rsidRPr="00150CD2">
              <w:rPr>
                <w:rFonts w:cs="Arial"/>
                <w:sz w:val="24"/>
                <w:lang w:val="en-US"/>
              </w:rPr>
              <w:t xml:space="preserve">all activities </w:t>
            </w:r>
            <w:r w:rsidR="00DD5444" w:rsidRPr="00150CD2">
              <w:rPr>
                <w:rFonts w:cs="Arial"/>
                <w:sz w:val="24"/>
                <w:lang w:val="en-US"/>
              </w:rPr>
              <w:t xml:space="preserve">compared to </w:t>
            </w:r>
            <w:r w:rsidRPr="00150CD2">
              <w:rPr>
                <w:rFonts w:cs="Arial"/>
                <w:sz w:val="24"/>
                <w:lang w:val="en-US"/>
              </w:rPr>
              <w:t>age</w:t>
            </w:r>
            <w:r w:rsidR="00DD5444" w:rsidRPr="00150CD2">
              <w:rPr>
                <w:rFonts w:cs="Arial"/>
                <w:sz w:val="24"/>
                <w:lang w:val="en-US"/>
              </w:rPr>
              <w:t>s</w:t>
            </w:r>
            <w:r w:rsidRPr="00150CD2">
              <w:rPr>
                <w:rFonts w:cs="Arial"/>
                <w:sz w:val="24"/>
                <w:lang w:val="en-US"/>
              </w:rPr>
              <w:t xml:space="preserve"> 2</w:t>
            </w:r>
            <w:r w:rsidR="00AE6863" w:rsidRPr="00150CD2">
              <w:rPr>
                <w:rFonts w:cs="Arial"/>
                <w:sz w:val="24"/>
                <w:lang w:val="en-US"/>
              </w:rPr>
              <w:t>5</w:t>
            </w:r>
            <w:r w:rsidRPr="00150CD2">
              <w:rPr>
                <w:rFonts w:cs="Arial"/>
                <w:sz w:val="24"/>
                <w:lang w:val="en-US"/>
              </w:rPr>
              <w:t xml:space="preserve"> and over, reflecting similar</w:t>
            </w:r>
            <w:r w:rsidR="00DD5444" w:rsidRPr="00150CD2">
              <w:rPr>
                <w:rFonts w:cs="Arial"/>
                <w:sz w:val="24"/>
                <w:lang w:val="en-US"/>
              </w:rPr>
              <w:t xml:space="preserve"> age-related</w:t>
            </w:r>
            <w:r w:rsidRPr="00150CD2">
              <w:rPr>
                <w:rFonts w:cs="Arial"/>
                <w:sz w:val="24"/>
                <w:lang w:val="en-US"/>
              </w:rPr>
              <w:t xml:space="preserve"> differences </w:t>
            </w:r>
            <w:r w:rsidR="00DD5444" w:rsidRPr="00150CD2">
              <w:rPr>
                <w:rFonts w:cs="Arial"/>
                <w:sz w:val="24"/>
                <w:lang w:val="en-US"/>
              </w:rPr>
              <w:t>for</w:t>
            </w:r>
            <w:r w:rsidRPr="00150CD2">
              <w:rPr>
                <w:rFonts w:cs="Arial"/>
                <w:sz w:val="24"/>
                <w:lang w:val="en-US"/>
              </w:rPr>
              <w:t xml:space="preserve"> non-DSS respondent</w:t>
            </w:r>
            <w:r w:rsidR="00DD5444" w:rsidRPr="00150CD2">
              <w:rPr>
                <w:rFonts w:cs="Arial"/>
                <w:sz w:val="24"/>
                <w:lang w:val="en-US"/>
              </w:rPr>
              <w:t>s.</w:t>
            </w:r>
          </w:p>
          <w:p w14:paraId="40750CDD" w14:textId="5AFFD05C" w:rsidR="009150D9" w:rsidRPr="00150CD2" w:rsidRDefault="00C45169" w:rsidP="00683FE7">
            <w:pPr>
              <w:pStyle w:val="EYTableText"/>
              <w:rPr>
                <w:rFonts w:cs="Arial"/>
                <w:sz w:val="24"/>
                <w:lang w:val="en-US"/>
              </w:rPr>
            </w:pPr>
            <w:r w:rsidRPr="00150CD2">
              <w:rPr>
                <w:rFonts w:cs="Arial"/>
                <w:sz w:val="24"/>
                <w:lang w:val="en-US"/>
              </w:rPr>
              <w:t>Non-DSS respondents with impairments had similar or slightly higher levels of involvement in these activities.</w:t>
            </w:r>
          </w:p>
        </w:tc>
      </w:tr>
      <w:tr w:rsidR="00683FE7" w:rsidRPr="00150CD2" w14:paraId="1BE95D02" w14:textId="77777777" w:rsidTr="00FC0C31">
        <w:tc>
          <w:tcPr>
            <w:tcW w:w="1728" w:type="dxa"/>
            <w:tcBorders>
              <w:top w:val="nil"/>
            </w:tcBorders>
          </w:tcPr>
          <w:p w14:paraId="001A4764" w14:textId="77777777" w:rsidR="00683FE7" w:rsidRPr="00150CD2" w:rsidRDefault="00683FE7" w:rsidP="00BE6223">
            <w:pPr>
              <w:pStyle w:val="EYTableText"/>
              <w:rPr>
                <w:rFonts w:cs="Arial"/>
                <w:b/>
                <w:sz w:val="24"/>
                <w:lang w:val="en-US"/>
              </w:rPr>
            </w:pPr>
          </w:p>
        </w:tc>
        <w:tc>
          <w:tcPr>
            <w:tcW w:w="1728" w:type="dxa"/>
            <w:tcMar>
              <w:right w:w="43" w:type="dxa"/>
            </w:tcMar>
          </w:tcPr>
          <w:p w14:paraId="0B3176B0" w14:textId="529D9FF1" w:rsidR="00683FE7" w:rsidRPr="00150CD2" w:rsidRDefault="00683FE7" w:rsidP="00BE6223">
            <w:pPr>
              <w:pStyle w:val="EYTableText"/>
              <w:rPr>
                <w:rFonts w:cs="Arial"/>
                <w:sz w:val="24"/>
                <w:lang w:val="en-US"/>
              </w:rPr>
            </w:pPr>
            <w:r w:rsidRPr="00150CD2">
              <w:rPr>
                <w:rFonts w:cs="Arial"/>
                <w:sz w:val="24"/>
                <w:lang w:val="en-US"/>
              </w:rPr>
              <w:t>Discrimination</w:t>
            </w:r>
          </w:p>
        </w:tc>
        <w:tc>
          <w:tcPr>
            <w:tcW w:w="5616" w:type="dxa"/>
          </w:tcPr>
          <w:p w14:paraId="23D784DA" w14:textId="77777777" w:rsidR="00683FE7" w:rsidRPr="00150CD2" w:rsidRDefault="00683FE7" w:rsidP="00683FE7">
            <w:pPr>
              <w:pStyle w:val="EYTableText"/>
              <w:rPr>
                <w:rFonts w:cs="Arial"/>
                <w:sz w:val="24"/>
                <w:lang w:val="en-US"/>
              </w:rPr>
            </w:pPr>
            <w:r w:rsidRPr="00150CD2">
              <w:rPr>
                <w:rFonts w:cs="Arial"/>
                <w:b/>
                <w:bCs/>
                <w:sz w:val="24"/>
                <w:lang w:val="en-US"/>
              </w:rPr>
              <w:t>32% of DSS Disability Survey respondents said they had been personally discriminated against (that is, treated unfairly or differently from other people) in the prior 12 months.</w:t>
            </w:r>
            <w:r w:rsidRPr="00150CD2">
              <w:rPr>
                <w:rFonts w:cs="Arial"/>
                <w:sz w:val="24"/>
                <w:lang w:val="en-US"/>
              </w:rPr>
              <w:t xml:space="preserve"> This was almost twice the proportion of non-DSS respondents with impairments (18%) and 3 times the proportion of non-DSS respondents without impairments (10%) who reported discrimination.</w:t>
            </w:r>
          </w:p>
          <w:p w14:paraId="1E105C7D" w14:textId="77777777" w:rsidR="00683FE7" w:rsidRPr="00150CD2" w:rsidRDefault="00683FE7" w:rsidP="00683FE7">
            <w:pPr>
              <w:pStyle w:val="EYTableText"/>
              <w:rPr>
                <w:rFonts w:cs="Arial"/>
                <w:sz w:val="24"/>
                <w:lang w:val="en-US"/>
              </w:rPr>
            </w:pPr>
          </w:p>
          <w:p w14:paraId="19726CA1" w14:textId="77777777" w:rsidR="00683FE7" w:rsidRPr="00150CD2" w:rsidRDefault="00683FE7" w:rsidP="00683FE7">
            <w:pPr>
              <w:pStyle w:val="EYTableText"/>
              <w:rPr>
                <w:rFonts w:cs="Arial"/>
                <w:sz w:val="24"/>
                <w:lang w:val="en-US"/>
              </w:rPr>
            </w:pPr>
            <w:r w:rsidRPr="00150CD2">
              <w:rPr>
                <w:rFonts w:cs="Arial"/>
                <w:bCs/>
                <w:sz w:val="24"/>
                <w:lang w:val="en-US"/>
              </w:rPr>
              <w:t>Similarly,</w:t>
            </w:r>
            <w:r w:rsidRPr="00150CD2">
              <w:rPr>
                <w:rFonts w:cs="Arial"/>
                <w:b/>
                <w:sz w:val="24"/>
                <w:lang w:val="en-US"/>
              </w:rPr>
              <w:t xml:space="preserve"> </w:t>
            </w:r>
            <w:r w:rsidRPr="00150CD2">
              <w:rPr>
                <w:rFonts w:cs="Arial"/>
                <w:sz w:val="24"/>
                <w:lang w:val="en-US"/>
              </w:rPr>
              <w:t>36% of DSS General Social Survey respondents said they had experienced discrimination in in the prior 12 months, including due to their disability status. This was more than twice the proportion of non-DSS respondents who reported discrimination (16%).</w:t>
            </w:r>
          </w:p>
          <w:p w14:paraId="76ED4E9B" w14:textId="77777777" w:rsidR="00683FE7" w:rsidRPr="00150CD2" w:rsidRDefault="00683FE7" w:rsidP="00683FE7">
            <w:pPr>
              <w:pStyle w:val="EYTableText"/>
              <w:rPr>
                <w:rFonts w:cs="Arial"/>
                <w:sz w:val="24"/>
                <w:lang w:val="en-US"/>
              </w:rPr>
            </w:pPr>
          </w:p>
          <w:p w14:paraId="03A2E9A0" w14:textId="5132240E" w:rsidR="00683FE7" w:rsidRPr="00150CD2" w:rsidDel="00683FE7" w:rsidRDefault="00683FE7" w:rsidP="00683FE7">
            <w:pPr>
              <w:pStyle w:val="EYTableText"/>
              <w:rPr>
                <w:rFonts w:cs="Arial"/>
                <w:b/>
                <w:sz w:val="24"/>
                <w:lang w:val="en-US"/>
              </w:rPr>
            </w:pPr>
            <w:r w:rsidRPr="00150CD2">
              <w:rPr>
                <w:rFonts w:cs="Arial"/>
                <w:sz w:val="24"/>
                <w:lang w:val="en-US"/>
              </w:rPr>
              <w:t>Discrimination responses appeared broadly similar across age groups, disability types and SPA levels in both surveys.</w:t>
            </w:r>
          </w:p>
        </w:tc>
      </w:tr>
      <w:tr w:rsidR="00BE6223" w:rsidRPr="00150CD2" w14:paraId="4D904644" w14:textId="77777777" w:rsidTr="009C2F81">
        <w:tc>
          <w:tcPr>
            <w:tcW w:w="1728" w:type="dxa"/>
          </w:tcPr>
          <w:p w14:paraId="46BEC827" w14:textId="77777777" w:rsidR="00BE6223" w:rsidRPr="00150CD2" w:rsidRDefault="00BE6223" w:rsidP="00BE6223">
            <w:pPr>
              <w:pStyle w:val="EYTableText"/>
              <w:rPr>
                <w:rFonts w:cs="Arial"/>
                <w:b/>
                <w:sz w:val="24"/>
                <w:lang w:val="en-US"/>
              </w:rPr>
            </w:pPr>
            <w:r w:rsidRPr="00150CD2">
              <w:rPr>
                <w:rFonts w:cs="Arial"/>
                <w:b/>
                <w:sz w:val="24"/>
                <w:lang w:val="en-US"/>
              </w:rPr>
              <w:t>Have positive relationships</w:t>
            </w:r>
          </w:p>
        </w:tc>
        <w:tc>
          <w:tcPr>
            <w:tcW w:w="1728" w:type="dxa"/>
          </w:tcPr>
          <w:p w14:paraId="4F479927" w14:textId="77777777" w:rsidR="00310D9A" w:rsidRPr="00150CD2" w:rsidRDefault="00310D9A" w:rsidP="00310D9A">
            <w:pPr>
              <w:pStyle w:val="EYTableText"/>
              <w:rPr>
                <w:rFonts w:cs="Arial"/>
                <w:sz w:val="24"/>
                <w:lang w:val="en-US"/>
              </w:rPr>
            </w:pPr>
            <w:r w:rsidRPr="00150CD2">
              <w:rPr>
                <w:rFonts w:cs="Arial"/>
                <w:sz w:val="24"/>
                <w:lang w:val="en-US"/>
              </w:rPr>
              <w:t>Family contact</w:t>
            </w:r>
          </w:p>
          <w:p w14:paraId="08CB594B" w14:textId="77777777" w:rsidR="00310D9A" w:rsidRPr="00150CD2" w:rsidRDefault="00310D9A" w:rsidP="00310D9A">
            <w:pPr>
              <w:pStyle w:val="EYTableText"/>
              <w:rPr>
                <w:rFonts w:cs="Arial"/>
                <w:sz w:val="24"/>
                <w:lang w:val="en-US"/>
              </w:rPr>
            </w:pPr>
            <w:r w:rsidRPr="00150CD2">
              <w:rPr>
                <w:rFonts w:cs="Arial"/>
                <w:sz w:val="24"/>
                <w:lang w:val="en-US"/>
              </w:rPr>
              <w:t>Friends contact</w:t>
            </w:r>
          </w:p>
          <w:p w14:paraId="20114DCC" w14:textId="79BB024F" w:rsidR="00564148" w:rsidRPr="00150CD2" w:rsidRDefault="00564148" w:rsidP="00BE6223">
            <w:pPr>
              <w:pStyle w:val="EYTableText"/>
              <w:rPr>
                <w:rFonts w:cs="Arial"/>
                <w:sz w:val="24"/>
                <w:lang w:val="en-US"/>
              </w:rPr>
            </w:pPr>
            <w:r w:rsidRPr="00150CD2">
              <w:rPr>
                <w:rFonts w:cs="Arial"/>
                <w:sz w:val="24"/>
                <w:lang w:val="en-US"/>
              </w:rPr>
              <w:t>Social connected</w:t>
            </w:r>
            <w:r w:rsidR="009C2F81" w:rsidRPr="00150CD2">
              <w:rPr>
                <w:rFonts w:cs="Arial"/>
                <w:sz w:val="24"/>
                <w:lang w:val="en-US"/>
              </w:rPr>
              <w:t>-</w:t>
            </w:r>
            <w:r w:rsidRPr="00150CD2">
              <w:rPr>
                <w:rFonts w:cs="Arial"/>
                <w:sz w:val="24"/>
                <w:lang w:val="en-US"/>
              </w:rPr>
              <w:t>ness</w:t>
            </w:r>
          </w:p>
        </w:tc>
        <w:tc>
          <w:tcPr>
            <w:tcW w:w="5616" w:type="dxa"/>
          </w:tcPr>
          <w:p w14:paraId="574FBABF" w14:textId="22E93C1B" w:rsidR="00452BA2" w:rsidRPr="00150CD2" w:rsidRDefault="00452BA2" w:rsidP="00BE6223">
            <w:pPr>
              <w:pStyle w:val="EYTableText"/>
              <w:rPr>
                <w:rFonts w:cs="Arial"/>
                <w:b/>
                <w:sz w:val="24"/>
                <w:lang w:val="en-US"/>
              </w:rPr>
            </w:pPr>
            <w:r w:rsidRPr="00150CD2">
              <w:rPr>
                <w:rFonts w:cs="Arial"/>
                <w:b/>
                <w:sz w:val="24"/>
                <w:lang w:val="en-US"/>
              </w:rPr>
              <w:t xml:space="preserve">Around </w:t>
            </w:r>
            <w:r w:rsidR="00B51556" w:rsidRPr="00150CD2">
              <w:rPr>
                <w:rFonts w:cs="Arial"/>
                <w:b/>
                <w:sz w:val="24"/>
                <w:lang w:val="en-US"/>
              </w:rPr>
              <w:t>two thirds (64-66</w:t>
            </w:r>
            <w:r w:rsidRPr="00150CD2">
              <w:rPr>
                <w:rFonts w:cs="Arial"/>
                <w:b/>
                <w:sz w:val="24"/>
                <w:lang w:val="en-US"/>
              </w:rPr>
              <w:t>%</w:t>
            </w:r>
            <w:r w:rsidR="00B51556" w:rsidRPr="00150CD2">
              <w:rPr>
                <w:rFonts w:cs="Arial"/>
                <w:b/>
                <w:sz w:val="24"/>
                <w:lang w:val="en-US"/>
              </w:rPr>
              <w:t>)</w:t>
            </w:r>
            <w:r w:rsidRPr="00150CD2">
              <w:rPr>
                <w:rFonts w:cs="Arial"/>
                <w:b/>
                <w:sz w:val="24"/>
                <w:lang w:val="en-US"/>
              </w:rPr>
              <w:t xml:space="preserve"> of DSS respondents said they had never or occasionally felt lonely in the month leading up to the survey, and the majority (over 75%) reported having contact with family, other relatives or friends over the prior month. </w:t>
            </w:r>
          </w:p>
          <w:p w14:paraId="1FA08D7D" w14:textId="68B393C0" w:rsidR="00452BA2" w:rsidRPr="00150CD2" w:rsidRDefault="00920926" w:rsidP="00BE6223">
            <w:pPr>
              <w:pStyle w:val="EYTableText"/>
              <w:rPr>
                <w:rFonts w:cs="Arial"/>
                <w:b/>
                <w:sz w:val="24"/>
                <w:lang w:val="en-US"/>
              </w:rPr>
            </w:pPr>
            <w:r w:rsidRPr="00150CD2">
              <w:rPr>
                <w:rFonts w:cs="Arial"/>
                <w:b/>
                <w:sz w:val="24"/>
                <w:lang w:val="en-US"/>
              </w:rPr>
              <w:t>G</w:t>
            </w:r>
            <w:r w:rsidR="007F7CC1" w:rsidRPr="00150CD2">
              <w:rPr>
                <w:rFonts w:cs="Arial"/>
                <w:b/>
                <w:sz w:val="24"/>
                <w:lang w:val="en-US"/>
              </w:rPr>
              <w:t>eneral Social Survey</w:t>
            </w:r>
            <w:r w:rsidRPr="00150CD2">
              <w:rPr>
                <w:rFonts w:cs="Arial"/>
                <w:b/>
                <w:sz w:val="24"/>
                <w:lang w:val="en-US"/>
              </w:rPr>
              <w:t xml:space="preserve">: </w:t>
            </w:r>
          </w:p>
          <w:p w14:paraId="379D6597" w14:textId="4F9F0C04" w:rsidR="00920926" w:rsidRPr="00150CD2" w:rsidRDefault="00A50645" w:rsidP="00BE6223">
            <w:pPr>
              <w:pStyle w:val="EYTablebullet1"/>
              <w:rPr>
                <w:rFonts w:cs="Arial"/>
                <w:sz w:val="24"/>
                <w:lang w:val="en-US"/>
              </w:rPr>
            </w:pPr>
            <w:r w:rsidRPr="00150CD2">
              <w:rPr>
                <w:rFonts w:cs="Arial"/>
                <w:sz w:val="24"/>
                <w:lang w:val="en-US"/>
              </w:rPr>
              <w:t>Around</w:t>
            </w:r>
            <w:r w:rsidR="00BE6223" w:rsidRPr="00150CD2">
              <w:rPr>
                <w:rFonts w:cs="Arial"/>
                <w:sz w:val="24"/>
                <w:lang w:val="en-US"/>
              </w:rPr>
              <w:t xml:space="preserve"> </w:t>
            </w:r>
            <w:r w:rsidR="007F7CC1" w:rsidRPr="00150CD2">
              <w:rPr>
                <w:rFonts w:cs="Arial"/>
                <w:sz w:val="24"/>
                <w:lang w:val="en-US"/>
              </w:rPr>
              <w:t>64</w:t>
            </w:r>
            <w:r w:rsidR="00BE6223" w:rsidRPr="00150CD2">
              <w:rPr>
                <w:rFonts w:cs="Arial"/>
                <w:sz w:val="24"/>
                <w:lang w:val="en-US"/>
              </w:rPr>
              <w:t xml:space="preserve">% of adult DSS respondents said they </w:t>
            </w:r>
            <w:r w:rsidR="00920926" w:rsidRPr="00150CD2">
              <w:rPr>
                <w:rFonts w:cs="Arial"/>
                <w:sz w:val="24"/>
                <w:lang w:val="en-US"/>
              </w:rPr>
              <w:t>rarely/never</w:t>
            </w:r>
            <w:r w:rsidR="00BE6223" w:rsidRPr="00150CD2">
              <w:rPr>
                <w:rFonts w:cs="Arial"/>
                <w:sz w:val="24"/>
                <w:lang w:val="en-US"/>
              </w:rPr>
              <w:t xml:space="preserve"> felt lonely</w:t>
            </w:r>
            <w:r w:rsidRPr="00150CD2">
              <w:rPr>
                <w:rFonts w:cs="Arial"/>
                <w:sz w:val="24"/>
                <w:lang w:val="en-US"/>
              </w:rPr>
              <w:t xml:space="preserve">, while </w:t>
            </w:r>
            <w:r w:rsidR="007F7CC1" w:rsidRPr="00150CD2">
              <w:rPr>
                <w:rFonts w:cs="Arial"/>
                <w:sz w:val="24"/>
                <w:lang w:val="en-US"/>
              </w:rPr>
              <w:t>36</w:t>
            </w:r>
            <w:r w:rsidRPr="00150CD2">
              <w:rPr>
                <w:rFonts w:cs="Arial"/>
                <w:sz w:val="24"/>
                <w:lang w:val="en-US"/>
              </w:rPr>
              <w:t xml:space="preserve">% said they felt lonely </w:t>
            </w:r>
            <w:r w:rsidR="00920926" w:rsidRPr="00150CD2">
              <w:rPr>
                <w:rFonts w:cs="Arial"/>
                <w:sz w:val="24"/>
                <w:lang w:val="en-US"/>
              </w:rPr>
              <w:t xml:space="preserve">some, most or all of the time. </w:t>
            </w:r>
            <w:r w:rsidR="00452BA2" w:rsidRPr="00150CD2">
              <w:rPr>
                <w:rFonts w:cs="Arial"/>
                <w:sz w:val="24"/>
                <w:lang w:val="en-US"/>
              </w:rPr>
              <w:t xml:space="preserve">This proportion was higher than for </w:t>
            </w:r>
            <w:r w:rsidR="00920926" w:rsidRPr="00150CD2">
              <w:rPr>
                <w:rFonts w:cs="Arial"/>
                <w:sz w:val="24"/>
                <w:lang w:val="en-US"/>
              </w:rPr>
              <w:t xml:space="preserve">non-DSS respondents, </w:t>
            </w:r>
            <w:r w:rsidR="00452BA2" w:rsidRPr="00150CD2">
              <w:rPr>
                <w:rFonts w:cs="Arial"/>
                <w:sz w:val="24"/>
                <w:lang w:val="en-US"/>
              </w:rPr>
              <w:t xml:space="preserve">of whom </w:t>
            </w:r>
            <w:r w:rsidR="007F7CC1" w:rsidRPr="00150CD2">
              <w:rPr>
                <w:rFonts w:cs="Arial"/>
                <w:sz w:val="24"/>
                <w:lang w:val="en-US"/>
              </w:rPr>
              <w:t>83</w:t>
            </w:r>
            <w:r w:rsidR="00920926" w:rsidRPr="00150CD2">
              <w:rPr>
                <w:rFonts w:cs="Arial"/>
                <w:sz w:val="24"/>
                <w:lang w:val="en-US"/>
              </w:rPr>
              <w:t>% said they rarely/never felt lonely</w:t>
            </w:r>
            <w:r w:rsidR="00452BA2" w:rsidRPr="00150CD2">
              <w:rPr>
                <w:rFonts w:cs="Arial"/>
                <w:sz w:val="24"/>
                <w:lang w:val="en-US"/>
              </w:rPr>
              <w:t xml:space="preserve"> and </w:t>
            </w:r>
            <w:r w:rsidR="007F7CC1" w:rsidRPr="00150CD2">
              <w:rPr>
                <w:rFonts w:cs="Arial"/>
                <w:sz w:val="24"/>
                <w:lang w:val="en-US"/>
              </w:rPr>
              <w:t>17</w:t>
            </w:r>
            <w:r w:rsidR="00920926" w:rsidRPr="00150CD2">
              <w:rPr>
                <w:rFonts w:cs="Arial"/>
                <w:sz w:val="24"/>
                <w:lang w:val="en-US"/>
              </w:rPr>
              <w:t>% said they felt lonely some, most or all of the time.</w:t>
            </w:r>
          </w:p>
          <w:p w14:paraId="37D0B622" w14:textId="239CC3D5" w:rsidR="00872E02" w:rsidRPr="00150CD2" w:rsidRDefault="00920926" w:rsidP="00BE6223">
            <w:pPr>
              <w:pStyle w:val="EYTableText"/>
              <w:rPr>
                <w:rFonts w:cs="Arial"/>
                <w:b/>
                <w:sz w:val="24"/>
                <w:lang w:val="en-US"/>
              </w:rPr>
            </w:pPr>
            <w:r w:rsidRPr="00150CD2">
              <w:rPr>
                <w:rFonts w:cs="Arial"/>
                <w:b/>
                <w:sz w:val="24"/>
                <w:lang w:val="en-US"/>
              </w:rPr>
              <w:t>D</w:t>
            </w:r>
            <w:r w:rsidR="007F7CC1" w:rsidRPr="00150CD2">
              <w:rPr>
                <w:rFonts w:cs="Arial"/>
                <w:b/>
                <w:sz w:val="24"/>
                <w:lang w:val="en-US"/>
              </w:rPr>
              <w:t>isability Survey</w:t>
            </w:r>
            <w:r w:rsidRPr="00150CD2">
              <w:rPr>
                <w:rFonts w:cs="Arial"/>
                <w:b/>
                <w:sz w:val="24"/>
                <w:lang w:val="en-US"/>
              </w:rPr>
              <w:t xml:space="preserve">: </w:t>
            </w:r>
          </w:p>
          <w:p w14:paraId="1B087F76" w14:textId="44753445" w:rsidR="0034246E" w:rsidRPr="00150CD2" w:rsidRDefault="007F7CC1" w:rsidP="00872E02">
            <w:pPr>
              <w:pStyle w:val="EYTablebullet1"/>
              <w:rPr>
                <w:rFonts w:cs="Arial"/>
                <w:sz w:val="24"/>
                <w:lang w:val="en-US"/>
              </w:rPr>
            </w:pPr>
            <w:r w:rsidRPr="00150CD2">
              <w:rPr>
                <w:rFonts w:cs="Arial"/>
                <w:sz w:val="24"/>
                <w:lang w:val="en-US"/>
              </w:rPr>
              <w:t>66</w:t>
            </w:r>
            <w:r w:rsidR="00920926" w:rsidRPr="00150CD2">
              <w:rPr>
                <w:rFonts w:cs="Arial"/>
                <w:sz w:val="24"/>
                <w:lang w:val="en-US"/>
              </w:rPr>
              <w:t xml:space="preserve">% of </w:t>
            </w:r>
            <w:r w:rsidRPr="00150CD2">
              <w:rPr>
                <w:rFonts w:cs="Arial"/>
                <w:sz w:val="24"/>
                <w:lang w:val="en-US"/>
              </w:rPr>
              <w:t xml:space="preserve">adult </w:t>
            </w:r>
            <w:r w:rsidR="00920926" w:rsidRPr="00150CD2">
              <w:rPr>
                <w:rFonts w:cs="Arial"/>
                <w:sz w:val="24"/>
                <w:lang w:val="en-US"/>
              </w:rPr>
              <w:t xml:space="preserve">DSS respondents said they never/occasionally felt lonely in the 4 weeks prior to the survey, while </w:t>
            </w:r>
            <w:r w:rsidRPr="00150CD2">
              <w:rPr>
                <w:rFonts w:cs="Arial"/>
                <w:sz w:val="24"/>
                <w:lang w:val="en-US"/>
              </w:rPr>
              <w:t>34</w:t>
            </w:r>
            <w:r w:rsidR="00920926" w:rsidRPr="00150CD2">
              <w:rPr>
                <w:rFonts w:cs="Arial"/>
                <w:sz w:val="24"/>
                <w:lang w:val="en-US"/>
              </w:rPr>
              <w:t>% said they had sometimes/often felt lonely.</w:t>
            </w:r>
            <w:r w:rsidR="00872E02" w:rsidRPr="00150CD2">
              <w:rPr>
                <w:rFonts w:cs="Arial"/>
                <w:sz w:val="24"/>
                <w:lang w:val="en-US"/>
              </w:rPr>
              <w:t xml:space="preserve"> Responses to this question were broadly similar between young people and </w:t>
            </w:r>
            <w:r w:rsidRPr="00150CD2">
              <w:rPr>
                <w:rFonts w:cs="Arial"/>
                <w:sz w:val="24"/>
                <w:lang w:val="en-US"/>
              </w:rPr>
              <w:t>adults aged 25 and over</w:t>
            </w:r>
            <w:r w:rsidR="00872E02" w:rsidRPr="00150CD2">
              <w:rPr>
                <w:rFonts w:cs="Arial"/>
                <w:sz w:val="24"/>
                <w:lang w:val="en-US"/>
              </w:rPr>
              <w:t>.</w:t>
            </w:r>
            <w:r w:rsidR="00872E02" w:rsidRPr="00150CD2">
              <w:rPr>
                <w:rFonts w:cs="Arial"/>
                <w:sz w:val="24"/>
                <w:lang w:val="en-US"/>
              </w:rPr>
              <w:br/>
            </w:r>
            <w:r w:rsidR="00022956" w:rsidRPr="00150CD2">
              <w:rPr>
                <w:rFonts w:cs="Arial"/>
                <w:sz w:val="24"/>
                <w:lang w:val="en-US"/>
              </w:rPr>
              <w:t xml:space="preserve">A higher proportion of DSS respondents reported feeling </w:t>
            </w:r>
            <w:r w:rsidR="00124E17" w:rsidRPr="00150CD2">
              <w:rPr>
                <w:rFonts w:cs="Arial"/>
                <w:sz w:val="24"/>
                <w:lang w:val="en-US"/>
              </w:rPr>
              <w:t xml:space="preserve">sometimes/often lonely, </w:t>
            </w:r>
            <w:r w:rsidR="00022956" w:rsidRPr="00150CD2">
              <w:rPr>
                <w:rFonts w:cs="Arial"/>
                <w:sz w:val="24"/>
                <w:lang w:val="en-US"/>
              </w:rPr>
              <w:t>compared to n</w:t>
            </w:r>
            <w:r w:rsidR="0034246E" w:rsidRPr="00150CD2">
              <w:rPr>
                <w:rFonts w:cs="Arial"/>
                <w:sz w:val="24"/>
                <w:lang w:val="en-US"/>
              </w:rPr>
              <w:t>on-DSS respondents</w:t>
            </w:r>
            <w:r w:rsidR="00124E17" w:rsidRPr="00150CD2">
              <w:rPr>
                <w:rFonts w:cs="Arial"/>
                <w:sz w:val="24"/>
                <w:lang w:val="en-US"/>
              </w:rPr>
              <w:t xml:space="preserve"> with impairments (21%) and non-DSS respondents without impairments (11%).</w:t>
            </w:r>
          </w:p>
          <w:p w14:paraId="375DF9CD" w14:textId="5F63131B" w:rsidR="00124E17" w:rsidRPr="00150CD2" w:rsidRDefault="00124E17" w:rsidP="00935CD4">
            <w:pPr>
              <w:pStyle w:val="EYTablebullet1"/>
              <w:rPr>
                <w:rFonts w:cs="Arial"/>
                <w:sz w:val="24"/>
                <w:lang w:val="en-US"/>
              </w:rPr>
            </w:pPr>
            <w:r w:rsidRPr="00150CD2">
              <w:rPr>
                <w:rFonts w:cs="Arial"/>
                <w:sz w:val="24"/>
                <w:lang w:val="en-US"/>
              </w:rPr>
              <w:t xml:space="preserve">Over </w:t>
            </w:r>
            <w:r w:rsidR="002E3C86" w:rsidRPr="00150CD2">
              <w:rPr>
                <w:rFonts w:cs="Arial"/>
                <w:sz w:val="24"/>
                <w:lang w:val="en-US"/>
              </w:rPr>
              <w:t>the 4 weeks prior to the survey</w:t>
            </w:r>
            <w:r w:rsidRPr="00150CD2">
              <w:rPr>
                <w:rFonts w:cs="Arial"/>
                <w:sz w:val="24"/>
                <w:lang w:val="en-US"/>
              </w:rPr>
              <w:t>:</w:t>
            </w:r>
          </w:p>
          <w:p w14:paraId="342892DC" w14:textId="0F90671F" w:rsidR="00124E17" w:rsidRPr="00150CD2" w:rsidRDefault="00124E17" w:rsidP="00124E17">
            <w:pPr>
              <w:pStyle w:val="EYTablebullet2"/>
              <w:rPr>
                <w:rFonts w:cs="Arial"/>
                <w:sz w:val="24"/>
                <w:lang w:val="en-US"/>
              </w:rPr>
            </w:pPr>
            <w:r w:rsidRPr="00150CD2">
              <w:rPr>
                <w:rFonts w:cs="Arial"/>
                <w:sz w:val="24"/>
                <w:lang w:val="en-US"/>
              </w:rPr>
              <w:t>79</w:t>
            </w:r>
            <w:r w:rsidR="00022956" w:rsidRPr="00150CD2">
              <w:rPr>
                <w:rFonts w:cs="Arial"/>
                <w:sz w:val="24"/>
                <w:lang w:val="en-US"/>
              </w:rPr>
              <w:t xml:space="preserve">% </w:t>
            </w:r>
            <w:r w:rsidRPr="00150CD2">
              <w:rPr>
                <w:rFonts w:cs="Arial"/>
                <w:sz w:val="24"/>
                <w:lang w:val="en-US"/>
              </w:rPr>
              <w:t xml:space="preserve">of DSS adult respondents </w:t>
            </w:r>
            <w:r w:rsidR="00022956" w:rsidRPr="00150CD2">
              <w:rPr>
                <w:rFonts w:cs="Arial"/>
                <w:sz w:val="24"/>
                <w:lang w:val="en-US"/>
              </w:rPr>
              <w:t>had face-to-face contact with friends</w:t>
            </w:r>
            <w:r w:rsidR="002E3C86" w:rsidRPr="00150CD2">
              <w:rPr>
                <w:rFonts w:cs="Arial"/>
                <w:sz w:val="24"/>
                <w:lang w:val="en-US"/>
              </w:rPr>
              <w:t xml:space="preserve"> </w:t>
            </w:r>
          </w:p>
          <w:p w14:paraId="53042E4B" w14:textId="59AD1DA6" w:rsidR="00124E17" w:rsidRPr="00150CD2" w:rsidRDefault="00022956" w:rsidP="00124E17">
            <w:pPr>
              <w:pStyle w:val="EYTablebullet2"/>
              <w:rPr>
                <w:rFonts w:cs="Arial"/>
                <w:sz w:val="24"/>
                <w:lang w:val="en-US"/>
              </w:rPr>
            </w:pPr>
            <w:r w:rsidRPr="00150CD2">
              <w:rPr>
                <w:rFonts w:cs="Arial"/>
                <w:sz w:val="24"/>
                <w:lang w:val="en-US"/>
              </w:rPr>
              <w:t>76% had face-to-face contact</w:t>
            </w:r>
            <w:r w:rsidR="00124E17" w:rsidRPr="00150CD2">
              <w:rPr>
                <w:rFonts w:cs="Arial"/>
                <w:sz w:val="24"/>
                <w:lang w:val="en-US"/>
              </w:rPr>
              <w:t xml:space="preserve"> and 88</w:t>
            </w:r>
            <w:r w:rsidRPr="00150CD2">
              <w:rPr>
                <w:rFonts w:cs="Arial"/>
                <w:sz w:val="24"/>
                <w:lang w:val="en-US"/>
              </w:rPr>
              <w:t>% had other forms of contact with family or relatives not living with them</w:t>
            </w:r>
            <w:r w:rsidR="002E3C86" w:rsidRPr="00150CD2">
              <w:rPr>
                <w:rFonts w:cs="Arial"/>
                <w:sz w:val="24"/>
                <w:lang w:val="en-US"/>
              </w:rPr>
              <w:t xml:space="preserve"> </w:t>
            </w:r>
          </w:p>
          <w:p w14:paraId="6D034A71" w14:textId="781B7702" w:rsidR="00022956" w:rsidRPr="00150CD2" w:rsidRDefault="002E3C86" w:rsidP="00F34C13">
            <w:pPr>
              <w:pStyle w:val="EYTablebullet1"/>
              <w:numPr>
                <w:ilvl w:val="0"/>
                <w:numId w:val="0"/>
              </w:numPr>
              <w:ind w:left="284"/>
              <w:rPr>
                <w:rFonts w:cs="Arial"/>
                <w:sz w:val="24"/>
                <w:lang w:val="en-US"/>
              </w:rPr>
            </w:pPr>
            <w:r w:rsidRPr="00150CD2">
              <w:rPr>
                <w:rFonts w:cs="Arial"/>
                <w:sz w:val="24"/>
                <w:lang w:val="en-US"/>
              </w:rPr>
              <w:t xml:space="preserve">Responses </w:t>
            </w:r>
            <w:r w:rsidR="00B51556" w:rsidRPr="00150CD2">
              <w:rPr>
                <w:rFonts w:cs="Arial"/>
                <w:sz w:val="24"/>
                <w:lang w:val="en-US"/>
              </w:rPr>
              <w:t xml:space="preserve">varied across age groups, disability types and SPA levels, although small group sizes mean that differences do not appear to be significant.  </w:t>
            </w:r>
            <w:r w:rsidR="006D5D85" w:rsidRPr="00150CD2">
              <w:rPr>
                <w:rFonts w:cs="Arial"/>
                <w:sz w:val="24"/>
                <w:lang w:val="en-US"/>
              </w:rPr>
              <w:br/>
            </w:r>
            <w:r w:rsidRPr="00150CD2">
              <w:rPr>
                <w:rFonts w:cs="Arial"/>
                <w:sz w:val="24"/>
                <w:lang w:val="en-US"/>
              </w:rPr>
              <w:t xml:space="preserve">These rates </w:t>
            </w:r>
            <w:r w:rsidR="00B51556" w:rsidRPr="00150CD2">
              <w:rPr>
                <w:rFonts w:cs="Arial"/>
                <w:sz w:val="24"/>
                <w:lang w:val="en-US"/>
              </w:rPr>
              <w:t xml:space="preserve">are </w:t>
            </w:r>
            <w:r w:rsidRPr="00150CD2">
              <w:rPr>
                <w:rFonts w:cs="Arial"/>
                <w:sz w:val="24"/>
                <w:lang w:val="en-US"/>
              </w:rPr>
              <w:t>lower than those reported by non-DSS respondents</w:t>
            </w:r>
            <w:r w:rsidR="00B51556" w:rsidRPr="00150CD2">
              <w:rPr>
                <w:rFonts w:cs="Arial"/>
                <w:sz w:val="24"/>
                <w:lang w:val="en-US"/>
              </w:rPr>
              <w:t xml:space="preserve"> without impairments</w:t>
            </w:r>
            <w:r w:rsidRPr="00150CD2">
              <w:rPr>
                <w:rFonts w:cs="Arial"/>
                <w:sz w:val="24"/>
                <w:lang w:val="en-US"/>
              </w:rPr>
              <w:t xml:space="preserve">: </w:t>
            </w:r>
            <w:r w:rsidR="00B51556" w:rsidRPr="00150CD2">
              <w:rPr>
                <w:rFonts w:cs="Arial"/>
                <w:sz w:val="24"/>
                <w:lang w:val="en-US"/>
              </w:rPr>
              <w:t>94</w:t>
            </w:r>
            <w:r w:rsidRPr="00150CD2">
              <w:rPr>
                <w:rFonts w:cs="Arial"/>
                <w:sz w:val="24"/>
                <w:lang w:val="en-US"/>
              </w:rPr>
              <w:t xml:space="preserve">% had had contact with friends, </w:t>
            </w:r>
            <w:r w:rsidR="00B51556" w:rsidRPr="00150CD2">
              <w:rPr>
                <w:rFonts w:cs="Arial"/>
                <w:sz w:val="24"/>
                <w:lang w:val="en-US"/>
              </w:rPr>
              <w:t>81</w:t>
            </w:r>
            <w:r w:rsidRPr="00150CD2">
              <w:rPr>
                <w:rFonts w:cs="Arial"/>
                <w:sz w:val="24"/>
                <w:lang w:val="en-US"/>
              </w:rPr>
              <w:t>% had face-to-face contact and 9</w:t>
            </w:r>
            <w:r w:rsidR="00B51556" w:rsidRPr="00150CD2">
              <w:rPr>
                <w:rFonts w:cs="Arial"/>
                <w:sz w:val="24"/>
                <w:lang w:val="en-US"/>
              </w:rPr>
              <w:t>4</w:t>
            </w:r>
            <w:r w:rsidRPr="00150CD2">
              <w:rPr>
                <w:rFonts w:cs="Arial"/>
                <w:sz w:val="24"/>
                <w:lang w:val="en-US"/>
              </w:rPr>
              <w:t>% had other contact with family or relatives</w:t>
            </w:r>
            <w:r w:rsidR="00452BA2" w:rsidRPr="00150CD2">
              <w:rPr>
                <w:rFonts w:cs="Arial"/>
                <w:sz w:val="24"/>
                <w:lang w:val="en-US"/>
              </w:rPr>
              <w:t xml:space="preserve"> over the same period.</w:t>
            </w:r>
            <w:r w:rsidR="00B51556" w:rsidRPr="00150CD2">
              <w:rPr>
                <w:rFonts w:cs="Arial"/>
                <w:sz w:val="24"/>
                <w:lang w:val="en-US"/>
              </w:rPr>
              <w:br/>
              <w:t>Non-DSS respondents with impairments had broadly similar levels of contact with family and relatives, and higher levels of contact with friends.</w:t>
            </w:r>
          </w:p>
          <w:p w14:paraId="52E2457A" w14:textId="4317E578" w:rsidR="00872E02" w:rsidRPr="00150CD2" w:rsidRDefault="00124E17" w:rsidP="00872E02">
            <w:pPr>
              <w:pStyle w:val="EYTablebullet1"/>
              <w:rPr>
                <w:rFonts w:cs="Arial"/>
                <w:sz w:val="24"/>
                <w:lang w:val="en-US"/>
              </w:rPr>
            </w:pPr>
            <w:r w:rsidRPr="00150CD2">
              <w:rPr>
                <w:rFonts w:cs="Arial"/>
                <w:sz w:val="24"/>
                <w:lang w:val="en-US"/>
              </w:rPr>
              <w:t>73</w:t>
            </w:r>
            <w:r w:rsidR="002E3C86" w:rsidRPr="00150CD2">
              <w:rPr>
                <w:rFonts w:cs="Arial"/>
                <w:sz w:val="24"/>
                <w:lang w:val="en-US"/>
              </w:rPr>
              <w:t xml:space="preserve">% felt they had about the right amount of contact with family and </w:t>
            </w:r>
            <w:r w:rsidRPr="00150CD2">
              <w:rPr>
                <w:rFonts w:cs="Arial"/>
                <w:sz w:val="24"/>
                <w:lang w:val="en-US"/>
              </w:rPr>
              <w:t xml:space="preserve">71% felt they had about the right amount of contact with </w:t>
            </w:r>
            <w:r w:rsidR="002E3C86" w:rsidRPr="00150CD2">
              <w:rPr>
                <w:rFonts w:cs="Arial"/>
                <w:sz w:val="24"/>
                <w:lang w:val="en-US"/>
              </w:rPr>
              <w:t>friends</w:t>
            </w:r>
            <w:r w:rsidRPr="00150CD2">
              <w:rPr>
                <w:rFonts w:cs="Arial"/>
                <w:sz w:val="24"/>
                <w:lang w:val="en-US"/>
              </w:rPr>
              <w:t xml:space="preserve">. </w:t>
            </w:r>
          </w:p>
        </w:tc>
      </w:tr>
    </w:tbl>
    <w:p w14:paraId="0547DD61" w14:textId="31047E39" w:rsidR="00613336" w:rsidRPr="00150CD2" w:rsidRDefault="00613336" w:rsidP="00360701">
      <w:pPr>
        <w:pStyle w:val="EYBodytextwithoutparaspace"/>
        <w:rPr>
          <w:rFonts w:cs="Arial"/>
        </w:rPr>
      </w:pPr>
    </w:p>
    <w:p w14:paraId="782ADDF5" w14:textId="7B40A081" w:rsidR="00514B1C" w:rsidRPr="00150CD2" w:rsidRDefault="00514B1C" w:rsidP="00184038">
      <w:pPr>
        <w:pStyle w:val="EYHeading1"/>
      </w:pPr>
      <w:bookmarkStart w:id="165" w:name="_Ref44554835"/>
      <w:bookmarkStart w:id="166" w:name="_Toc46365149"/>
      <w:bookmarkStart w:id="167" w:name="_Toc48752367"/>
      <w:r w:rsidRPr="00150CD2">
        <w:t>Future areas for investigation</w:t>
      </w:r>
      <w:bookmarkEnd w:id="165"/>
      <w:bookmarkEnd w:id="166"/>
      <w:bookmarkEnd w:id="167"/>
    </w:p>
    <w:p w14:paraId="5FEC2254" w14:textId="1CA35457" w:rsidR="00514B1C" w:rsidRPr="00150CD2" w:rsidRDefault="00514B1C" w:rsidP="00514B1C">
      <w:pPr>
        <w:pStyle w:val="EYBodytextwithparaspace"/>
        <w:rPr>
          <w:rFonts w:cs="Arial"/>
        </w:rPr>
      </w:pPr>
      <w:r w:rsidRPr="00150CD2">
        <w:rPr>
          <w:rFonts w:cs="Arial"/>
        </w:rPr>
        <w:t xml:space="preserve">Future areas of work which </w:t>
      </w:r>
      <w:r w:rsidR="007321DC" w:rsidRPr="00150CD2">
        <w:rPr>
          <w:rFonts w:cs="Arial"/>
        </w:rPr>
        <w:t>are planned to</w:t>
      </w:r>
      <w:r w:rsidRPr="00150CD2">
        <w:rPr>
          <w:rFonts w:cs="Arial"/>
        </w:rPr>
        <w:t xml:space="preserve"> be undertaken by the Ministry as part of the Mana Whaikaha outcomes evaluation include:</w:t>
      </w:r>
    </w:p>
    <w:p w14:paraId="00EDC796" w14:textId="40E75310" w:rsidR="00514B1C" w:rsidRPr="00150CD2" w:rsidRDefault="00514B1C" w:rsidP="00514B1C">
      <w:pPr>
        <w:pStyle w:val="EYBulletedText1"/>
        <w:rPr>
          <w:rFonts w:cs="Arial"/>
        </w:rPr>
      </w:pPr>
      <w:r w:rsidRPr="00150CD2">
        <w:rPr>
          <w:rFonts w:cs="Arial"/>
        </w:rPr>
        <w:t xml:space="preserve">Identify which outcome areas are expected to be impacted by Mana Whaikaha over the 3 year evaluation period and determine which indicators </w:t>
      </w:r>
      <w:r w:rsidR="007321DC" w:rsidRPr="00150CD2">
        <w:rPr>
          <w:rFonts w:cs="Arial"/>
        </w:rPr>
        <w:t>can</w:t>
      </w:r>
      <w:r w:rsidRPr="00150CD2">
        <w:rPr>
          <w:rFonts w:cs="Arial"/>
        </w:rPr>
        <w:t xml:space="preserve"> be used to evaluate Mana Whaikaha's impact on these outcome areas.</w:t>
      </w:r>
    </w:p>
    <w:p w14:paraId="3D0E7B84" w14:textId="5EE9DD3D" w:rsidR="00514B1C" w:rsidRPr="00150CD2" w:rsidRDefault="00514B1C" w:rsidP="00514B1C">
      <w:pPr>
        <w:pStyle w:val="EYBulletedText1"/>
        <w:rPr>
          <w:rFonts w:cs="Arial"/>
        </w:rPr>
      </w:pPr>
      <w:r w:rsidRPr="00150CD2">
        <w:rPr>
          <w:rFonts w:cs="Arial"/>
        </w:rPr>
        <w:t>Collect survey and interview information from participants and their whānau midway through Mana Whaikaha’s implementation (</w:t>
      </w:r>
      <w:r w:rsidR="002C6A49" w:rsidRPr="00150CD2">
        <w:rPr>
          <w:rFonts w:cs="Arial"/>
        </w:rPr>
        <w:t xml:space="preserve">planned to be undertaken at </w:t>
      </w:r>
      <w:r w:rsidRPr="00150CD2">
        <w:rPr>
          <w:rFonts w:cs="Arial"/>
        </w:rPr>
        <w:t>18 months</w:t>
      </w:r>
      <w:r w:rsidR="002C6A49" w:rsidRPr="00150CD2">
        <w:rPr>
          <w:rFonts w:cs="Arial"/>
        </w:rPr>
        <w:t>, but delayed due to COVID-19</w:t>
      </w:r>
      <w:r w:rsidRPr="00150CD2">
        <w:rPr>
          <w:rFonts w:cs="Arial"/>
        </w:rPr>
        <w:t>) and after 3 years post implementation.</w:t>
      </w:r>
      <w:r w:rsidR="00341EE5" w:rsidRPr="00150CD2">
        <w:rPr>
          <w:rFonts w:cs="Arial"/>
        </w:rPr>
        <w:t xml:space="preserve"> Information will also be collected from other sources which help to inform understanding around what, and how, Mana Whaikaha has effected change (for example, staff interviews).</w:t>
      </w:r>
    </w:p>
    <w:p w14:paraId="6FA54F5E" w14:textId="6933D504" w:rsidR="00514B1C" w:rsidRPr="00150CD2" w:rsidRDefault="00514B1C" w:rsidP="00514B1C">
      <w:pPr>
        <w:pStyle w:val="EYBulletedText1"/>
        <w:rPr>
          <w:rFonts w:cs="Arial"/>
        </w:rPr>
      </w:pPr>
      <w:r w:rsidRPr="00150CD2">
        <w:rPr>
          <w:rFonts w:cs="Arial"/>
        </w:rPr>
        <w:t>Update administrative data based indicators supporting the evaluation, midway through Mana Whaikaha’s implementation (</w:t>
      </w:r>
      <w:r w:rsidR="002C6A49" w:rsidRPr="00150CD2">
        <w:rPr>
          <w:rFonts w:cs="Arial"/>
        </w:rPr>
        <w:t>planned to be undertaken at 18 months, but delayed due to COVID-19</w:t>
      </w:r>
      <w:r w:rsidRPr="00150CD2">
        <w:rPr>
          <w:rFonts w:cs="Arial"/>
        </w:rPr>
        <w:t>) and after 3 years post implementation.</w:t>
      </w:r>
    </w:p>
    <w:p w14:paraId="0F2D33ED" w14:textId="161D1C0A" w:rsidR="00341EE5" w:rsidRPr="00150CD2" w:rsidRDefault="00514B1C" w:rsidP="00827364">
      <w:pPr>
        <w:pStyle w:val="EYBulletedText1"/>
        <w:rPr>
          <w:rFonts w:cs="Arial"/>
        </w:rPr>
      </w:pPr>
      <w:r w:rsidRPr="00150CD2">
        <w:rPr>
          <w:rFonts w:cs="Arial"/>
        </w:rPr>
        <w:t>Compare outcome and service contact indicators during and/or at the end of prototype period with baseline rates, and identify differences that are potentially attributable to Mana Whaikaha.</w:t>
      </w:r>
    </w:p>
    <w:p w14:paraId="257A213B" w14:textId="5CE1EEBE" w:rsidR="00CB61E1" w:rsidRPr="00150CD2" w:rsidRDefault="00CB61E1" w:rsidP="00CB61E1">
      <w:pPr>
        <w:pStyle w:val="EYBodytextwithparaspace"/>
        <w:rPr>
          <w:rFonts w:cs="Arial"/>
        </w:rPr>
      </w:pPr>
    </w:p>
    <w:p w14:paraId="6290DF0A" w14:textId="54DE860E" w:rsidR="00CB61E1" w:rsidRPr="00150CD2" w:rsidRDefault="00CB61E1" w:rsidP="00184038">
      <w:pPr>
        <w:pStyle w:val="EYHeading2"/>
      </w:pPr>
      <w:bookmarkStart w:id="168" w:name="_Toc46365150"/>
      <w:bookmarkStart w:id="169" w:name="_Toc48752368"/>
      <w:r w:rsidRPr="00150CD2">
        <w:t>Evaluation indicator assessment criteria</w:t>
      </w:r>
      <w:bookmarkEnd w:id="168"/>
      <w:bookmarkEnd w:id="169"/>
    </w:p>
    <w:p w14:paraId="51A22F1C" w14:textId="60216D1F" w:rsidR="00CB61E1" w:rsidRPr="00150CD2" w:rsidRDefault="00CB61E1" w:rsidP="00CB61E1">
      <w:pPr>
        <w:pStyle w:val="EYBodytextwithparaspace"/>
        <w:rPr>
          <w:rFonts w:cs="Arial"/>
        </w:rPr>
      </w:pPr>
      <w:r w:rsidRPr="00150CD2">
        <w:rPr>
          <w:rFonts w:cs="Arial"/>
        </w:rPr>
        <w:t>A</w:t>
      </w:r>
      <w:r w:rsidR="002104E8" w:rsidRPr="00150CD2">
        <w:rPr>
          <w:rFonts w:cs="Arial"/>
        </w:rPr>
        <w:t>n important</w:t>
      </w:r>
      <w:r w:rsidRPr="00150CD2">
        <w:rPr>
          <w:rFonts w:cs="Arial"/>
        </w:rPr>
        <w:t xml:space="preserve"> area of work for the Ministry in the near future is to:</w:t>
      </w:r>
    </w:p>
    <w:p w14:paraId="6A3C932A" w14:textId="4B2A0688" w:rsidR="00CB61E1" w:rsidRPr="00150CD2" w:rsidRDefault="00CB61E1" w:rsidP="00827364">
      <w:pPr>
        <w:pStyle w:val="EYBulletnoparaspace"/>
        <w:rPr>
          <w:rFonts w:cs="Arial"/>
        </w:rPr>
      </w:pPr>
      <w:r w:rsidRPr="00150CD2">
        <w:rPr>
          <w:rFonts w:cs="Arial"/>
        </w:rPr>
        <w:t>Identify which outcome areas are expected to be impacted by Mana Whaikaha over the 3 year evaluation period, and</w:t>
      </w:r>
    </w:p>
    <w:p w14:paraId="55F628AD" w14:textId="612599EA" w:rsidR="00CB61E1" w:rsidRPr="00150CD2" w:rsidRDefault="00CB61E1" w:rsidP="00CB61E1">
      <w:pPr>
        <w:pStyle w:val="EYBulletedText1"/>
        <w:rPr>
          <w:rFonts w:cs="Arial"/>
        </w:rPr>
      </w:pPr>
      <w:r w:rsidRPr="00150CD2">
        <w:rPr>
          <w:rFonts w:cs="Arial"/>
        </w:rPr>
        <w:t>Determine which indicators will be used to evaluate Mana Whaikaha's impact on these outcome areas</w:t>
      </w:r>
    </w:p>
    <w:p w14:paraId="7093A107" w14:textId="1B051D66" w:rsidR="0074050C" w:rsidRPr="00150CD2" w:rsidRDefault="00CB61E1" w:rsidP="0074050C">
      <w:pPr>
        <w:pStyle w:val="EYBodytextwithparaspace"/>
        <w:rPr>
          <w:rFonts w:cs="Arial"/>
        </w:rPr>
      </w:pPr>
      <w:r w:rsidRPr="00150CD2">
        <w:rPr>
          <w:rFonts w:cs="Arial"/>
        </w:rPr>
        <w:t xml:space="preserve">This output is required to support other evaluation activities </w:t>
      </w:r>
      <w:r w:rsidR="0074050C" w:rsidRPr="00150CD2">
        <w:rPr>
          <w:rFonts w:cs="Arial"/>
        </w:rPr>
        <w:t>(for examp</w:t>
      </w:r>
      <w:r w:rsidR="00E06AA4" w:rsidRPr="00150CD2">
        <w:rPr>
          <w:rFonts w:cs="Arial"/>
        </w:rPr>
        <w:t>l</w:t>
      </w:r>
      <w:r w:rsidR="0074050C" w:rsidRPr="00150CD2">
        <w:rPr>
          <w:rFonts w:cs="Arial"/>
        </w:rPr>
        <w:t xml:space="preserve">e, </w:t>
      </w:r>
      <w:r w:rsidRPr="00150CD2">
        <w:rPr>
          <w:rFonts w:cs="Arial"/>
        </w:rPr>
        <w:t xml:space="preserve">the </w:t>
      </w:r>
      <w:r w:rsidR="0074050C" w:rsidRPr="00150CD2">
        <w:rPr>
          <w:rFonts w:cs="Arial"/>
        </w:rPr>
        <w:t>development of a social cost benefit analysis).</w:t>
      </w:r>
    </w:p>
    <w:p w14:paraId="0B1667D4" w14:textId="294F8AFE" w:rsidR="00750878" w:rsidRPr="00150CD2" w:rsidRDefault="0074050C" w:rsidP="00750878">
      <w:pPr>
        <w:pStyle w:val="EYBodytextwithparaspace"/>
        <w:rPr>
          <w:rFonts w:cs="Arial"/>
        </w:rPr>
      </w:pPr>
      <w:r w:rsidRPr="00150CD2">
        <w:rPr>
          <w:rFonts w:cs="Arial"/>
        </w:rPr>
        <w:t>The criteria used</w:t>
      </w:r>
      <w:r w:rsidR="00341EE5" w:rsidRPr="00150CD2">
        <w:rPr>
          <w:rFonts w:cs="Arial"/>
        </w:rPr>
        <w:t xml:space="preserve"> to assess the </w:t>
      </w:r>
      <w:r w:rsidRPr="00150CD2">
        <w:rPr>
          <w:rFonts w:cs="Arial"/>
        </w:rPr>
        <w:t xml:space="preserve">suitability of indicators for evaluating </w:t>
      </w:r>
      <w:r w:rsidR="003B1E1B" w:rsidRPr="00150CD2">
        <w:rPr>
          <w:rFonts w:cs="Arial"/>
        </w:rPr>
        <w:t xml:space="preserve">Mana Whaikaha’s </w:t>
      </w:r>
      <w:r w:rsidRPr="00150CD2">
        <w:rPr>
          <w:rFonts w:cs="Arial"/>
        </w:rPr>
        <w:t xml:space="preserve">impact include those outlined in section </w:t>
      </w:r>
      <w:r w:rsidRPr="00150CD2">
        <w:rPr>
          <w:rFonts w:cs="Arial"/>
        </w:rPr>
        <w:fldChar w:fldCharType="begin"/>
      </w:r>
      <w:r w:rsidRPr="00150CD2">
        <w:rPr>
          <w:rFonts w:cs="Arial"/>
        </w:rPr>
        <w:instrText xml:space="preserve"> REF _Ref24639289 \r \h </w:instrText>
      </w:r>
      <w:r w:rsidR="00750878" w:rsidRPr="00150CD2">
        <w:rPr>
          <w:rFonts w:cs="Arial"/>
        </w:rPr>
        <w:instrText xml:space="preserve"> \* MERGEFORMAT </w:instrText>
      </w:r>
      <w:r w:rsidRPr="00150CD2">
        <w:rPr>
          <w:rFonts w:cs="Arial"/>
        </w:rPr>
      </w:r>
      <w:r w:rsidRPr="00150CD2">
        <w:rPr>
          <w:rFonts w:cs="Arial"/>
        </w:rPr>
        <w:fldChar w:fldCharType="separate"/>
      </w:r>
      <w:r w:rsidR="00053D9A" w:rsidRPr="00150CD2">
        <w:rPr>
          <w:rFonts w:cs="Arial"/>
        </w:rPr>
        <w:t>3.2</w:t>
      </w:r>
      <w:r w:rsidRPr="00150CD2">
        <w:rPr>
          <w:rFonts w:cs="Arial"/>
        </w:rPr>
        <w:fldChar w:fldCharType="end"/>
      </w:r>
      <w:r w:rsidRPr="00150CD2">
        <w:rPr>
          <w:rFonts w:cs="Arial"/>
        </w:rPr>
        <w:t xml:space="preserve">, </w:t>
      </w:r>
      <w:r w:rsidR="00750878" w:rsidRPr="00150CD2">
        <w:rPr>
          <w:rFonts w:cs="Arial"/>
        </w:rPr>
        <w:t>plus the following</w:t>
      </w:r>
      <w:r w:rsidR="00341EE5" w:rsidRPr="00150CD2">
        <w:rPr>
          <w:rFonts w:cs="Arial"/>
        </w:rPr>
        <w:t>:</w:t>
      </w:r>
    </w:p>
    <w:p w14:paraId="5835024B" w14:textId="27AB4C8F" w:rsidR="00354FBA" w:rsidRPr="00150CD2" w:rsidRDefault="00354FBA" w:rsidP="00354FBA">
      <w:pPr>
        <w:pStyle w:val="EYBulletedText1"/>
        <w:rPr>
          <w:rFonts w:cs="Arial"/>
        </w:rPr>
      </w:pPr>
      <w:r w:rsidRPr="00150CD2">
        <w:rPr>
          <w:rFonts w:cs="Arial"/>
          <w:b/>
          <w:bCs/>
        </w:rPr>
        <w:t xml:space="preserve">Alignment with outcome areas that are a focus of Mana Whaikaha over the </w:t>
      </w:r>
      <w:r w:rsidR="00D34C0D" w:rsidRPr="00150CD2">
        <w:rPr>
          <w:rFonts w:cs="Arial"/>
          <w:b/>
          <w:bCs/>
        </w:rPr>
        <w:t xml:space="preserve">evaluation </w:t>
      </w:r>
      <w:r w:rsidRPr="00150CD2">
        <w:rPr>
          <w:rFonts w:cs="Arial"/>
          <w:b/>
          <w:bCs/>
        </w:rPr>
        <w:t>period.</w:t>
      </w:r>
      <w:r w:rsidRPr="00150CD2">
        <w:rPr>
          <w:rFonts w:cs="Arial"/>
        </w:rPr>
        <w:t xml:space="preserve"> </w:t>
      </w:r>
      <w:r w:rsidR="00BB77C4" w:rsidRPr="00150CD2">
        <w:rPr>
          <w:rFonts w:cs="Arial"/>
        </w:rPr>
        <w:t xml:space="preserve">This is relevant where specific outcome areas have been prioritised </w:t>
      </w:r>
      <w:r w:rsidR="000949CA" w:rsidRPr="00150CD2">
        <w:rPr>
          <w:rFonts w:cs="Arial"/>
        </w:rPr>
        <w:t>by</w:t>
      </w:r>
      <w:r w:rsidRPr="00150CD2">
        <w:rPr>
          <w:rFonts w:cs="Arial"/>
        </w:rPr>
        <w:t xml:space="preserve"> </w:t>
      </w:r>
      <w:r w:rsidR="00D34C0D" w:rsidRPr="00150CD2">
        <w:rPr>
          <w:rFonts w:cs="Arial"/>
        </w:rPr>
        <w:t>Mana Whaikaha</w:t>
      </w:r>
      <w:r w:rsidR="000949CA" w:rsidRPr="00150CD2">
        <w:rPr>
          <w:rFonts w:cs="Arial"/>
        </w:rPr>
        <w:t xml:space="preserve">. </w:t>
      </w:r>
    </w:p>
    <w:p w14:paraId="23F819E7" w14:textId="71A4C3B7" w:rsidR="004A2178" w:rsidRPr="00150CD2" w:rsidRDefault="00BB77C4" w:rsidP="004A2178">
      <w:pPr>
        <w:pStyle w:val="EYBulletedText1"/>
        <w:rPr>
          <w:rFonts w:cs="Arial"/>
        </w:rPr>
      </w:pPr>
      <w:r w:rsidRPr="00150CD2">
        <w:rPr>
          <w:rFonts w:cs="Arial"/>
          <w:b/>
          <w:bCs/>
        </w:rPr>
        <w:t xml:space="preserve">Impacts from Mana Whaikaha are expected to be observable over the evaluation period. </w:t>
      </w:r>
      <w:r w:rsidRPr="00150CD2">
        <w:rPr>
          <w:rFonts w:cs="Arial"/>
        </w:rPr>
        <w:t xml:space="preserve">Outcome and service contact areas that are expected to show an impact over the </w:t>
      </w:r>
      <w:r w:rsidR="00ED04C4" w:rsidRPr="00150CD2">
        <w:rPr>
          <w:rFonts w:cs="Arial"/>
        </w:rPr>
        <w:t>evaluation period</w:t>
      </w:r>
      <w:r w:rsidRPr="00150CD2">
        <w:rPr>
          <w:rFonts w:cs="Arial"/>
        </w:rPr>
        <w:t xml:space="preserve"> if Mana Whaikaha succeeds are </w:t>
      </w:r>
      <w:r w:rsidR="00354FBA" w:rsidRPr="00150CD2">
        <w:rPr>
          <w:rFonts w:cs="Arial"/>
        </w:rPr>
        <w:t xml:space="preserve">straightforward to </w:t>
      </w:r>
      <w:r w:rsidR="003A23FD" w:rsidRPr="00150CD2">
        <w:rPr>
          <w:rFonts w:cs="Arial"/>
        </w:rPr>
        <w:t>include</w:t>
      </w:r>
      <w:r w:rsidRPr="00150CD2">
        <w:rPr>
          <w:rFonts w:cs="Arial"/>
        </w:rPr>
        <w:t>.</w:t>
      </w:r>
      <w:r w:rsidR="003A23FD" w:rsidRPr="00150CD2">
        <w:rPr>
          <w:rFonts w:cs="Arial"/>
        </w:rPr>
        <w:t xml:space="preserve"> </w:t>
      </w:r>
      <w:r w:rsidR="003B1E1B" w:rsidRPr="00150CD2">
        <w:rPr>
          <w:rFonts w:cs="Arial"/>
        </w:rPr>
        <w:t>On the other hand, l</w:t>
      </w:r>
      <w:r w:rsidR="00354FBA" w:rsidRPr="00150CD2">
        <w:rPr>
          <w:rFonts w:cs="Arial"/>
        </w:rPr>
        <w:t xml:space="preserve">onger term </w:t>
      </w:r>
      <w:r w:rsidR="003A23FD" w:rsidRPr="00150CD2">
        <w:rPr>
          <w:rFonts w:cs="Arial"/>
        </w:rPr>
        <w:t xml:space="preserve">outcomes </w:t>
      </w:r>
      <w:r w:rsidR="003B1E1B" w:rsidRPr="00150CD2">
        <w:rPr>
          <w:rFonts w:cs="Arial"/>
        </w:rPr>
        <w:t xml:space="preserve">(such as improvements to mortality rates) </w:t>
      </w:r>
      <w:r w:rsidR="003A23FD" w:rsidRPr="00150CD2">
        <w:rPr>
          <w:rFonts w:cs="Arial"/>
        </w:rPr>
        <w:t>are not feasible for use in evaluating impact over a 3 year period as changes will not yet be observable</w:t>
      </w:r>
      <w:r w:rsidR="003B1E1B" w:rsidRPr="00150CD2">
        <w:rPr>
          <w:rFonts w:cs="Arial"/>
        </w:rPr>
        <w:t xml:space="preserve">. “Intermediate” outcome indicators </w:t>
      </w:r>
      <w:r w:rsidR="004A2178" w:rsidRPr="00150CD2">
        <w:rPr>
          <w:rFonts w:cs="Arial"/>
        </w:rPr>
        <w:t xml:space="preserve">which show changes over a shorter period of time can be used instead, provided there is research evidence of a link between the intermediate and longer term outcome. There will be additional uncertainty around these impacts. </w:t>
      </w:r>
    </w:p>
    <w:p w14:paraId="1DFD634E" w14:textId="77777777" w:rsidR="00B213D2" w:rsidRPr="00150CD2" w:rsidRDefault="00B213D2" w:rsidP="00B213D2">
      <w:pPr>
        <w:pStyle w:val="EYBulletedText1"/>
        <w:rPr>
          <w:rFonts w:cs="Arial"/>
        </w:rPr>
      </w:pPr>
      <w:r w:rsidRPr="00150CD2">
        <w:rPr>
          <w:rFonts w:cs="Arial"/>
          <w:b/>
          <w:bCs/>
        </w:rPr>
        <w:t>Evidence base supporting links between “intermediate” outcomes and longer term outcomes.</w:t>
      </w:r>
      <w:r w:rsidRPr="00150CD2">
        <w:rPr>
          <w:rFonts w:cs="Arial"/>
        </w:rPr>
        <w:t xml:space="preserve"> The strength of the evidence base and likelihood of longer term outcomes being realised are key considerations when determining whether an intermediate outcome should be included in the impact evaluation. </w:t>
      </w:r>
    </w:p>
    <w:p w14:paraId="205677BC" w14:textId="77777777" w:rsidR="004A2178" w:rsidRPr="00150CD2" w:rsidRDefault="004A2178" w:rsidP="004A2178">
      <w:pPr>
        <w:pStyle w:val="EYBulletedText1"/>
        <w:rPr>
          <w:rFonts w:cs="Arial"/>
        </w:rPr>
      </w:pPr>
      <w:r w:rsidRPr="00150CD2">
        <w:rPr>
          <w:rFonts w:cs="Arial"/>
          <w:b/>
          <w:bCs/>
        </w:rPr>
        <w:t>Relative ease/difficulty of attributing impact to the programme.</w:t>
      </w:r>
      <w:r w:rsidRPr="00150CD2">
        <w:rPr>
          <w:rFonts w:cs="Arial"/>
        </w:rPr>
        <w:t xml:space="preserve"> To what extent are outcomes likely to vary for DSS clients over time as a result of factors independent of the program, or as a result of natural variation between individuals in a relatively small cohort? Changes in outcomes with greater variability are more challenging to attribute to the programme. </w:t>
      </w:r>
    </w:p>
    <w:p w14:paraId="30A36F61" w14:textId="522FCD09" w:rsidR="004A2178" w:rsidRPr="00150CD2" w:rsidRDefault="004A2178" w:rsidP="00827364">
      <w:pPr>
        <w:pStyle w:val="EYBulletedText1"/>
        <w:rPr>
          <w:rFonts w:cs="Arial"/>
        </w:rPr>
      </w:pPr>
      <w:r w:rsidRPr="00150CD2">
        <w:rPr>
          <w:rFonts w:cs="Arial"/>
          <w:b/>
          <w:bCs/>
        </w:rPr>
        <w:t>Expected impact size on the outcome of interest.</w:t>
      </w:r>
      <w:r w:rsidRPr="00150CD2">
        <w:rPr>
          <w:rFonts w:cs="Arial"/>
        </w:rPr>
        <w:t xml:space="preserve"> </w:t>
      </w:r>
      <w:r w:rsidR="00B213D2" w:rsidRPr="00150CD2">
        <w:rPr>
          <w:rFonts w:cs="Arial"/>
        </w:rPr>
        <w:t xml:space="preserve">This is a key factor </w:t>
      </w:r>
      <w:r w:rsidR="00827364" w:rsidRPr="00150CD2">
        <w:rPr>
          <w:rFonts w:cs="Arial"/>
        </w:rPr>
        <w:t xml:space="preserve">determining whether </w:t>
      </w:r>
      <w:r w:rsidR="00B213D2" w:rsidRPr="00150CD2">
        <w:rPr>
          <w:rFonts w:cs="Arial"/>
        </w:rPr>
        <w:t xml:space="preserve">impacts are likely to </w:t>
      </w:r>
      <w:r w:rsidR="00827364" w:rsidRPr="00150CD2">
        <w:rPr>
          <w:rFonts w:cs="Arial"/>
        </w:rPr>
        <w:t>be discernible from random variation (statistical significance tests are often used for this purpose).</w:t>
      </w:r>
      <w:r w:rsidR="00B213D2" w:rsidRPr="00150CD2">
        <w:rPr>
          <w:rFonts w:cs="Arial"/>
        </w:rPr>
        <w:t xml:space="preserve"> </w:t>
      </w:r>
      <w:r w:rsidRPr="00150CD2">
        <w:rPr>
          <w:rFonts w:cs="Arial"/>
        </w:rPr>
        <w:t>To what extent is the programme expected to shift the outcome of interest</w:t>
      </w:r>
      <w:r w:rsidR="00B213D2" w:rsidRPr="00150CD2">
        <w:rPr>
          <w:rFonts w:cs="Arial"/>
        </w:rPr>
        <w:t xml:space="preserve"> over the 3 year evaluation period</w:t>
      </w:r>
      <w:r w:rsidRPr="00150CD2">
        <w:rPr>
          <w:rFonts w:cs="Arial"/>
        </w:rPr>
        <w:t xml:space="preserve">? How many participants are expected to experience the improvement in outcomes? Are there external factors (for example, microeconomic conditions, community attitudes and market conditions) which may constrain the ability of the programme to contribute to </w:t>
      </w:r>
      <w:r w:rsidR="0037522A" w:rsidRPr="00150CD2">
        <w:rPr>
          <w:rFonts w:cs="Arial"/>
        </w:rPr>
        <w:t xml:space="preserve">measurable </w:t>
      </w:r>
      <w:r w:rsidRPr="00150CD2">
        <w:rPr>
          <w:rFonts w:cs="Arial"/>
        </w:rPr>
        <w:t>change over the evaluation period?</w:t>
      </w:r>
    </w:p>
    <w:p w14:paraId="146B1C16" w14:textId="6D437419" w:rsidR="00613336" w:rsidRPr="00150CD2" w:rsidRDefault="00613336" w:rsidP="00827364">
      <w:pPr>
        <w:pStyle w:val="EYBodytextwithparaspace"/>
        <w:rPr>
          <w:rFonts w:cs="Arial"/>
        </w:rPr>
      </w:pPr>
      <w:r w:rsidRPr="00150CD2">
        <w:rPr>
          <w:rFonts w:cs="Arial"/>
        </w:rPr>
        <w:br w:type="page"/>
      </w:r>
    </w:p>
    <w:p w14:paraId="7779F34A" w14:textId="574D65A7" w:rsidR="00360701" w:rsidRPr="00150CD2" w:rsidRDefault="00105439" w:rsidP="00613336">
      <w:pPr>
        <w:pStyle w:val="EYAppendix"/>
        <w:rPr>
          <w:rFonts w:cs="Arial"/>
        </w:rPr>
      </w:pPr>
      <w:bookmarkStart w:id="170" w:name="_Toc46365151"/>
      <w:bookmarkStart w:id="171" w:name="_Toc48752369"/>
      <w:r w:rsidRPr="00150CD2">
        <w:rPr>
          <w:rFonts w:cs="Arial"/>
        </w:rPr>
        <w:t xml:space="preserve">Reliances, limitations and </w:t>
      </w:r>
      <w:r w:rsidR="00037510" w:rsidRPr="00150CD2">
        <w:rPr>
          <w:rFonts w:cs="Arial"/>
        </w:rPr>
        <w:t>disclaimer</w:t>
      </w:r>
      <w:bookmarkEnd w:id="170"/>
      <w:bookmarkEnd w:id="171"/>
    </w:p>
    <w:p w14:paraId="037F4B8E" w14:textId="179476CA" w:rsidR="00BA1262" w:rsidRDefault="00BA1262" w:rsidP="00105439">
      <w:pPr>
        <w:pStyle w:val="EYBodytextwithparaspace"/>
        <w:spacing w:after="120"/>
        <w:rPr>
          <w:rFonts w:cs="Arial"/>
        </w:rPr>
      </w:pPr>
      <w:r w:rsidRPr="00BA1262">
        <w:rPr>
          <w:rFonts w:cs="Arial"/>
        </w:rPr>
        <w:t>Our final report has been provided to Ministry of Health pursuant to the terms of our engagement dated 29 March 2019 and should not be used or relied on for any other purpose or distributed to any other party without Ernst &amp; Young's prior written consent.</w:t>
      </w:r>
    </w:p>
    <w:p w14:paraId="0A291C02" w14:textId="7DB0D243" w:rsidR="00105439" w:rsidRPr="00150CD2" w:rsidRDefault="00105439" w:rsidP="00105439">
      <w:pPr>
        <w:pStyle w:val="EYBodytextwithparaspace"/>
        <w:spacing w:after="120"/>
        <w:rPr>
          <w:rFonts w:cs="Arial"/>
        </w:rPr>
      </w:pPr>
      <w:r w:rsidRPr="00150CD2">
        <w:rPr>
          <w:rFonts w:cs="Arial"/>
        </w:rPr>
        <w:t xml:space="preserve">This report may only be provided to Ministry of Health. However, any other party other than the Client who access this report shall only do so for their general information only and this report should not be taken as providing specific advice to those parties on any issue, nor may this report be relied upon in any way by any party other than the Client. A party other than the Client accessing this report should exercise its own skill and care with respect to use of this report, and obtain independent advice on any specific issues concerning it. </w:t>
      </w:r>
    </w:p>
    <w:p w14:paraId="66242827" w14:textId="1CF77FD5" w:rsidR="00105439" w:rsidRPr="00150CD2" w:rsidRDefault="00105439" w:rsidP="00105439">
      <w:pPr>
        <w:pStyle w:val="EYBodytextwithparaspace"/>
        <w:spacing w:after="120"/>
        <w:rPr>
          <w:rFonts w:cs="Arial"/>
        </w:rPr>
      </w:pPr>
      <w:r w:rsidRPr="00150CD2">
        <w:rPr>
          <w:rFonts w:cs="Arial"/>
        </w:rPr>
        <w:t xml:space="preserve">In carrying out our work and preparing this report, Ernst &amp; Young has worked solely on the instructions of the Client, and has not taken into account the interests of any party other than the Client. The report has been constructed based on information available in the Integrated Data Infrastructure in the </w:t>
      </w:r>
      <w:r w:rsidR="00830260" w:rsidRPr="00150CD2">
        <w:rPr>
          <w:rFonts w:cs="Arial"/>
        </w:rPr>
        <w:t>September</w:t>
      </w:r>
      <w:r w:rsidRPr="00150CD2">
        <w:rPr>
          <w:rFonts w:cs="Arial"/>
        </w:rPr>
        <w:t xml:space="preserve"> 2018 refresh and other information current as of </w:t>
      </w:r>
      <w:r w:rsidR="00830260" w:rsidRPr="00150CD2">
        <w:rPr>
          <w:rFonts w:cs="Arial"/>
        </w:rPr>
        <w:t>6 December 2019</w:t>
      </w:r>
      <w:r w:rsidRPr="00150CD2">
        <w:rPr>
          <w:rFonts w:cs="Arial"/>
        </w:rPr>
        <w:t xml:space="preserve"> which has been provided by the Client. Since this date, material events may have occurred since completion which are not reflected in the report.  </w:t>
      </w:r>
    </w:p>
    <w:p w14:paraId="14255F8D" w14:textId="77777777" w:rsidR="00105439" w:rsidRPr="00150CD2" w:rsidRDefault="00105439" w:rsidP="00105439">
      <w:pPr>
        <w:pStyle w:val="EYBodytextwithparaspace"/>
        <w:spacing w:after="120"/>
        <w:rPr>
          <w:rFonts w:cs="Arial"/>
        </w:rPr>
      </w:pPr>
      <w:r w:rsidRPr="00150CD2">
        <w:rPr>
          <w:rFonts w:cs="Arial"/>
        </w:rPr>
        <w:t xml:space="preserve">Ernst &amp; Young does not accept any responsibility for use of the information contained in the report and makes no guarantee nor accepts any legal liability whatsoever arising from or connected to the accuracy, reliability, currency or completeness of any material contained in this report. Ernst &amp; Young expressly disclaims all liability for any costs, loss, damage, injury or other consequence which may arise directly or indirectly from use of, or reliance on, the report. </w:t>
      </w:r>
    </w:p>
    <w:p w14:paraId="78CF4F9A" w14:textId="77777777" w:rsidR="00105439" w:rsidRPr="00150CD2" w:rsidRDefault="00105439" w:rsidP="009C2F81">
      <w:pPr>
        <w:pStyle w:val="EYBodytextwithparaspace"/>
        <w:spacing w:after="120"/>
        <w:rPr>
          <w:rFonts w:cs="Arial"/>
        </w:rPr>
      </w:pPr>
      <w:r w:rsidRPr="00150CD2">
        <w:rPr>
          <w:rFonts w:cs="Arial"/>
        </w:rPr>
        <w:t>Liability limited under a scheme approved under Professional Standards Legislation.</w:t>
      </w:r>
    </w:p>
    <w:p w14:paraId="442DCDAB" w14:textId="77777777" w:rsidR="00105439" w:rsidRPr="00150CD2" w:rsidRDefault="00105439" w:rsidP="00ED0EBA">
      <w:pPr>
        <w:pStyle w:val="EYBodytextwithparaspace"/>
        <w:spacing w:after="120"/>
        <w:rPr>
          <w:rFonts w:cs="Arial"/>
          <w:b/>
        </w:rPr>
      </w:pPr>
      <w:r w:rsidRPr="00150CD2">
        <w:rPr>
          <w:rFonts w:cs="Arial"/>
          <w:b/>
        </w:rPr>
        <w:br/>
        <w:t>Statistics NZ disclaimer</w:t>
      </w:r>
    </w:p>
    <w:p w14:paraId="2C37E360" w14:textId="77777777" w:rsidR="00105439" w:rsidRPr="00150CD2" w:rsidRDefault="00105439" w:rsidP="00105439">
      <w:pPr>
        <w:pStyle w:val="EYBodytextwithparaspace"/>
        <w:spacing w:after="120"/>
        <w:rPr>
          <w:rFonts w:cs="Arial"/>
        </w:rPr>
      </w:pPr>
      <w:r w:rsidRPr="00150CD2">
        <w:rPr>
          <w:rFonts w:cs="Arial"/>
        </w:rPr>
        <w:t xml:space="preserve">The results in this document are not official statistics, they have been created for research purposes from the Integrated Data Infrastructure (IDI), managed by Statistics New Zealand. </w:t>
      </w:r>
    </w:p>
    <w:p w14:paraId="771AB3F0" w14:textId="77777777" w:rsidR="00105439" w:rsidRPr="00150CD2" w:rsidRDefault="00105439" w:rsidP="00105439">
      <w:pPr>
        <w:pStyle w:val="EYBodytextwithparaspace"/>
        <w:spacing w:after="120"/>
        <w:rPr>
          <w:rFonts w:cs="Arial"/>
        </w:rPr>
      </w:pPr>
      <w:r w:rsidRPr="00150CD2">
        <w:rPr>
          <w:rFonts w:cs="Arial"/>
        </w:rPr>
        <w:t xml:space="preserve">The opinions, findings, recommendations, and conclusions expressed in this document are those of the author(s), not Statistics NZ. </w:t>
      </w:r>
    </w:p>
    <w:p w14:paraId="5675E4C3" w14:textId="77777777" w:rsidR="00105439" w:rsidRPr="00150CD2" w:rsidRDefault="00105439" w:rsidP="00830260">
      <w:pPr>
        <w:pStyle w:val="EYBodytextwithparaspace"/>
        <w:spacing w:after="120"/>
        <w:rPr>
          <w:rFonts w:cs="Arial"/>
        </w:rPr>
      </w:pPr>
      <w:r w:rsidRPr="00150CD2">
        <w:rPr>
          <w:rFonts w:cs="Arial"/>
        </w:rPr>
        <w:t xml:space="preserve">Access to the anonymised data used in this study was provided by Statistics NZ in accordance with security and confidentiality provisions of the Statistics Act 1975. Only people authorised by the Statistics Act 1975 are allowed to see data about a particular person, household, business, or organisation, and the results in this document have been confidentialised to protect these groups from identification. </w:t>
      </w:r>
    </w:p>
    <w:p w14:paraId="03D6004F" w14:textId="2DEF1C07" w:rsidR="00105439" w:rsidRPr="00150CD2" w:rsidRDefault="00105439" w:rsidP="00830260">
      <w:pPr>
        <w:pStyle w:val="EYBodytextwithparaspace"/>
        <w:spacing w:after="120"/>
        <w:rPr>
          <w:rFonts w:cs="Arial"/>
        </w:rPr>
      </w:pPr>
      <w:r w:rsidRPr="00150CD2">
        <w:rPr>
          <w:rFonts w:cs="Arial"/>
        </w:rPr>
        <w:t xml:space="preserve">Careful consideration has been given to the privacy, security, and confidentiality issues associated with using administrative and survey data in the IDI. Further detail can be found in the Privacy impact assessment for the Integrated Data Infrastructure available from </w:t>
      </w:r>
      <w:hyperlink r:id="rId31" w:history="1">
        <w:r w:rsidR="00E4510E" w:rsidRPr="00150CD2">
          <w:rPr>
            <w:rStyle w:val="Hyperlink"/>
            <w:rFonts w:ascii="Arial" w:hAnsi="Arial" w:cs="Arial"/>
          </w:rPr>
          <w:t>www.stats.govt.nz</w:t>
        </w:r>
      </w:hyperlink>
      <w:r w:rsidR="00ED0EBA" w:rsidRPr="00150CD2">
        <w:rPr>
          <w:rFonts w:cs="Arial"/>
        </w:rPr>
        <w:t>.</w:t>
      </w:r>
    </w:p>
    <w:p w14:paraId="43D686A7" w14:textId="77777777" w:rsidR="00105439" w:rsidRPr="00150CD2" w:rsidRDefault="00105439" w:rsidP="00D1176D">
      <w:pPr>
        <w:pStyle w:val="EYBodytextwithparaspace"/>
        <w:spacing w:after="120"/>
        <w:rPr>
          <w:rFonts w:cs="Arial"/>
        </w:rPr>
      </w:pPr>
      <w:r w:rsidRPr="00150CD2">
        <w:rPr>
          <w:rFonts w:cs="Arial"/>
        </w:rPr>
        <w:t>The results are based in part on tax data supplied by Inland Revenue to Statistics NZ under the Tax Administration Act 1994. This tax data must be used only for statistical purposes, and no individual information may be published or disclosed in any other form, or provided to Inland Revenue for administrative or regulatory purposes.</w:t>
      </w:r>
    </w:p>
    <w:p w14:paraId="17F8981A" w14:textId="0D3B30B6" w:rsidR="00105439" w:rsidRPr="00150CD2" w:rsidRDefault="00105439" w:rsidP="00D1176D">
      <w:pPr>
        <w:pStyle w:val="EYBodytextwithparaspace"/>
        <w:spacing w:after="120"/>
        <w:rPr>
          <w:rFonts w:cs="Arial"/>
        </w:rPr>
      </w:pPr>
      <w:r w:rsidRPr="00150CD2">
        <w:rPr>
          <w:rFonts w:cs="Arial"/>
        </w:rPr>
        <w:t>Any person who has had access to the unit record data has certified that they have been shown, have read, and have understood section 81 of the Tax Administration Act 1994, which relates to secrecy. Any discussion of data limitations or weaknesses is in the context of using the IDI for statistical purposes, and is not related to the data’s ability to support Inland Revenue’s core operational requirements.</w:t>
      </w:r>
    </w:p>
    <w:p w14:paraId="4102F98C" w14:textId="53CECFDB" w:rsidR="00FF642F" w:rsidRPr="00150CD2" w:rsidRDefault="00FF642F" w:rsidP="00ED0EBA">
      <w:pPr>
        <w:pStyle w:val="EYBodytextwithparaspace"/>
        <w:spacing w:after="120"/>
        <w:rPr>
          <w:rFonts w:cs="Arial"/>
        </w:rPr>
      </w:pPr>
      <w:r w:rsidRPr="00150CD2">
        <w:rPr>
          <w:rFonts w:cs="Arial"/>
        </w:rPr>
        <w:br w:type="page"/>
      </w:r>
    </w:p>
    <w:p w14:paraId="4E79FB08" w14:textId="77777777" w:rsidR="00FF642F" w:rsidRPr="00150CD2" w:rsidRDefault="00FF642F" w:rsidP="00FF642F">
      <w:pPr>
        <w:pStyle w:val="EYAppendix"/>
        <w:rPr>
          <w:rFonts w:cs="Arial"/>
          <w:lang w:eastAsia="en-AU"/>
        </w:rPr>
      </w:pPr>
      <w:bookmarkStart w:id="172" w:name="_Ref45719533"/>
      <w:bookmarkStart w:id="173" w:name="_Ref46334458"/>
      <w:bookmarkStart w:id="174" w:name="_Toc46365152"/>
      <w:bookmarkStart w:id="175" w:name="_Toc48752370"/>
      <w:r w:rsidRPr="00150CD2">
        <w:rPr>
          <w:rFonts w:cs="Arial"/>
          <w:lang w:eastAsia="en-AU"/>
        </w:rPr>
        <w:t>References</w:t>
      </w:r>
      <w:bookmarkEnd w:id="172"/>
      <w:bookmarkEnd w:id="173"/>
      <w:bookmarkEnd w:id="174"/>
      <w:bookmarkEnd w:id="17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9019"/>
      </w:tblGrid>
      <w:tr w:rsidR="00392C9F" w:rsidRPr="00150CD2" w14:paraId="7DD5C248" w14:textId="77777777" w:rsidTr="00C236CD">
        <w:tc>
          <w:tcPr>
            <w:tcW w:w="9019" w:type="dxa"/>
          </w:tcPr>
          <w:p w14:paraId="1B82A3E1" w14:textId="77777777" w:rsidR="00392C9F" w:rsidRPr="00150CD2" w:rsidRDefault="00392C9F" w:rsidP="00C236CD">
            <w:pPr>
              <w:pStyle w:val="EYTableText"/>
              <w:ind w:left="432" w:hanging="432"/>
              <w:rPr>
                <w:rFonts w:cs="Arial"/>
                <w:sz w:val="24"/>
              </w:rPr>
            </w:pPr>
            <w:r w:rsidRPr="00150CD2">
              <w:rPr>
                <w:rFonts w:cs="Arial"/>
                <w:sz w:val="24"/>
              </w:rPr>
              <w:t xml:space="preserve">Anderson, P., Craig, E., Jackson, G., Jackson, C. (2012). </w:t>
            </w:r>
            <w:r w:rsidRPr="00150CD2">
              <w:rPr>
                <w:rFonts w:cs="Arial"/>
                <w:i/>
                <w:iCs/>
                <w:sz w:val="24"/>
              </w:rPr>
              <w:t>Developing a tool to monitor potentially avoidable ambulatory care sensitive hospitalisations in New Zealand children.</w:t>
            </w:r>
            <w:r w:rsidRPr="00150CD2">
              <w:rPr>
                <w:rFonts w:cs="Arial"/>
                <w:sz w:val="24"/>
              </w:rPr>
              <w:t xml:space="preserve"> New Zealand Medical Journal 2012; 125(1366).</w:t>
            </w:r>
          </w:p>
        </w:tc>
      </w:tr>
      <w:tr w:rsidR="00392C9F" w:rsidRPr="00150CD2" w14:paraId="53158E69" w14:textId="77777777" w:rsidTr="00C236CD">
        <w:tc>
          <w:tcPr>
            <w:tcW w:w="9019" w:type="dxa"/>
          </w:tcPr>
          <w:p w14:paraId="0C8B324E" w14:textId="77777777" w:rsidR="00392C9F" w:rsidRPr="00150CD2" w:rsidRDefault="00392C9F" w:rsidP="00C236CD">
            <w:pPr>
              <w:pStyle w:val="EYTableText"/>
              <w:ind w:left="432" w:hanging="432"/>
              <w:rPr>
                <w:rFonts w:cs="Arial"/>
                <w:sz w:val="24"/>
              </w:rPr>
            </w:pPr>
            <w:r w:rsidRPr="00150CD2">
              <w:rPr>
                <w:rFonts w:cs="Arial"/>
                <w:sz w:val="24"/>
              </w:rPr>
              <w:t xml:space="preserve">Australian National Disability Insurance Agency (2015). </w:t>
            </w:r>
            <w:r w:rsidRPr="00150CD2">
              <w:rPr>
                <w:rFonts w:cs="Arial"/>
                <w:i/>
                <w:iCs/>
                <w:sz w:val="24"/>
              </w:rPr>
              <w:t>National Disability Insurance Scheme Outcomes framework pilot study: Summary report.</w:t>
            </w:r>
            <w:r w:rsidRPr="00150CD2">
              <w:rPr>
                <w:rFonts w:cs="Arial"/>
                <w:sz w:val="24"/>
              </w:rPr>
              <w:t xml:space="preserve"> Australian National Disability Insurance Agency.</w:t>
            </w:r>
          </w:p>
        </w:tc>
      </w:tr>
      <w:tr w:rsidR="00392C9F" w:rsidRPr="00150CD2" w14:paraId="4BD6C450" w14:textId="77777777" w:rsidTr="00C236CD">
        <w:tc>
          <w:tcPr>
            <w:tcW w:w="9019" w:type="dxa"/>
          </w:tcPr>
          <w:p w14:paraId="7D053532" w14:textId="77777777" w:rsidR="00392C9F" w:rsidRPr="00150CD2" w:rsidRDefault="00392C9F" w:rsidP="00C236CD">
            <w:pPr>
              <w:pStyle w:val="EYTableText"/>
              <w:ind w:left="432" w:hanging="432"/>
              <w:rPr>
                <w:rFonts w:cs="Arial"/>
                <w:sz w:val="24"/>
              </w:rPr>
            </w:pPr>
            <w:r w:rsidRPr="00150CD2">
              <w:rPr>
                <w:rFonts w:cs="Arial"/>
                <w:sz w:val="24"/>
              </w:rPr>
              <w:t xml:space="preserve">Australian National Disability Insurance Agency (2018). </w:t>
            </w:r>
            <w:r w:rsidRPr="00150CD2">
              <w:rPr>
                <w:rFonts w:cs="Arial"/>
                <w:i/>
                <w:iCs/>
                <w:sz w:val="24"/>
              </w:rPr>
              <w:t>National Disability Insurance Scheme 2017-18 Annual Report.</w:t>
            </w:r>
            <w:r w:rsidRPr="00150CD2">
              <w:rPr>
                <w:rFonts w:cs="Arial"/>
                <w:sz w:val="24"/>
              </w:rPr>
              <w:t xml:space="preserve"> Australian National Disability Insurance Agency.</w:t>
            </w:r>
          </w:p>
        </w:tc>
      </w:tr>
      <w:tr w:rsidR="00392C9F" w:rsidRPr="00150CD2" w14:paraId="78056054" w14:textId="77777777" w:rsidTr="00C236CD">
        <w:tc>
          <w:tcPr>
            <w:tcW w:w="9019" w:type="dxa"/>
          </w:tcPr>
          <w:p w14:paraId="0936025D" w14:textId="77777777" w:rsidR="00392C9F" w:rsidRPr="00150CD2" w:rsidRDefault="00392C9F" w:rsidP="00C236CD">
            <w:pPr>
              <w:pStyle w:val="EYTableText"/>
              <w:ind w:left="432" w:hanging="432"/>
              <w:rPr>
                <w:rFonts w:cs="Arial"/>
                <w:sz w:val="24"/>
              </w:rPr>
            </w:pPr>
            <w:r w:rsidRPr="00150CD2">
              <w:rPr>
                <w:rFonts w:cs="Arial"/>
                <w:sz w:val="24"/>
              </w:rPr>
              <w:t xml:space="preserve">Australian National Disability Insurance Agency (2018). </w:t>
            </w:r>
            <w:r w:rsidRPr="00150CD2">
              <w:rPr>
                <w:rFonts w:cs="Arial"/>
                <w:i/>
                <w:iCs/>
                <w:sz w:val="24"/>
              </w:rPr>
              <w:t>NDIS Participant Outcomes 30 June 2018.</w:t>
            </w:r>
            <w:r w:rsidRPr="00150CD2">
              <w:rPr>
                <w:rFonts w:cs="Arial"/>
                <w:sz w:val="24"/>
              </w:rPr>
              <w:t xml:space="preserve"> Australian National Disability Insurance Agency.</w:t>
            </w:r>
          </w:p>
        </w:tc>
      </w:tr>
      <w:tr w:rsidR="00392C9F" w:rsidRPr="00150CD2" w14:paraId="15293313" w14:textId="77777777" w:rsidTr="00C236CD">
        <w:tc>
          <w:tcPr>
            <w:tcW w:w="9019" w:type="dxa"/>
          </w:tcPr>
          <w:p w14:paraId="014D7FB7" w14:textId="77777777" w:rsidR="00392C9F" w:rsidRPr="00150CD2" w:rsidRDefault="00392C9F" w:rsidP="00C236CD">
            <w:pPr>
              <w:pStyle w:val="EYTableText"/>
              <w:ind w:left="432" w:hanging="432"/>
              <w:rPr>
                <w:rFonts w:cs="Arial"/>
                <w:sz w:val="24"/>
              </w:rPr>
            </w:pPr>
            <w:r w:rsidRPr="00150CD2">
              <w:rPr>
                <w:rFonts w:cs="Arial"/>
                <w:sz w:val="24"/>
              </w:rPr>
              <w:t xml:space="preserve">Census Transformation programme (2014). </w:t>
            </w:r>
            <w:r w:rsidRPr="00150CD2">
              <w:rPr>
                <w:rFonts w:cs="Arial"/>
                <w:i/>
                <w:iCs/>
                <w:sz w:val="24"/>
              </w:rPr>
              <w:t>An overview of progress on the potential use of administrative data for census information in New Zealand.</w:t>
            </w:r>
            <w:r w:rsidRPr="00150CD2">
              <w:rPr>
                <w:rFonts w:cs="Arial"/>
                <w:sz w:val="24"/>
              </w:rPr>
              <w:t xml:space="preserve"> Wellington: Statistics New Zealand.</w:t>
            </w:r>
          </w:p>
        </w:tc>
      </w:tr>
      <w:tr w:rsidR="00392C9F" w:rsidRPr="00150CD2" w14:paraId="55245AEB" w14:textId="77777777" w:rsidTr="00C236CD">
        <w:tc>
          <w:tcPr>
            <w:tcW w:w="9019" w:type="dxa"/>
          </w:tcPr>
          <w:p w14:paraId="68991E18" w14:textId="77777777" w:rsidR="00392C9F" w:rsidRPr="00150CD2" w:rsidRDefault="00392C9F" w:rsidP="00C236CD">
            <w:pPr>
              <w:pStyle w:val="EYTableText"/>
              <w:ind w:left="432" w:hanging="432"/>
              <w:rPr>
                <w:rFonts w:cs="Arial"/>
                <w:sz w:val="24"/>
              </w:rPr>
            </w:pPr>
            <w:r w:rsidRPr="00150CD2">
              <w:rPr>
                <w:rFonts w:cs="Arial"/>
                <w:sz w:val="24"/>
              </w:rPr>
              <w:t xml:space="preserve">Census Transformation programme (2017). </w:t>
            </w:r>
            <w:r w:rsidRPr="00150CD2">
              <w:rPr>
                <w:rFonts w:cs="Arial"/>
                <w:i/>
                <w:iCs/>
                <w:sz w:val="24"/>
              </w:rPr>
              <w:t>Experimental population estimates from linked administrative data.</w:t>
            </w:r>
            <w:r w:rsidRPr="00150CD2">
              <w:rPr>
                <w:rFonts w:cs="Arial"/>
                <w:sz w:val="24"/>
              </w:rPr>
              <w:t xml:space="preserve"> Wellington: Statistics New Zealand.</w:t>
            </w:r>
          </w:p>
        </w:tc>
      </w:tr>
      <w:tr w:rsidR="00392C9F" w:rsidRPr="00150CD2" w14:paraId="741C1FA4" w14:textId="77777777" w:rsidTr="00C236CD">
        <w:tc>
          <w:tcPr>
            <w:tcW w:w="9019" w:type="dxa"/>
          </w:tcPr>
          <w:p w14:paraId="6EC0C395" w14:textId="77777777" w:rsidR="00392C9F" w:rsidRPr="00150CD2" w:rsidRDefault="00392C9F" w:rsidP="00C236CD">
            <w:pPr>
              <w:pStyle w:val="EYTableText"/>
              <w:ind w:left="432" w:hanging="432"/>
              <w:rPr>
                <w:rFonts w:cs="Arial"/>
                <w:sz w:val="24"/>
              </w:rPr>
            </w:pPr>
            <w:r w:rsidRPr="00150CD2">
              <w:rPr>
                <w:rFonts w:cs="Arial"/>
                <w:sz w:val="24"/>
              </w:rPr>
              <w:t xml:space="preserve">Earle, D. (2019). </w:t>
            </w:r>
            <w:r w:rsidRPr="00150CD2">
              <w:rPr>
                <w:rFonts w:cs="Arial"/>
                <w:i/>
                <w:iCs/>
                <w:sz w:val="24"/>
              </w:rPr>
              <w:t xml:space="preserve">Disabled people and tertiary education: An analysis of the 2013 Disability Survey. </w:t>
            </w:r>
            <w:r w:rsidRPr="00150CD2">
              <w:rPr>
                <w:rFonts w:cs="Arial"/>
                <w:sz w:val="24"/>
              </w:rPr>
              <w:t>Wellington: Ministry of Education.</w:t>
            </w:r>
          </w:p>
        </w:tc>
      </w:tr>
      <w:tr w:rsidR="00392C9F" w:rsidRPr="00150CD2" w14:paraId="1675AC9E" w14:textId="77777777" w:rsidTr="00C236CD">
        <w:tc>
          <w:tcPr>
            <w:tcW w:w="9019" w:type="dxa"/>
          </w:tcPr>
          <w:p w14:paraId="75F6C1CC" w14:textId="77777777" w:rsidR="00392C9F" w:rsidRPr="00150CD2" w:rsidRDefault="00392C9F" w:rsidP="00C236CD">
            <w:pPr>
              <w:pStyle w:val="EYTableText"/>
              <w:ind w:left="432" w:hanging="432"/>
              <w:rPr>
                <w:rFonts w:cs="Arial"/>
                <w:sz w:val="24"/>
              </w:rPr>
            </w:pPr>
            <w:r w:rsidRPr="00150CD2">
              <w:rPr>
                <w:rFonts w:cs="Arial"/>
                <w:sz w:val="24"/>
              </w:rPr>
              <w:t xml:space="preserve">Gath, M and Bycroft, C. (2018). </w:t>
            </w:r>
            <w:r w:rsidRPr="00150CD2">
              <w:rPr>
                <w:rFonts w:cs="Arial"/>
                <w:i/>
                <w:iCs/>
                <w:sz w:val="24"/>
              </w:rPr>
              <w:t>The potential for linked administrative data to provide household and family information.</w:t>
            </w:r>
            <w:r w:rsidRPr="00150CD2">
              <w:rPr>
                <w:rFonts w:cs="Arial"/>
                <w:sz w:val="24"/>
              </w:rPr>
              <w:t xml:space="preserve"> Wellington: Statistics New Zealand.</w:t>
            </w:r>
          </w:p>
        </w:tc>
      </w:tr>
      <w:tr w:rsidR="00392C9F" w:rsidRPr="00150CD2" w14:paraId="35753E7E" w14:textId="77777777" w:rsidTr="00C236CD">
        <w:tc>
          <w:tcPr>
            <w:tcW w:w="9019" w:type="dxa"/>
          </w:tcPr>
          <w:p w14:paraId="3B6BE677" w14:textId="77777777" w:rsidR="00392C9F" w:rsidRPr="00150CD2" w:rsidRDefault="00392C9F" w:rsidP="00C236CD">
            <w:pPr>
              <w:pStyle w:val="EYTableText"/>
              <w:ind w:left="432" w:hanging="432"/>
              <w:rPr>
                <w:rFonts w:cs="Arial"/>
                <w:sz w:val="24"/>
              </w:rPr>
            </w:pPr>
            <w:r w:rsidRPr="00150CD2">
              <w:rPr>
                <w:rFonts w:cs="Arial"/>
                <w:sz w:val="24"/>
              </w:rPr>
              <w:t xml:space="preserve">Gulliver, P. and Fanslow, J. (2013). </w:t>
            </w:r>
            <w:r w:rsidRPr="00150CD2">
              <w:rPr>
                <w:rFonts w:cs="Arial"/>
                <w:i/>
                <w:iCs/>
                <w:sz w:val="24"/>
              </w:rPr>
              <w:t>Family Violence Indicators: Can national administrative data sets be used to measure trends in family violence in New Zealand?</w:t>
            </w:r>
            <w:r w:rsidRPr="00150CD2">
              <w:rPr>
                <w:rFonts w:cs="Arial"/>
                <w:sz w:val="24"/>
              </w:rPr>
              <w:t>. Wellington: Superu.</w:t>
            </w:r>
          </w:p>
        </w:tc>
      </w:tr>
      <w:tr w:rsidR="00392C9F" w:rsidRPr="00150CD2" w14:paraId="769FA5ED" w14:textId="77777777" w:rsidTr="00C236CD">
        <w:tc>
          <w:tcPr>
            <w:tcW w:w="9019" w:type="dxa"/>
          </w:tcPr>
          <w:p w14:paraId="6DEB4AC0" w14:textId="77777777" w:rsidR="00392C9F" w:rsidRPr="00150CD2" w:rsidRDefault="00392C9F" w:rsidP="00C236CD">
            <w:pPr>
              <w:pStyle w:val="EYTableText"/>
              <w:ind w:left="432" w:hanging="432"/>
              <w:rPr>
                <w:rFonts w:cs="Arial"/>
                <w:sz w:val="24"/>
              </w:rPr>
            </w:pPr>
            <w:r w:rsidRPr="00150CD2">
              <w:rPr>
                <w:rFonts w:cs="Arial"/>
                <w:sz w:val="24"/>
              </w:rPr>
              <w:t xml:space="preserve">Health Funding Authority, Ministry of Health (1998). </w:t>
            </w:r>
            <w:r w:rsidRPr="00150CD2">
              <w:rPr>
                <w:rFonts w:cs="Arial"/>
                <w:i/>
                <w:iCs/>
                <w:sz w:val="24"/>
              </w:rPr>
              <w:t>Disability in New Zealand: Overview of the 1996/97 Surveys.</w:t>
            </w:r>
            <w:r w:rsidRPr="00150CD2">
              <w:rPr>
                <w:rFonts w:cs="Arial"/>
                <w:sz w:val="24"/>
              </w:rPr>
              <w:t xml:space="preserve"> Wellington: Health Funding Authority and Ministry of Health.</w:t>
            </w:r>
          </w:p>
        </w:tc>
      </w:tr>
      <w:tr w:rsidR="00392C9F" w:rsidRPr="00150CD2" w14:paraId="49CD647B" w14:textId="77777777" w:rsidTr="00C236CD">
        <w:tc>
          <w:tcPr>
            <w:tcW w:w="9019" w:type="dxa"/>
          </w:tcPr>
          <w:p w14:paraId="65AD70CD" w14:textId="77777777" w:rsidR="00392C9F" w:rsidRPr="00150CD2" w:rsidRDefault="00392C9F" w:rsidP="00C236CD">
            <w:pPr>
              <w:pStyle w:val="EYTableText"/>
              <w:ind w:left="432" w:hanging="432"/>
              <w:rPr>
                <w:rFonts w:cs="Arial"/>
                <w:sz w:val="24"/>
              </w:rPr>
            </w:pPr>
            <w:r w:rsidRPr="00150CD2">
              <w:rPr>
                <w:rFonts w:cs="Arial"/>
                <w:sz w:val="24"/>
              </w:rPr>
              <w:t xml:space="preserve">McLead, K. (2018). </w:t>
            </w:r>
            <w:r w:rsidRPr="00150CD2">
              <w:rPr>
                <w:rFonts w:cs="Arial"/>
                <w:i/>
                <w:iCs/>
                <w:sz w:val="24"/>
              </w:rPr>
              <w:t>Our people – Multidimensional wellbeing in New Zealand.</w:t>
            </w:r>
            <w:r w:rsidRPr="00150CD2">
              <w:rPr>
                <w:rFonts w:cs="Arial"/>
                <w:sz w:val="24"/>
              </w:rPr>
              <w:t xml:space="preserve"> Analytical Paper 18/04. Wellington: The Treasury.</w:t>
            </w:r>
          </w:p>
        </w:tc>
      </w:tr>
      <w:tr w:rsidR="00392C9F" w:rsidRPr="00150CD2" w14:paraId="490F4BD4" w14:textId="77777777" w:rsidTr="00C236CD">
        <w:tc>
          <w:tcPr>
            <w:tcW w:w="9019" w:type="dxa"/>
          </w:tcPr>
          <w:p w14:paraId="67948DC2" w14:textId="77777777" w:rsidR="00392C9F" w:rsidRPr="00150CD2" w:rsidRDefault="00392C9F" w:rsidP="00C236CD">
            <w:pPr>
              <w:pStyle w:val="EYTableText"/>
              <w:ind w:left="432" w:hanging="432"/>
              <w:rPr>
                <w:rFonts w:cs="Arial"/>
                <w:sz w:val="24"/>
              </w:rPr>
            </w:pPr>
            <w:r w:rsidRPr="00150CD2">
              <w:rPr>
                <w:rFonts w:cs="Arial"/>
                <w:sz w:val="24"/>
              </w:rPr>
              <w:t xml:space="preserve">Mhuru, M. (2020). </w:t>
            </w:r>
            <w:r w:rsidRPr="00150CD2">
              <w:rPr>
                <w:rFonts w:cs="Arial"/>
                <w:i/>
                <w:iCs/>
                <w:sz w:val="24"/>
              </w:rPr>
              <w:t>He Whakaaro: The educational experiences of disabled learners.</w:t>
            </w:r>
            <w:r w:rsidRPr="00150CD2">
              <w:rPr>
                <w:rFonts w:cs="Arial"/>
                <w:sz w:val="24"/>
              </w:rPr>
              <w:t xml:space="preserve"> Wellington: Ministry of Education.</w:t>
            </w:r>
          </w:p>
        </w:tc>
      </w:tr>
      <w:tr w:rsidR="00392C9F" w:rsidRPr="00150CD2" w14:paraId="37154246" w14:textId="77777777" w:rsidTr="00C236CD">
        <w:tc>
          <w:tcPr>
            <w:tcW w:w="9019" w:type="dxa"/>
          </w:tcPr>
          <w:p w14:paraId="6ADCE39F" w14:textId="59B27394" w:rsidR="00392C9F" w:rsidRPr="00150CD2" w:rsidRDefault="00392C9F" w:rsidP="00C236CD">
            <w:pPr>
              <w:pStyle w:val="EYTableText"/>
              <w:ind w:left="432" w:hanging="432"/>
              <w:rPr>
                <w:rFonts w:cs="Arial"/>
                <w:sz w:val="24"/>
              </w:rPr>
            </w:pPr>
            <w:r w:rsidRPr="00150CD2">
              <w:rPr>
                <w:rFonts w:cs="Arial"/>
                <w:sz w:val="24"/>
              </w:rPr>
              <w:t xml:space="preserve">Milne, B., Shackleton, N., Gibb, S. (2019). </w:t>
            </w:r>
            <w:r w:rsidRPr="00150CD2">
              <w:rPr>
                <w:rFonts w:cs="Arial"/>
                <w:i/>
                <w:iCs/>
                <w:sz w:val="24"/>
              </w:rPr>
              <w:t>Before School Check data in the IDI.</w:t>
            </w:r>
            <w:r w:rsidRPr="00150CD2">
              <w:rPr>
                <w:rFonts w:cs="Arial"/>
                <w:sz w:val="24"/>
              </w:rPr>
              <w:t xml:space="preserve"> Virtual Health Information Network. </w:t>
            </w:r>
            <w:r w:rsidR="00D67DE1" w:rsidRPr="00150CD2">
              <w:rPr>
                <w:rFonts w:cs="Arial"/>
                <w:sz w:val="24"/>
              </w:rPr>
              <w:t>URL: https://vhin.co.nz/guides/before-school-check-data-in-the-idi/ (accessed 16 July 2020)</w:t>
            </w:r>
            <w:r w:rsidRPr="00150CD2">
              <w:rPr>
                <w:rFonts w:cs="Arial"/>
                <w:sz w:val="24"/>
              </w:rPr>
              <w:t>.</w:t>
            </w:r>
          </w:p>
        </w:tc>
      </w:tr>
      <w:tr w:rsidR="00392C9F" w:rsidRPr="00150CD2" w14:paraId="1748A85D" w14:textId="77777777" w:rsidTr="00C236CD">
        <w:tc>
          <w:tcPr>
            <w:tcW w:w="9019" w:type="dxa"/>
          </w:tcPr>
          <w:p w14:paraId="459C467B" w14:textId="0B1538DA" w:rsidR="00392C9F" w:rsidRPr="00150CD2" w:rsidRDefault="00392C9F" w:rsidP="00C236CD">
            <w:pPr>
              <w:pStyle w:val="EYTableText"/>
              <w:ind w:left="432" w:hanging="432"/>
              <w:rPr>
                <w:rFonts w:cs="Arial"/>
                <w:sz w:val="24"/>
              </w:rPr>
            </w:pPr>
            <w:r w:rsidRPr="00150CD2">
              <w:rPr>
                <w:rFonts w:cs="Arial"/>
                <w:sz w:val="24"/>
              </w:rPr>
              <w:t xml:space="preserve">Ministry of Education (2019). </w:t>
            </w:r>
            <w:r w:rsidRPr="00150CD2">
              <w:rPr>
                <w:rFonts w:cs="Arial"/>
                <w:i/>
                <w:iCs/>
                <w:sz w:val="24"/>
              </w:rPr>
              <w:t>Ongoing Resourcing Scheme.</w:t>
            </w:r>
            <w:r w:rsidRPr="00150CD2">
              <w:rPr>
                <w:rFonts w:cs="Arial"/>
                <w:sz w:val="24"/>
              </w:rPr>
              <w:t xml:space="preserve"> Wellington: Ministry of Education. </w:t>
            </w:r>
            <w:r w:rsidR="00D67DE1" w:rsidRPr="00150CD2">
              <w:rPr>
                <w:rFonts w:cs="Arial"/>
                <w:sz w:val="24"/>
              </w:rPr>
              <w:t>URL:</w:t>
            </w:r>
            <w:r w:rsidRPr="00150CD2">
              <w:rPr>
                <w:rFonts w:cs="Arial"/>
                <w:sz w:val="24"/>
              </w:rPr>
              <w:t xml:space="preserve"> </w:t>
            </w:r>
            <w:r w:rsidR="00D67DE1" w:rsidRPr="00150CD2">
              <w:rPr>
                <w:rFonts w:cs="Arial"/>
                <w:sz w:val="24"/>
              </w:rPr>
              <w:t>https://www.educationcounts.govt.nz/statistics (accessed 16 July 2020)</w:t>
            </w:r>
            <w:r w:rsidRPr="00150CD2">
              <w:rPr>
                <w:rFonts w:cs="Arial"/>
                <w:sz w:val="24"/>
              </w:rPr>
              <w:t>.</w:t>
            </w:r>
          </w:p>
        </w:tc>
      </w:tr>
      <w:tr w:rsidR="00392C9F" w:rsidRPr="00150CD2" w14:paraId="2EAA9CC0" w14:textId="77777777" w:rsidTr="00C236CD">
        <w:tc>
          <w:tcPr>
            <w:tcW w:w="9019" w:type="dxa"/>
          </w:tcPr>
          <w:p w14:paraId="596FBCCB" w14:textId="74BA40D5" w:rsidR="00392C9F" w:rsidRPr="00150CD2" w:rsidRDefault="00392C9F" w:rsidP="00C236CD">
            <w:pPr>
              <w:pStyle w:val="EYTableText"/>
              <w:ind w:left="432" w:hanging="432"/>
              <w:rPr>
                <w:rFonts w:cs="Arial"/>
                <w:sz w:val="24"/>
              </w:rPr>
            </w:pPr>
            <w:r w:rsidRPr="00150CD2">
              <w:rPr>
                <w:rFonts w:cs="Arial"/>
                <w:sz w:val="24"/>
              </w:rPr>
              <w:t xml:space="preserve">Ministry of Education (2019). </w:t>
            </w:r>
            <w:r w:rsidRPr="00150CD2">
              <w:rPr>
                <w:rFonts w:cs="Arial"/>
                <w:i/>
                <w:iCs/>
                <w:sz w:val="24"/>
              </w:rPr>
              <w:t>School leavers with NCEA Level 2 or above.</w:t>
            </w:r>
            <w:r w:rsidRPr="00150CD2">
              <w:rPr>
                <w:rFonts w:cs="Arial"/>
                <w:sz w:val="24"/>
              </w:rPr>
              <w:t xml:space="preserve"> Wellington: Ministry of Education. </w:t>
            </w:r>
            <w:r w:rsidR="00D67DE1" w:rsidRPr="00150CD2">
              <w:rPr>
                <w:rFonts w:cs="Arial"/>
                <w:sz w:val="24"/>
              </w:rPr>
              <w:t>URL:</w:t>
            </w:r>
            <w:r w:rsidRPr="00150CD2">
              <w:rPr>
                <w:rFonts w:cs="Arial"/>
                <w:sz w:val="24"/>
              </w:rPr>
              <w:t xml:space="preserve"> </w:t>
            </w:r>
            <w:r w:rsidR="00D67DE1" w:rsidRPr="00150CD2">
              <w:rPr>
                <w:rFonts w:cs="Arial"/>
                <w:sz w:val="24"/>
              </w:rPr>
              <w:t>https://www.educationcounts.govt.nz/statistics (accessed 16 July 2020)</w:t>
            </w:r>
            <w:r w:rsidRPr="00150CD2">
              <w:rPr>
                <w:rFonts w:cs="Arial"/>
                <w:sz w:val="24"/>
              </w:rPr>
              <w:t>.</w:t>
            </w:r>
          </w:p>
        </w:tc>
      </w:tr>
      <w:tr w:rsidR="00392C9F" w:rsidRPr="00150CD2" w14:paraId="23223B5C" w14:textId="77777777" w:rsidTr="00C236CD">
        <w:tc>
          <w:tcPr>
            <w:tcW w:w="9019" w:type="dxa"/>
          </w:tcPr>
          <w:p w14:paraId="624C45E5" w14:textId="7AFB5F2D" w:rsidR="00392C9F" w:rsidRPr="00150CD2" w:rsidRDefault="00392C9F" w:rsidP="00C236CD">
            <w:pPr>
              <w:pStyle w:val="EYTableText"/>
              <w:ind w:left="432" w:hanging="432"/>
              <w:rPr>
                <w:rFonts w:cs="Arial"/>
                <w:sz w:val="24"/>
              </w:rPr>
            </w:pPr>
            <w:r w:rsidRPr="00150CD2">
              <w:rPr>
                <w:rFonts w:cs="Arial"/>
                <w:sz w:val="24"/>
              </w:rPr>
              <w:t xml:space="preserve">Ministry of Education (2019). </w:t>
            </w:r>
            <w:r w:rsidRPr="00150CD2">
              <w:rPr>
                <w:rFonts w:cs="Arial"/>
                <w:i/>
                <w:iCs/>
                <w:sz w:val="24"/>
              </w:rPr>
              <w:t xml:space="preserve">Stand-downs, suspensions, exclusions and explusions from school. </w:t>
            </w:r>
            <w:r w:rsidRPr="00150CD2">
              <w:rPr>
                <w:rFonts w:cs="Arial"/>
                <w:sz w:val="24"/>
              </w:rPr>
              <w:t xml:space="preserve">Wellington: Ministry of Education. </w:t>
            </w:r>
            <w:r w:rsidR="00D67DE1" w:rsidRPr="00150CD2">
              <w:rPr>
                <w:rFonts w:cs="Arial"/>
                <w:sz w:val="24"/>
              </w:rPr>
              <w:t>URL:</w:t>
            </w:r>
            <w:r w:rsidRPr="00150CD2">
              <w:rPr>
                <w:rFonts w:cs="Arial"/>
                <w:sz w:val="24"/>
              </w:rPr>
              <w:t xml:space="preserve"> </w:t>
            </w:r>
            <w:r w:rsidR="00D67DE1" w:rsidRPr="00150CD2">
              <w:rPr>
                <w:rFonts w:cs="Arial"/>
                <w:sz w:val="24"/>
              </w:rPr>
              <w:t>https://www.educationcounts.govt.nz/statistics (accessed 16 July 2020).</w:t>
            </w:r>
          </w:p>
        </w:tc>
      </w:tr>
      <w:tr w:rsidR="00392C9F" w:rsidRPr="00150CD2" w14:paraId="4385DE24" w14:textId="77777777" w:rsidTr="00C236CD">
        <w:tc>
          <w:tcPr>
            <w:tcW w:w="9019" w:type="dxa"/>
          </w:tcPr>
          <w:p w14:paraId="734BF1BD" w14:textId="77777777" w:rsidR="00392C9F" w:rsidRPr="00150CD2" w:rsidRDefault="00392C9F" w:rsidP="00C236CD">
            <w:pPr>
              <w:pStyle w:val="EYTableText"/>
              <w:ind w:left="432" w:hanging="432"/>
              <w:rPr>
                <w:rFonts w:cs="Arial"/>
                <w:sz w:val="24"/>
              </w:rPr>
            </w:pPr>
            <w:r w:rsidRPr="00150CD2">
              <w:rPr>
                <w:rFonts w:cs="Arial"/>
                <w:sz w:val="24"/>
              </w:rPr>
              <w:t xml:space="preserve">Ministry of Health (2004). </w:t>
            </w:r>
            <w:r w:rsidRPr="00150CD2">
              <w:rPr>
                <w:rFonts w:cs="Arial"/>
                <w:i/>
                <w:iCs/>
                <w:sz w:val="24"/>
              </w:rPr>
              <w:t>Living with Disability in New Zealand: A descriptive analysis of results from the 2001 Household Disability Survey and the 2001 Disability Survey of Residential Facilities.</w:t>
            </w:r>
            <w:r w:rsidRPr="00150CD2">
              <w:rPr>
                <w:rFonts w:cs="Arial"/>
                <w:sz w:val="24"/>
              </w:rPr>
              <w:t xml:space="preserve"> Wellington: Ministry of Health.</w:t>
            </w:r>
          </w:p>
        </w:tc>
      </w:tr>
      <w:tr w:rsidR="00392C9F" w:rsidRPr="00150CD2" w14:paraId="1EC6F6E9" w14:textId="77777777" w:rsidTr="00C236CD">
        <w:tc>
          <w:tcPr>
            <w:tcW w:w="9019" w:type="dxa"/>
          </w:tcPr>
          <w:p w14:paraId="01A7D5F0" w14:textId="77777777" w:rsidR="00392C9F" w:rsidRPr="00150CD2" w:rsidRDefault="00392C9F" w:rsidP="00C236CD">
            <w:pPr>
              <w:pStyle w:val="EYTableText"/>
              <w:ind w:left="432" w:hanging="432"/>
              <w:rPr>
                <w:rFonts w:cs="Arial"/>
                <w:sz w:val="24"/>
              </w:rPr>
            </w:pPr>
            <w:r w:rsidRPr="00150CD2">
              <w:rPr>
                <w:rFonts w:cs="Arial"/>
                <w:sz w:val="24"/>
              </w:rPr>
              <w:t xml:space="preserve">Ministry of Health (2011). </w:t>
            </w:r>
            <w:r w:rsidRPr="00150CD2">
              <w:rPr>
                <w:rFonts w:cs="Arial"/>
                <w:i/>
                <w:iCs/>
                <w:sz w:val="24"/>
              </w:rPr>
              <w:t xml:space="preserve">Health Indicators for New Zealanders with Intellectual Disability. </w:t>
            </w:r>
            <w:r w:rsidRPr="00150CD2">
              <w:rPr>
                <w:rFonts w:cs="Arial"/>
                <w:sz w:val="24"/>
              </w:rPr>
              <w:t>Wellington: Ministry of Health.</w:t>
            </w:r>
          </w:p>
        </w:tc>
      </w:tr>
      <w:tr w:rsidR="00392C9F" w:rsidRPr="00150CD2" w14:paraId="275EAF24" w14:textId="77777777" w:rsidTr="00C236CD">
        <w:tc>
          <w:tcPr>
            <w:tcW w:w="9019" w:type="dxa"/>
          </w:tcPr>
          <w:p w14:paraId="51FB0E41" w14:textId="75A0D5D1" w:rsidR="00392C9F" w:rsidRPr="00150CD2" w:rsidRDefault="00392C9F" w:rsidP="00C236CD">
            <w:pPr>
              <w:pStyle w:val="EYTableText"/>
              <w:ind w:left="432" w:hanging="432"/>
              <w:rPr>
                <w:rFonts w:cs="Arial"/>
                <w:sz w:val="24"/>
              </w:rPr>
            </w:pPr>
            <w:r w:rsidRPr="00150CD2">
              <w:rPr>
                <w:rFonts w:cs="Arial"/>
                <w:sz w:val="24"/>
              </w:rPr>
              <w:t xml:space="preserve">Ministry of Health (2019). </w:t>
            </w:r>
            <w:r w:rsidRPr="00150CD2">
              <w:rPr>
                <w:rFonts w:cs="Arial"/>
                <w:i/>
                <w:iCs/>
                <w:sz w:val="24"/>
              </w:rPr>
              <w:t xml:space="preserve">Ambulatory sensitive (avoidable) hospital admissions. </w:t>
            </w:r>
            <w:r w:rsidRPr="00150CD2">
              <w:rPr>
                <w:rFonts w:cs="Arial"/>
                <w:sz w:val="24"/>
              </w:rPr>
              <w:t xml:space="preserve">Wellington: Ministry of Health. </w:t>
            </w:r>
            <w:r w:rsidR="00D67DE1" w:rsidRPr="00150CD2">
              <w:rPr>
                <w:rFonts w:cs="Arial"/>
                <w:sz w:val="24"/>
              </w:rPr>
              <w:t>URL:</w:t>
            </w:r>
            <w:r w:rsidRPr="00150CD2">
              <w:rPr>
                <w:rFonts w:cs="Arial"/>
                <w:sz w:val="24"/>
              </w:rPr>
              <w:t xml:space="preserve"> http://www.nsfl.health.govt.nz/accountability/performance-and-monitoring/data-quarterly-reportsand-reporting/ambulatory-sensitive </w:t>
            </w:r>
            <w:r w:rsidR="00D67DE1" w:rsidRPr="00150CD2">
              <w:rPr>
                <w:rFonts w:cs="Arial"/>
                <w:sz w:val="24"/>
              </w:rPr>
              <w:t>(accessed 16 July 2020)</w:t>
            </w:r>
          </w:p>
        </w:tc>
      </w:tr>
      <w:tr w:rsidR="00392C9F" w:rsidRPr="00150CD2" w14:paraId="03F43F8F" w14:textId="77777777" w:rsidTr="00C236CD">
        <w:tc>
          <w:tcPr>
            <w:tcW w:w="9019" w:type="dxa"/>
          </w:tcPr>
          <w:p w14:paraId="7671B9DD" w14:textId="77777777" w:rsidR="00392C9F" w:rsidRPr="00150CD2" w:rsidRDefault="00392C9F" w:rsidP="00C236CD">
            <w:pPr>
              <w:pStyle w:val="EYTableText"/>
              <w:ind w:left="432" w:hanging="432"/>
              <w:rPr>
                <w:rFonts w:cs="Arial"/>
                <w:sz w:val="24"/>
              </w:rPr>
            </w:pPr>
            <w:r w:rsidRPr="00150CD2">
              <w:rPr>
                <w:rFonts w:cs="Arial"/>
                <w:sz w:val="24"/>
              </w:rPr>
              <w:t xml:space="preserve">Ministry of Health (2019). </w:t>
            </w:r>
            <w:r w:rsidRPr="00150CD2">
              <w:rPr>
                <w:rFonts w:cs="Arial"/>
                <w:i/>
                <w:iCs/>
                <w:sz w:val="24"/>
              </w:rPr>
              <w:t>Demographic Report for Clients Allocated the Ministry of Health’s Disability Support Services: 2018 update.</w:t>
            </w:r>
            <w:r w:rsidRPr="00150CD2">
              <w:rPr>
                <w:rFonts w:cs="Arial"/>
                <w:sz w:val="24"/>
              </w:rPr>
              <w:t xml:space="preserve"> Wellington: Ministry of Health.</w:t>
            </w:r>
          </w:p>
        </w:tc>
      </w:tr>
      <w:tr w:rsidR="00392C9F" w:rsidRPr="00150CD2" w14:paraId="78693BF8" w14:textId="77777777" w:rsidTr="00C236CD">
        <w:tc>
          <w:tcPr>
            <w:tcW w:w="9019" w:type="dxa"/>
          </w:tcPr>
          <w:p w14:paraId="4C37168F" w14:textId="77777777" w:rsidR="00392C9F" w:rsidRPr="00150CD2" w:rsidRDefault="00392C9F" w:rsidP="00C236CD">
            <w:pPr>
              <w:pStyle w:val="EYTableText"/>
              <w:ind w:left="432" w:hanging="432"/>
              <w:rPr>
                <w:rFonts w:cs="Arial"/>
                <w:sz w:val="24"/>
              </w:rPr>
            </w:pPr>
            <w:r w:rsidRPr="00150CD2">
              <w:rPr>
                <w:rFonts w:cs="Arial"/>
                <w:sz w:val="24"/>
              </w:rPr>
              <w:t xml:space="preserve">Ministry of Justice (2015). </w:t>
            </w:r>
            <w:r w:rsidRPr="00150CD2">
              <w:rPr>
                <w:rFonts w:cs="Arial"/>
                <w:i/>
                <w:iCs/>
                <w:sz w:val="24"/>
              </w:rPr>
              <w:t>2014 New Zealand Crime and Safety Survey Main Findings report.</w:t>
            </w:r>
            <w:r w:rsidRPr="00150CD2">
              <w:rPr>
                <w:rFonts w:cs="Arial"/>
                <w:sz w:val="24"/>
              </w:rPr>
              <w:t xml:space="preserve"> Wellington: Ministry of Justice.</w:t>
            </w:r>
          </w:p>
        </w:tc>
      </w:tr>
      <w:tr w:rsidR="00392C9F" w:rsidRPr="00150CD2" w14:paraId="2EB04AE0" w14:textId="77777777" w:rsidTr="00C236CD">
        <w:tc>
          <w:tcPr>
            <w:tcW w:w="9019" w:type="dxa"/>
          </w:tcPr>
          <w:p w14:paraId="782E98FE" w14:textId="77777777" w:rsidR="00392C9F" w:rsidRPr="00150CD2" w:rsidRDefault="00392C9F" w:rsidP="00C236CD">
            <w:pPr>
              <w:pStyle w:val="EYTableText"/>
              <w:ind w:left="432" w:hanging="432"/>
              <w:rPr>
                <w:rFonts w:cs="Arial"/>
                <w:sz w:val="24"/>
              </w:rPr>
            </w:pPr>
            <w:r w:rsidRPr="00150CD2">
              <w:rPr>
                <w:rFonts w:cs="Arial"/>
                <w:sz w:val="24"/>
              </w:rPr>
              <w:t xml:space="preserve">Ministry of Justice (2019). </w:t>
            </w:r>
            <w:r w:rsidRPr="00150CD2">
              <w:rPr>
                <w:rFonts w:cs="Arial"/>
                <w:i/>
                <w:iCs/>
                <w:sz w:val="24"/>
              </w:rPr>
              <w:t>2018 NZ Crime and Victims Survey Key Findings report.</w:t>
            </w:r>
            <w:r w:rsidRPr="00150CD2">
              <w:rPr>
                <w:rFonts w:cs="Arial"/>
                <w:sz w:val="24"/>
              </w:rPr>
              <w:t xml:space="preserve"> Wellington: Ministry of Justice.</w:t>
            </w:r>
          </w:p>
        </w:tc>
      </w:tr>
      <w:tr w:rsidR="00392C9F" w:rsidRPr="00150CD2" w14:paraId="6195A308" w14:textId="77777777" w:rsidTr="00C236CD">
        <w:tc>
          <w:tcPr>
            <w:tcW w:w="9019" w:type="dxa"/>
          </w:tcPr>
          <w:p w14:paraId="3C353DEE" w14:textId="77777777" w:rsidR="00392C9F" w:rsidRPr="00150CD2" w:rsidRDefault="00392C9F" w:rsidP="00C236CD">
            <w:pPr>
              <w:pStyle w:val="EYTableText"/>
              <w:ind w:left="432" w:hanging="432"/>
              <w:rPr>
                <w:rFonts w:cs="Arial"/>
                <w:sz w:val="24"/>
              </w:rPr>
            </w:pPr>
            <w:r w:rsidRPr="00150CD2">
              <w:rPr>
                <w:rFonts w:cs="Arial"/>
                <w:sz w:val="24"/>
              </w:rPr>
              <w:t xml:space="preserve">Ministry of Social Development (2005). </w:t>
            </w:r>
            <w:r w:rsidRPr="00150CD2">
              <w:rPr>
                <w:rFonts w:cs="Arial"/>
                <w:i/>
                <w:iCs/>
                <w:sz w:val="24"/>
              </w:rPr>
              <w:t xml:space="preserve">Disability and work participation in New Zealand: Outcomes relating to paid employment and benefit receipt. </w:t>
            </w:r>
            <w:r w:rsidRPr="00150CD2">
              <w:rPr>
                <w:rFonts w:cs="Arial"/>
                <w:sz w:val="24"/>
              </w:rPr>
              <w:t>Wellington: Ministry of Social Development.</w:t>
            </w:r>
          </w:p>
        </w:tc>
      </w:tr>
      <w:tr w:rsidR="00392C9F" w:rsidRPr="00150CD2" w14:paraId="3F0FCC4F" w14:textId="77777777" w:rsidTr="00C236CD">
        <w:tc>
          <w:tcPr>
            <w:tcW w:w="9019" w:type="dxa"/>
          </w:tcPr>
          <w:p w14:paraId="449C665D" w14:textId="108F4EA0" w:rsidR="00392C9F" w:rsidRPr="00150CD2" w:rsidRDefault="00392C9F" w:rsidP="00C236CD">
            <w:pPr>
              <w:pStyle w:val="EYTableText"/>
              <w:ind w:left="432" w:hanging="432"/>
              <w:rPr>
                <w:rFonts w:cs="Arial"/>
                <w:sz w:val="24"/>
              </w:rPr>
            </w:pPr>
            <w:r w:rsidRPr="00150CD2">
              <w:rPr>
                <w:rFonts w:cs="Arial"/>
                <w:sz w:val="24"/>
              </w:rPr>
              <w:t xml:space="preserve">Office of Disability Issues (2016). </w:t>
            </w:r>
            <w:r w:rsidRPr="00150CD2">
              <w:rPr>
                <w:rFonts w:cs="Arial"/>
                <w:i/>
                <w:iCs/>
                <w:sz w:val="24"/>
              </w:rPr>
              <w:t>New Zealand Disability Strategy 2016-2026.</w:t>
            </w:r>
            <w:r w:rsidRPr="00150CD2">
              <w:rPr>
                <w:rFonts w:cs="Arial"/>
                <w:sz w:val="24"/>
              </w:rPr>
              <w:t xml:space="preserve"> Wellington: Ministry of Social Development.</w:t>
            </w:r>
          </w:p>
        </w:tc>
      </w:tr>
      <w:tr w:rsidR="00392C9F" w:rsidRPr="00150CD2" w14:paraId="004D8403" w14:textId="77777777" w:rsidTr="00C236CD">
        <w:tc>
          <w:tcPr>
            <w:tcW w:w="9019" w:type="dxa"/>
          </w:tcPr>
          <w:p w14:paraId="5C1DDA53" w14:textId="77777777" w:rsidR="00392C9F" w:rsidRPr="00150CD2" w:rsidRDefault="00392C9F" w:rsidP="00C236CD">
            <w:pPr>
              <w:pStyle w:val="EYTableText"/>
              <w:ind w:left="432" w:hanging="432"/>
              <w:rPr>
                <w:rFonts w:cs="Arial"/>
                <w:sz w:val="24"/>
              </w:rPr>
            </w:pPr>
            <w:r w:rsidRPr="00150CD2">
              <w:rPr>
                <w:rFonts w:cs="Arial"/>
                <w:sz w:val="24"/>
              </w:rPr>
              <w:t xml:space="preserve">Ministry of Social Development (2016). </w:t>
            </w:r>
            <w:r w:rsidRPr="00150CD2">
              <w:rPr>
                <w:rFonts w:cs="Arial"/>
                <w:i/>
                <w:iCs/>
                <w:sz w:val="24"/>
              </w:rPr>
              <w:t>The Social Report 2016 - Te pūrongo oranga tangata.</w:t>
            </w:r>
            <w:r w:rsidRPr="00150CD2">
              <w:rPr>
                <w:rFonts w:cs="Arial"/>
                <w:sz w:val="24"/>
              </w:rPr>
              <w:t xml:space="preserve"> Wellington: Ministry of Social Development.</w:t>
            </w:r>
          </w:p>
        </w:tc>
      </w:tr>
      <w:tr w:rsidR="00392C9F" w:rsidRPr="00150CD2" w14:paraId="5725AF9B" w14:textId="77777777" w:rsidTr="00C236CD">
        <w:tc>
          <w:tcPr>
            <w:tcW w:w="9019" w:type="dxa"/>
          </w:tcPr>
          <w:p w14:paraId="38CE231C" w14:textId="77777777" w:rsidR="00392C9F" w:rsidRPr="00150CD2" w:rsidRDefault="00392C9F" w:rsidP="00C236CD">
            <w:pPr>
              <w:pStyle w:val="EYTableText"/>
              <w:ind w:left="432" w:hanging="432"/>
              <w:rPr>
                <w:rFonts w:cs="Arial"/>
                <w:sz w:val="24"/>
              </w:rPr>
            </w:pPr>
            <w:r w:rsidRPr="00150CD2">
              <w:rPr>
                <w:rFonts w:cs="Arial"/>
                <w:sz w:val="24"/>
              </w:rPr>
              <w:t xml:space="preserve">Ministry of Social Development (2019). </w:t>
            </w:r>
            <w:r w:rsidRPr="00150CD2">
              <w:rPr>
                <w:rFonts w:cs="Arial"/>
                <w:i/>
                <w:iCs/>
                <w:sz w:val="24"/>
              </w:rPr>
              <w:t>A-Z benefits and payments.</w:t>
            </w:r>
            <w:r w:rsidRPr="00150CD2">
              <w:rPr>
                <w:rFonts w:cs="Arial"/>
                <w:sz w:val="24"/>
              </w:rPr>
              <w:t xml:space="preserve"> Retrieved from https://www.workandincome.govt.nz/products/a-z-benefits/index.html.</w:t>
            </w:r>
          </w:p>
        </w:tc>
      </w:tr>
      <w:tr w:rsidR="00392C9F" w:rsidRPr="00150CD2" w14:paraId="229BA6B8" w14:textId="77777777" w:rsidTr="00C236CD">
        <w:tc>
          <w:tcPr>
            <w:tcW w:w="9019" w:type="dxa"/>
          </w:tcPr>
          <w:p w14:paraId="5BCEABA4" w14:textId="7EF263B7" w:rsidR="00392C9F" w:rsidRPr="00150CD2" w:rsidRDefault="00392C9F" w:rsidP="00C236CD">
            <w:pPr>
              <w:pStyle w:val="EYTableText"/>
              <w:ind w:left="432" w:hanging="432"/>
              <w:rPr>
                <w:rFonts w:cs="Arial"/>
                <w:sz w:val="24"/>
              </w:rPr>
            </w:pPr>
            <w:r w:rsidRPr="00150CD2">
              <w:rPr>
                <w:rFonts w:cs="Arial"/>
                <w:sz w:val="24"/>
              </w:rPr>
              <w:t xml:space="preserve">Morrison, C.A. and Wilson, C.S. (2019). </w:t>
            </w:r>
            <w:r w:rsidRPr="00150CD2">
              <w:rPr>
                <w:rFonts w:cs="Arial"/>
                <w:i/>
                <w:iCs/>
                <w:sz w:val="24"/>
              </w:rPr>
              <w:t>Baseline Study of the Disability Support System in the MidCentral Area: Summary Report.</w:t>
            </w:r>
            <w:r w:rsidRPr="00150CD2">
              <w:rPr>
                <w:rFonts w:cs="Arial"/>
                <w:sz w:val="24"/>
              </w:rPr>
              <w:t xml:space="preserve"> Prepared on behalf of the Ministry of Health. SAMS Evaluate, Innovate, Educate.</w:t>
            </w:r>
          </w:p>
        </w:tc>
      </w:tr>
      <w:tr w:rsidR="00392C9F" w:rsidRPr="00150CD2" w14:paraId="6600FB82" w14:textId="77777777" w:rsidTr="00C236CD">
        <w:tc>
          <w:tcPr>
            <w:tcW w:w="9019" w:type="dxa"/>
          </w:tcPr>
          <w:p w14:paraId="4857A926" w14:textId="77777777" w:rsidR="00392C9F" w:rsidRPr="00150CD2" w:rsidRDefault="00392C9F" w:rsidP="00C236CD">
            <w:pPr>
              <w:pStyle w:val="EYTableText"/>
              <w:ind w:left="432" w:hanging="432"/>
              <w:rPr>
                <w:rFonts w:cs="Arial"/>
                <w:sz w:val="24"/>
              </w:rPr>
            </w:pPr>
            <w:r w:rsidRPr="00150CD2">
              <w:rPr>
                <w:rFonts w:cs="Arial"/>
                <w:sz w:val="24"/>
              </w:rPr>
              <w:t xml:space="preserve">New Zealand Qualifications Authority (2016). </w:t>
            </w:r>
            <w:r w:rsidRPr="00150CD2">
              <w:rPr>
                <w:rFonts w:cs="Arial"/>
                <w:i/>
                <w:iCs/>
                <w:sz w:val="24"/>
              </w:rPr>
              <w:t xml:space="preserve">The New Zealand Qualifications Framework. </w:t>
            </w:r>
            <w:r w:rsidRPr="00150CD2">
              <w:rPr>
                <w:rFonts w:cs="Arial"/>
                <w:sz w:val="24"/>
              </w:rPr>
              <w:t>Wellington: New Zealand Qualifications Authority.</w:t>
            </w:r>
          </w:p>
        </w:tc>
      </w:tr>
      <w:tr w:rsidR="00392C9F" w:rsidRPr="00150CD2" w14:paraId="58384992" w14:textId="77777777" w:rsidTr="00C236CD">
        <w:tc>
          <w:tcPr>
            <w:tcW w:w="9019" w:type="dxa"/>
          </w:tcPr>
          <w:p w14:paraId="4EBD88DC" w14:textId="77777777" w:rsidR="00392C9F" w:rsidRPr="00150CD2" w:rsidRDefault="00392C9F" w:rsidP="00C236CD">
            <w:pPr>
              <w:pStyle w:val="EYTableText"/>
              <w:ind w:left="432" w:hanging="432"/>
              <w:rPr>
                <w:rFonts w:cs="Arial"/>
                <w:sz w:val="24"/>
              </w:rPr>
            </w:pPr>
            <w:r w:rsidRPr="00150CD2">
              <w:rPr>
                <w:rFonts w:cs="Arial"/>
                <w:sz w:val="24"/>
              </w:rPr>
              <w:t xml:space="preserve">Social Investment Agency (2017). </w:t>
            </w:r>
            <w:r w:rsidRPr="00150CD2">
              <w:rPr>
                <w:rFonts w:cs="Arial"/>
                <w:i/>
                <w:iCs/>
                <w:sz w:val="24"/>
              </w:rPr>
              <w:t>Social Investment Measurement Map (SIMM)</w:t>
            </w:r>
            <w:r w:rsidRPr="00150CD2">
              <w:rPr>
                <w:rFonts w:cs="Arial"/>
                <w:sz w:val="24"/>
              </w:rPr>
              <w:t>. Wellington: Social Investment Agency.</w:t>
            </w:r>
          </w:p>
        </w:tc>
      </w:tr>
      <w:tr w:rsidR="00392C9F" w:rsidRPr="00150CD2" w14:paraId="682524E8" w14:textId="77777777" w:rsidTr="00C236CD">
        <w:tc>
          <w:tcPr>
            <w:tcW w:w="9019" w:type="dxa"/>
          </w:tcPr>
          <w:p w14:paraId="026B443A" w14:textId="77777777" w:rsidR="00392C9F" w:rsidRPr="00150CD2" w:rsidRDefault="00392C9F" w:rsidP="00C236CD">
            <w:pPr>
              <w:pStyle w:val="EYTableText"/>
              <w:ind w:left="432" w:hanging="432"/>
              <w:rPr>
                <w:rFonts w:cs="Arial"/>
                <w:sz w:val="24"/>
              </w:rPr>
            </w:pPr>
            <w:r w:rsidRPr="00150CD2">
              <w:rPr>
                <w:rFonts w:cs="Arial"/>
                <w:sz w:val="24"/>
              </w:rPr>
              <w:t xml:space="preserve">Social Investment Agency (2018). </w:t>
            </w:r>
            <w:r w:rsidRPr="00150CD2">
              <w:rPr>
                <w:rFonts w:cs="Arial"/>
                <w:i/>
                <w:iCs/>
                <w:sz w:val="24"/>
              </w:rPr>
              <w:t>Measuring the wellbeing impacts of public policy: social housing. Using linked administrative and survey data to evaluate the wellbeing impacts of receiving social housing.</w:t>
            </w:r>
            <w:r w:rsidRPr="00150CD2">
              <w:rPr>
                <w:rFonts w:cs="Arial"/>
                <w:sz w:val="24"/>
              </w:rPr>
              <w:t xml:space="preserve"> Wellington: Social Investment Agency.</w:t>
            </w:r>
          </w:p>
        </w:tc>
      </w:tr>
      <w:tr w:rsidR="00392C9F" w:rsidRPr="00150CD2" w14:paraId="1DEA85C3" w14:textId="77777777" w:rsidTr="00C236CD">
        <w:tc>
          <w:tcPr>
            <w:tcW w:w="9019" w:type="dxa"/>
          </w:tcPr>
          <w:p w14:paraId="7405CF31" w14:textId="77777777" w:rsidR="00392C9F" w:rsidRPr="00150CD2" w:rsidRDefault="00392C9F" w:rsidP="00C236CD">
            <w:pPr>
              <w:pStyle w:val="EYTableText"/>
              <w:ind w:left="432" w:hanging="432"/>
              <w:rPr>
                <w:rFonts w:cs="Arial"/>
                <w:sz w:val="24"/>
              </w:rPr>
            </w:pPr>
            <w:r w:rsidRPr="00150CD2">
              <w:rPr>
                <w:rFonts w:cs="Arial"/>
                <w:sz w:val="24"/>
              </w:rPr>
              <w:t xml:space="preserve">Social Investment Agency (2019). </w:t>
            </w:r>
            <w:r w:rsidRPr="00150CD2">
              <w:rPr>
                <w:rFonts w:cs="Arial"/>
                <w:i/>
                <w:iCs/>
                <w:sz w:val="24"/>
              </w:rPr>
              <w:t>Using integrated data to understand mental health and addiction conditions. Technical Guide.</w:t>
            </w:r>
            <w:r w:rsidRPr="00150CD2">
              <w:rPr>
                <w:rFonts w:cs="Arial"/>
                <w:sz w:val="24"/>
              </w:rPr>
              <w:t xml:space="preserve"> Wellington: Social Impact Agency.</w:t>
            </w:r>
          </w:p>
        </w:tc>
      </w:tr>
      <w:tr w:rsidR="00392C9F" w:rsidRPr="00150CD2" w14:paraId="0F1C5930" w14:textId="77777777" w:rsidTr="00C236CD">
        <w:tc>
          <w:tcPr>
            <w:tcW w:w="9019" w:type="dxa"/>
          </w:tcPr>
          <w:p w14:paraId="491A402A" w14:textId="77777777" w:rsidR="00392C9F" w:rsidRPr="00150CD2" w:rsidRDefault="00392C9F" w:rsidP="00C236CD">
            <w:pPr>
              <w:pStyle w:val="EYTableText"/>
              <w:ind w:left="432" w:hanging="432"/>
              <w:rPr>
                <w:rFonts w:cs="Arial"/>
                <w:sz w:val="24"/>
              </w:rPr>
            </w:pPr>
            <w:r w:rsidRPr="00150CD2">
              <w:rPr>
                <w:rFonts w:cs="Arial"/>
                <w:sz w:val="24"/>
              </w:rPr>
              <w:t xml:space="preserve">State Services Commission (2008). </w:t>
            </w:r>
            <w:r w:rsidRPr="00150CD2">
              <w:rPr>
                <w:rFonts w:cs="Arial"/>
                <w:i/>
                <w:iCs/>
                <w:sz w:val="24"/>
              </w:rPr>
              <w:t>Performance Measurement.</w:t>
            </w:r>
            <w:r w:rsidRPr="00150CD2">
              <w:rPr>
                <w:rFonts w:cs="Arial"/>
                <w:sz w:val="24"/>
              </w:rPr>
              <w:t xml:space="preserve"> Wellington: State Services Commission.</w:t>
            </w:r>
          </w:p>
        </w:tc>
      </w:tr>
      <w:tr w:rsidR="00392C9F" w:rsidRPr="00150CD2" w14:paraId="16AE9DE4" w14:textId="77777777" w:rsidTr="00C236CD">
        <w:tc>
          <w:tcPr>
            <w:tcW w:w="9019" w:type="dxa"/>
          </w:tcPr>
          <w:p w14:paraId="4D963651" w14:textId="77777777" w:rsidR="00392C9F" w:rsidRPr="00150CD2" w:rsidRDefault="00392C9F" w:rsidP="00C236CD">
            <w:pPr>
              <w:pStyle w:val="EYTableText"/>
              <w:ind w:left="432" w:hanging="432"/>
              <w:rPr>
                <w:rFonts w:cs="Arial"/>
                <w:sz w:val="24"/>
              </w:rPr>
            </w:pPr>
            <w:r w:rsidRPr="00150CD2">
              <w:rPr>
                <w:rFonts w:cs="Arial"/>
                <w:sz w:val="24"/>
              </w:rPr>
              <w:t xml:space="preserve">Statistics New Zealand (2014). </w:t>
            </w:r>
            <w:r w:rsidRPr="00150CD2">
              <w:rPr>
                <w:rFonts w:cs="Arial"/>
                <w:i/>
                <w:iCs/>
                <w:sz w:val="24"/>
              </w:rPr>
              <w:t>2013 New Zealand Disability Survey.</w:t>
            </w:r>
            <w:r w:rsidRPr="00150CD2">
              <w:rPr>
                <w:rFonts w:cs="Arial"/>
                <w:sz w:val="24"/>
              </w:rPr>
              <w:t xml:space="preserve"> Wellington: Statistics New Zealand.</w:t>
            </w:r>
          </w:p>
        </w:tc>
      </w:tr>
      <w:tr w:rsidR="00392C9F" w:rsidRPr="00150CD2" w14:paraId="4CEA2370" w14:textId="77777777" w:rsidTr="00C236CD">
        <w:tc>
          <w:tcPr>
            <w:tcW w:w="9019" w:type="dxa"/>
          </w:tcPr>
          <w:p w14:paraId="43EBECD9" w14:textId="77777777" w:rsidR="00392C9F" w:rsidRPr="00150CD2" w:rsidRDefault="00392C9F" w:rsidP="00C236CD">
            <w:pPr>
              <w:pStyle w:val="EYTableText"/>
              <w:ind w:left="432" w:hanging="432"/>
              <w:rPr>
                <w:rFonts w:cs="Arial"/>
                <w:sz w:val="24"/>
              </w:rPr>
            </w:pPr>
            <w:r w:rsidRPr="00150CD2">
              <w:rPr>
                <w:rFonts w:cs="Arial"/>
                <w:sz w:val="24"/>
              </w:rPr>
              <w:t xml:space="preserve">Statistics New Zealand (2014). </w:t>
            </w:r>
            <w:r w:rsidRPr="00150CD2">
              <w:rPr>
                <w:rFonts w:cs="Arial"/>
                <w:i/>
                <w:iCs/>
                <w:sz w:val="24"/>
              </w:rPr>
              <w:t>Social and economic outcomes for disabled people: Findings from the 2013 Disability Survey.</w:t>
            </w:r>
            <w:r w:rsidRPr="00150CD2">
              <w:rPr>
                <w:rFonts w:cs="Arial"/>
                <w:sz w:val="24"/>
              </w:rPr>
              <w:t xml:space="preserve"> Wellington: Statistics New Zealand.</w:t>
            </w:r>
          </w:p>
        </w:tc>
      </w:tr>
      <w:tr w:rsidR="00392C9F" w:rsidRPr="00150CD2" w14:paraId="37D6DF21" w14:textId="77777777" w:rsidTr="00C236CD">
        <w:tc>
          <w:tcPr>
            <w:tcW w:w="9019" w:type="dxa"/>
          </w:tcPr>
          <w:p w14:paraId="4D5E5B06" w14:textId="77777777" w:rsidR="00392C9F" w:rsidRPr="00150CD2" w:rsidRDefault="00392C9F" w:rsidP="00C236CD">
            <w:pPr>
              <w:pStyle w:val="EYTableText"/>
              <w:ind w:left="432" w:hanging="432"/>
              <w:rPr>
                <w:rFonts w:cs="Arial"/>
                <w:sz w:val="24"/>
              </w:rPr>
            </w:pPr>
            <w:r w:rsidRPr="00150CD2">
              <w:rPr>
                <w:rFonts w:cs="Arial"/>
                <w:sz w:val="24"/>
              </w:rPr>
              <w:t xml:space="preserve">Statistics New Zealand (2015). </w:t>
            </w:r>
            <w:r w:rsidRPr="00150CD2">
              <w:rPr>
                <w:rFonts w:cs="Arial"/>
                <w:i/>
                <w:iCs/>
                <w:sz w:val="24"/>
              </w:rPr>
              <w:t>Measuring disability in New Zealand: current status and issues.</w:t>
            </w:r>
            <w:r w:rsidRPr="00150CD2">
              <w:rPr>
                <w:rFonts w:cs="Arial"/>
                <w:sz w:val="24"/>
              </w:rPr>
              <w:t xml:space="preserve"> Wellington: Statistics New Zealand.</w:t>
            </w:r>
          </w:p>
        </w:tc>
      </w:tr>
      <w:tr w:rsidR="00392C9F" w:rsidRPr="00150CD2" w14:paraId="6F31B74A" w14:textId="77777777" w:rsidTr="00C236CD">
        <w:tc>
          <w:tcPr>
            <w:tcW w:w="9019" w:type="dxa"/>
          </w:tcPr>
          <w:p w14:paraId="493AC8AF" w14:textId="77777777" w:rsidR="00392C9F" w:rsidRPr="00150CD2" w:rsidRDefault="00392C9F" w:rsidP="00C236CD">
            <w:pPr>
              <w:pStyle w:val="EYTableText"/>
              <w:ind w:left="432" w:hanging="432"/>
              <w:rPr>
                <w:rFonts w:cs="Arial"/>
                <w:sz w:val="24"/>
              </w:rPr>
            </w:pPr>
            <w:r w:rsidRPr="00150CD2">
              <w:rPr>
                <w:rFonts w:cs="Arial"/>
                <w:sz w:val="24"/>
              </w:rPr>
              <w:t xml:space="preserve">Statistics NZ (2009). </w:t>
            </w:r>
            <w:r w:rsidRPr="00150CD2">
              <w:rPr>
                <w:rFonts w:cs="Arial"/>
                <w:i/>
                <w:iCs/>
                <w:sz w:val="24"/>
              </w:rPr>
              <w:t>Good Practice Guidelines for the Development and Reporting of Indicators.</w:t>
            </w:r>
            <w:r w:rsidRPr="00150CD2">
              <w:rPr>
                <w:rFonts w:cs="Arial"/>
                <w:sz w:val="24"/>
              </w:rPr>
              <w:t xml:space="preserve"> Wellington: Statistics New Zealand.</w:t>
            </w:r>
          </w:p>
        </w:tc>
      </w:tr>
      <w:tr w:rsidR="00392C9F" w:rsidRPr="00150CD2" w14:paraId="10333531" w14:textId="77777777" w:rsidTr="00C236CD">
        <w:tc>
          <w:tcPr>
            <w:tcW w:w="9019" w:type="dxa"/>
          </w:tcPr>
          <w:p w14:paraId="61518A4A" w14:textId="77777777" w:rsidR="00392C9F" w:rsidRPr="00150CD2" w:rsidRDefault="00392C9F" w:rsidP="00C236CD">
            <w:pPr>
              <w:pStyle w:val="EYTableText"/>
              <w:ind w:left="432" w:hanging="432"/>
              <w:rPr>
                <w:rFonts w:cs="Arial"/>
                <w:sz w:val="24"/>
              </w:rPr>
            </w:pPr>
            <w:r w:rsidRPr="00150CD2">
              <w:rPr>
                <w:rFonts w:cs="Arial"/>
                <w:sz w:val="24"/>
              </w:rPr>
              <w:t xml:space="preserve">Statistics NZ (2017). </w:t>
            </w:r>
            <w:r w:rsidRPr="00150CD2">
              <w:rPr>
                <w:rFonts w:cs="Arial"/>
                <w:i/>
                <w:iCs/>
                <w:sz w:val="24"/>
              </w:rPr>
              <w:t>Improving New Zealand disability data.</w:t>
            </w:r>
            <w:r w:rsidRPr="00150CD2">
              <w:rPr>
                <w:rFonts w:cs="Arial"/>
                <w:sz w:val="24"/>
              </w:rPr>
              <w:t xml:space="preserve"> Wellington: Statistics New Zealand.</w:t>
            </w:r>
          </w:p>
        </w:tc>
      </w:tr>
      <w:tr w:rsidR="00392C9F" w:rsidRPr="00150CD2" w14:paraId="7E4E1AD4" w14:textId="77777777" w:rsidTr="00C236CD">
        <w:tc>
          <w:tcPr>
            <w:tcW w:w="9019" w:type="dxa"/>
          </w:tcPr>
          <w:p w14:paraId="178C5964" w14:textId="0B23E662" w:rsidR="00392C9F" w:rsidRPr="00150CD2" w:rsidRDefault="00392C9F" w:rsidP="00C236CD">
            <w:pPr>
              <w:pStyle w:val="EYTableText"/>
              <w:ind w:left="432" w:hanging="432"/>
              <w:rPr>
                <w:rFonts w:cs="Arial"/>
                <w:sz w:val="24"/>
              </w:rPr>
            </w:pPr>
            <w:r w:rsidRPr="00150CD2">
              <w:rPr>
                <w:rFonts w:cs="Arial"/>
                <w:sz w:val="24"/>
              </w:rPr>
              <w:t xml:space="preserve">Statistics NZ (2017). </w:t>
            </w:r>
            <w:r w:rsidRPr="00150CD2">
              <w:rPr>
                <w:rFonts w:cs="Arial"/>
                <w:i/>
                <w:iCs/>
                <w:sz w:val="24"/>
              </w:rPr>
              <w:t>Wellbeing statistics: 2016.</w:t>
            </w:r>
            <w:r w:rsidRPr="00150CD2">
              <w:rPr>
                <w:rFonts w:cs="Arial"/>
                <w:sz w:val="24"/>
              </w:rPr>
              <w:t xml:space="preserve"> Wellington: Statistics New Zealand. </w:t>
            </w:r>
            <w:r w:rsidR="00D67DE1" w:rsidRPr="00150CD2">
              <w:rPr>
                <w:rFonts w:cs="Arial"/>
                <w:sz w:val="24"/>
              </w:rPr>
              <w:t>URL:</w:t>
            </w:r>
            <w:r w:rsidRPr="00150CD2">
              <w:rPr>
                <w:rFonts w:cs="Arial"/>
                <w:sz w:val="24"/>
              </w:rPr>
              <w:t xml:space="preserve"> </w:t>
            </w:r>
            <w:r w:rsidR="00D67DE1" w:rsidRPr="00150CD2">
              <w:rPr>
                <w:rFonts w:cs="Arial"/>
                <w:sz w:val="24"/>
              </w:rPr>
              <w:t>https://www.stats.govt.nz/information-releases/well-being-statistics-2016 (accessed 16 July 2020)</w:t>
            </w:r>
            <w:r w:rsidRPr="00150CD2">
              <w:rPr>
                <w:rFonts w:cs="Arial"/>
                <w:sz w:val="24"/>
              </w:rPr>
              <w:t>.</w:t>
            </w:r>
          </w:p>
        </w:tc>
      </w:tr>
      <w:tr w:rsidR="00392C9F" w:rsidRPr="00150CD2" w14:paraId="5B320478" w14:textId="77777777" w:rsidTr="00C236CD">
        <w:tc>
          <w:tcPr>
            <w:tcW w:w="9019" w:type="dxa"/>
          </w:tcPr>
          <w:p w14:paraId="15683E7D" w14:textId="0D0D23CF" w:rsidR="00392C9F" w:rsidRPr="00150CD2" w:rsidRDefault="00392C9F" w:rsidP="00C236CD">
            <w:pPr>
              <w:pStyle w:val="EYTableText"/>
              <w:ind w:left="432" w:hanging="432"/>
              <w:rPr>
                <w:rFonts w:cs="Arial"/>
                <w:sz w:val="24"/>
              </w:rPr>
            </w:pPr>
            <w:r w:rsidRPr="00150CD2">
              <w:rPr>
                <w:rFonts w:cs="Arial"/>
                <w:sz w:val="24"/>
              </w:rPr>
              <w:t xml:space="preserve">Statistics NZ (2019). </w:t>
            </w:r>
            <w:r w:rsidRPr="00150CD2">
              <w:rPr>
                <w:rFonts w:cs="Arial"/>
                <w:i/>
                <w:iCs/>
                <w:sz w:val="24"/>
              </w:rPr>
              <w:t>Wellbeing statistics: 2018.</w:t>
            </w:r>
            <w:r w:rsidRPr="00150CD2">
              <w:rPr>
                <w:rFonts w:cs="Arial"/>
                <w:sz w:val="24"/>
              </w:rPr>
              <w:t xml:space="preserve"> Wellington: Statistics New Zealand. </w:t>
            </w:r>
            <w:r w:rsidR="00D67DE1" w:rsidRPr="00150CD2">
              <w:rPr>
                <w:rFonts w:cs="Arial"/>
                <w:sz w:val="24"/>
              </w:rPr>
              <w:t>URL:</w:t>
            </w:r>
            <w:r w:rsidRPr="00150CD2">
              <w:rPr>
                <w:rFonts w:cs="Arial"/>
                <w:sz w:val="24"/>
              </w:rPr>
              <w:t xml:space="preserve"> </w:t>
            </w:r>
            <w:r w:rsidR="00D67DE1" w:rsidRPr="00150CD2">
              <w:rPr>
                <w:rFonts w:cs="Arial"/>
                <w:sz w:val="24"/>
              </w:rPr>
              <w:t>https://www.stats.govt.nz/information-releases/well-being-statistics-2018 (accessed 16 July 2020)</w:t>
            </w:r>
            <w:r w:rsidRPr="00150CD2">
              <w:rPr>
                <w:rFonts w:cs="Arial"/>
                <w:sz w:val="24"/>
              </w:rPr>
              <w:t>.</w:t>
            </w:r>
          </w:p>
        </w:tc>
      </w:tr>
      <w:tr w:rsidR="00392C9F" w:rsidRPr="00150CD2" w14:paraId="0F6C735E" w14:textId="77777777" w:rsidTr="00C236CD">
        <w:tc>
          <w:tcPr>
            <w:tcW w:w="9019" w:type="dxa"/>
          </w:tcPr>
          <w:p w14:paraId="28E25F3D" w14:textId="77777777" w:rsidR="00392C9F" w:rsidRPr="00150CD2" w:rsidRDefault="00392C9F" w:rsidP="00C236CD">
            <w:pPr>
              <w:pStyle w:val="EYTableText"/>
              <w:ind w:left="432" w:hanging="432"/>
              <w:rPr>
                <w:rFonts w:cs="Arial"/>
                <w:sz w:val="24"/>
              </w:rPr>
            </w:pPr>
            <w:r w:rsidRPr="00150CD2">
              <w:rPr>
                <w:rFonts w:cs="Arial"/>
                <w:sz w:val="24"/>
              </w:rPr>
              <w:t xml:space="preserve">Suei, S. (2016). </w:t>
            </w:r>
            <w:r w:rsidRPr="00150CD2">
              <w:rPr>
                <w:rFonts w:cs="Arial"/>
                <w:i/>
                <w:iCs/>
                <w:sz w:val="24"/>
              </w:rPr>
              <w:t xml:space="preserve">Comparing income information from census and administrative sources. </w:t>
            </w:r>
            <w:r w:rsidRPr="00150CD2">
              <w:rPr>
                <w:rFonts w:cs="Arial"/>
                <w:sz w:val="24"/>
              </w:rPr>
              <w:t>Wellington: Statistics New Zealand.</w:t>
            </w:r>
          </w:p>
        </w:tc>
      </w:tr>
      <w:tr w:rsidR="00392C9F" w:rsidRPr="00150CD2" w14:paraId="66338DC5" w14:textId="77777777" w:rsidTr="00C236CD">
        <w:tc>
          <w:tcPr>
            <w:tcW w:w="9019" w:type="dxa"/>
          </w:tcPr>
          <w:p w14:paraId="4E928635" w14:textId="77777777" w:rsidR="00392C9F" w:rsidRPr="00150CD2" w:rsidRDefault="00392C9F" w:rsidP="00C236CD">
            <w:pPr>
              <w:pStyle w:val="EYTableText"/>
              <w:ind w:left="432" w:hanging="432"/>
              <w:rPr>
                <w:rFonts w:cs="Arial"/>
                <w:sz w:val="24"/>
              </w:rPr>
            </w:pPr>
            <w:r w:rsidRPr="00150CD2">
              <w:rPr>
                <w:rFonts w:cs="Arial"/>
                <w:sz w:val="24"/>
              </w:rPr>
              <w:t xml:space="preserve">Superu, Ministry of Social Development (2018). </w:t>
            </w:r>
            <w:r w:rsidRPr="00150CD2">
              <w:rPr>
                <w:rFonts w:cs="Arial"/>
                <w:i/>
                <w:iCs/>
                <w:sz w:val="24"/>
              </w:rPr>
              <w:t>Families and Whānau Status Report 2018.</w:t>
            </w:r>
            <w:r w:rsidRPr="00150CD2">
              <w:rPr>
                <w:rFonts w:cs="Arial"/>
                <w:sz w:val="24"/>
              </w:rPr>
              <w:t xml:space="preserve"> Wellington: Superu and Ministry of Social Development.</w:t>
            </w:r>
          </w:p>
        </w:tc>
      </w:tr>
    </w:tbl>
    <w:p w14:paraId="26210C06" w14:textId="11E3E226" w:rsidR="00FF642F" w:rsidRPr="00150CD2" w:rsidRDefault="00FF642F">
      <w:pPr>
        <w:autoSpaceDE/>
        <w:autoSpaceDN/>
        <w:adjustRightInd/>
        <w:rPr>
          <w:rFonts w:cs="Arial"/>
        </w:rPr>
      </w:pPr>
      <w:r w:rsidRPr="00150CD2">
        <w:rPr>
          <w:rFonts w:cs="Arial"/>
        </w:rPr>
        <w:br w:type="page"/>
      </w:r>
    </w:p>
    <w:p w14:paraId="65DCD18B" w14:textId="60EABDCA" w:rsidR="00105439" w:rsidRPr="00150CD2" w:rsidRDefault="00FF642F" w:rsidP="00FF642F">
      <w:pPr>
        <w:pStyle w:val="EYAppendix"/>
        <w:rPr>
          <w:rFonts w:cs="Arial"/>
        </w:rPr>
      </w:pPr>
      <w:bookmarkStart w:id="176" w:name="_Toc46365153"/>
      <w:bookmarkStart w:id="177" w:name="_Toc48752371"/>
      <w:r w:rsidRPr="00150CD2">
        <w:rPr>
          <w:rFonts w:cs="Arial"/>
        </w:rPr>
        <w:t>Glossary</w:t>
      </w:r>
      <w:bookmarkEnd w:id="176"/>
      <w:bookmarkEnd w:id="177"/>
    </w:p>
    <w:p w14:paraId="287FE658" w14:textId="20F538D9" w:rsidR="00FF642F" w:rsidRPr="00150CD2" w:rsidRDefault="00466AC9" w:rsidP="00ED0EBA">
      <w:pPr>
        <w:pStyle w:val="EYAppendixHeading2"/>
        <w:rPr>
          <w:rFonts w:cs="Arial"/>
        </w:rPr>
      </w:pPr>
      <w:r w:rsidRPr="00150CD2">
        <w:rPr>
          <w:rFonts w:cs="Arial"/>
        </w:rPr>
        <w:t>Abbreviations</w:t>
      </w:r>
    </w:p>
    <w:tbl>
      <w:tblPr>
        <w:tblStyle w:val="TableGrid"/>
        <w:tblW w:w="0" w:type="auto"/>
        <w:tblBorders>
          <w:insideV w:val="none" w:sz="0" w:space="0" w:color="auto"/>
        </w:tblBorders>
        <w:tblCellMar>
          <w:top w:w="29" w:type="dxa"/>
          <w:left w:w="115" w:type="dxa"/>
          <w:bottom w:w="29" w:type="dxa"/>
          <w:right w:w="115" w:type="dxa"/>
        </w:tblCellMar>
        <w:tblLook w:val="04A0" w:firstRow="1" w:lastRow="0" w:firstColumn="1" w:lastColumn="0" w:noHBand="0" w:noVBand="1"/>
      </w:tblPr>
      <w:tblGrid>
        <w:gridCol w:w="1697"/>
        <w:gridCol w:w="7322"/>
      </w:tblGrid>
      <w:tr w:rsidR="00466AC9" w:rsidRPr="00150CD2" w14:paraId="7495E61F" w14:textId="77777777" w:rsidTr="00C236CD">
        <w:tc>
          <w:tcPr>
            <w:tcW w:w="1255" w:type="dxa"/>
            <w:tcBorders>
              <w:bottom w:val="single" w:sz="4" w:space="0" w:color="auto"/>
            </w:tcBorders>
            <w:shd w:val="clear" w:color="auto" w:fill="F2F2F2" w:themeFill="background1" w:themeFillShade="F2"/>
          </w:tcPr>
          <w:p w14:paraId="2B7F2037" w14:textId="17639B21" w:rsidR="00466AC9" w:rsidRPr="00150CD2" w:rsidRDefault="00466AC9" w:rsidP="00C236CD">
            <w:pPr>
              <w:pStyle w:val="EYTableHeading"/>
              <w:rPr>
                <w:rFonts w:cs="Arial"/>
                <w:sz w:val="24"/>
              </w:rPr>
            </w:pPr>
            <w:r w:rsidRPr="00150CD2">
              <w:rPr>
                <w:rFonts w:cs="Arial"/>
                <w:sz w:val="24"/>
              </w:rPr>
              <w:t>Abbreviation</w:t>
            </w:r>
          </w:p>
        </w:tc>
        <w:tc>
          <w:tcPr>
            <w:tcW w:w="7764" w:type="dxa"/>
            <w:tcBorders>
              <w:bottom w:val="single" w:sz="4" w:space="0" w:color="auto"/>
            </w:tcBorders>
            <w:shd w:val="clear" w:color="auto" w:fill="F2F2F2" w:themeFill="background1" w:themeFillShade="F2"/>
          </w:tcPr>
          <w:p w14:paraId="4703B725" w14:textId="77777777" w:rsidR="00466AC9" w:rsidRPr="00150CD2" w:rsidRDefault="00466AC9" w:rsidP="00C236CD">
            <w:pPr>
              <w:pStyle w:val="EYTableHeading"/>
              <w:rPr>
                <w:rFonts w:cs="Arial"/>
                <w:sz w:val="24"/>
              </w:rPr>
            </w:pPr>
            <w:r w:rsidRPr="00150CD2">
              <w:rPr>
                <w:rFonts w:cs="Arial"/>
                <w:sz w:val="24"/>
              </w:rPr>
              <w:t>Full term</w:t>
            </w:r>
          </w:p>
        </w:tc>
      </w:tr>
      <w:tr w:rsidR="00466AC9" w:rsidRPr="00150CD2" w14:paraId="70EB4CD2" w14:textId="77777777" w:rsidTr="00C236CD">
        <w:tc>
          <w:tcPr>
            <w:tcW w:w="1255" w:type="dxa"/>
            <w:tcBorders>
              <w:bottom w:val="single" w:sz="4" w:space="0" w:color="A6A6A6" w:themeColor="background1" w:themeShade="A6"/>
            </w:tcBorders>
          </w:tcPr>
          <w:p w14:paraId="35AA31BE" w14:textId="77777777" w:rsidR="00466AC9" w:rsidRPr="00150CD2" w:rsidRDefault="00466AC9" w:rsidP="00C236CD">
            <w:pPr>
              <w:pStyle w:val="EYTableText"/>
              <w:rPr>
                <w:rFonts w:cs="Arial"/>
                <w:sz w:val="24"/>
              </w:rPr>
            </w:pPr>
            <w:r w:rsidRPr="00150CD2">
              <w:rPr>
                <w:rFonts w:cs="Arial"/>
                <w:sz w:val="24"/>
              </w:rPr>
              <w:t>ASD</w:t>
            </w:r>
          </w:p>
        </w:tc>
        <w:tc>
          <w:tcPr>
            <w:tcW w:w="7764" w:type="dxa"/>
            <w:tcBorders>
              <w:bottom w:val="single" w:sz="4" w:space="0" w:color="A6A6A6" w:themeColor="background1" w:themeShade="A6"/>
            </w:tcBorders>
          </w:tcPr>
          <w:p w14:paraId="5D4310E0" w14:textId="77777777" w:rsidR="00466AC9" w:rsidRPr="00150CD2" w:rsidRDefault="00466AC9" w:rsidP="00C236CD">
            <w:pPr>
              <w:pStyle w:val="EYTableText"/>
              <w:rPr>
                <w:rFonts w:cs="Arial"/>
                <w:sz w:val="24"/>
              </w:rPr>
            </w:pPr>
            <w:r w:rsidRPr="00150CD2">
              <w:rPr>
                <w:rFonts w:cs="Arial"/>
                <w:sz w:val="24"/>
              </w:rPr>
              <w:t>Autism Spectrum Disorder</w:t>
            </w:r>
          </w:p>
        </w:tc>
      </w:tr>
      <w:tr w:rsidR="00466AC9" w:rsidRPr="00150CD2" w14:paraId="3A6DDB32" w14:textId="77777777" w:rsidTr="00C236CD">
        <w:tc>
          <w:tcPr>
            <w:tcW w:w="1255" w:type="dxa"/>
            <w:tcBorders>
              <w:top w:val="single" w:sz="4" w:space="0" w:color="A6A6A6" w:themeColor="background1" w:themeShade="A6"/>
              <w:bottom w:val="single" w:sz="4" w:space="0" w:color="A6A6A6" w:themeColor="background1" w:themeShade="A6"/>
            </w:tcBorders>
          </w:tcPr>
          <w:p w14:paraId="0DEF0044" w14:textId="77777777" w:rsidR="00466AC9" w:rsidRPr="00150CD2" w:rsidRDefault="00466AC9" w:rsidP="00C236CD">
            <w:pPr>
              <w:pStyle w:val="EYTableText"/>
              <w:rPr>
                <w:rFonts w:cs="Arial"/>
                <w:sz w:val="24"/>
              </w:rPr>
            </w:pPr>
            <w:r w:rsidRPr="00150CD2">
              <w:rPr>
                <w:rFonts w:cs="Arial"/>
                <w:sz w:val="24"/>
              </w:rPr>
              <w:t>ASH</w:t>
            </w:r>
          </w:p>
        </w:tc>
        <w:tc>
          <w:tcPr>
            <w:tcW w:w="7764" w:type="dxa"/>
            <w:tcBorders>
              <w:top w:val="single" w:sz="4" w:space="0" w:color="A6A6A6" w:themeColor="background1" w:themeShade="A6"/>
              <w:bottom w:val="single" w:sz="4" w:space="0" w:color="A6A6A6" w:themeColor="background1" w:themeShade="A6"/>
            </w:tcBorders>
          </w:tcPr>
          <w:p w14:paraId="24E9DA71" w14:textId="77777777" w:rsidR="00466AC9" w:rsidRPr="00150CD2" w:rsidRDefault="00466AC9" w:rsidP="00C236CD">
            <w:pPr>
              <w:pStyle w:val="EYTableText"/>
              <w:rPr>
                <w:rFonts w:cs="Arial"/>
                <w:sz w:val="24"/>
              </w:rPr>
            </w:pPr>
            <w:r w:rsidRPr="00150CD2">
              <w:rPr>
                <w:rFonts w:cs="Arial"/>
                <w:sz w:val="24"/>
              </w:rPr>
              <w:t>Ambulatory Sensitive Hospitalisation</w:t>
            </w:r>
          </w:p>
        </w:tc>
      </w:tr>
      <w:tr w:rsidR="00466AC9" w:rsidRPr="00150CD2" w14:paraId="6D28BC48" w14:textId="77777777" w:rsidTr="00C236CD">
        <w:tc>
          <w:tcPr>
            <w:tcW w:w="1255" w:type="dxa"/>
            <w:tcBorders>
              <w:top w:val="single" w:sz="4" w:space="0" w:color="A6A6A6" w:themeColor="background1" w:themeShade="A6"/>
              <w:bottom w:val="single" w:sz="4" w:space="0" w:color="A6A6A6" w:themeColor="background1" w:themeShade="A6"/>
            </w:tcBorders>
          </w:tcPr>
          <w:p w14:paraId="237EE535" w14:textId="77777777" w:rsidR="00466AC9" w:rsidRPr="00150CD2" w:rsidRDefault="00466AC9" w:rsidP="00C236CD">
            <w:pPr>
              <w:pStyle w:val="EYTableText"/>
              <w:rPr>
                <w:rFonts w:cs="Arial"/>
                <w:sz w:val="24"/>
              </w:rPr>
            </w:pPr>
            <w:r w:rsidRPr="00150CD2">
              <w:rPr>
                <w:rFonts w:cs="Arial"/>
                <w:sz w:val="24"/>
              </w:rPr>
              <w:t>B4SC</w:t>
            </w:r>
          </w:p>
        </w:tc>
        <w:tc>
          <w:tcPr>
            <w:tcW w:w="7764" w:type="dxa"/>
            <w:tcBorders>
              <w:top w:val="single" w:sz="4" w:space="0" w:color="A6A6A6" w:themeColor="background1" w:themeShade="A6"/>
              <w:bottom w:val="single" w:sz="4" w:space="0" w:color="A6A6A6" w:themeColor="background1" w:themeShade="A6"/>
            </w:tcBorders>
          </w:tcPr>
          <w:p w14:paraId="562BE623" w14:textId="77777777" w:rsidR="00466AC9" w:rsidRPr="00150CD2" w:rsidRDefault="00466AC9" w:rsidP="00C236CD">
            <w:pPr>
              <w:pStyle w:val="EYTableText"/>
              <w:rPr>
                <w:rFonts w:cs="Arial"/>
                <w:sz w:val="24"/>
              </w:rPr>
            </w:pPr>
            <w:r w:rsidRPr="00150CD2">
              <w:rPr>
                <w:rFonts w:cs="Arial"/>
                <w:sz w:val="24"/>
              </w:rPr>
              <w:t>B4 School Check</w:t>
            </w:r>
          </w:p>
        </w:tc>
      </w:tr>
      <w:tr w:rsidR="00466AC9" w:rsidRPr="00150CD2" w14:paraId="6594472D" w14:textId="77777777" w:rsidTr="00C236CD">
        <w:tc>
          <w:tcPr>
            <w:tcW w:w="1255" w:type="dxa"/>
            <w:tcBorders>
              <w:top w:val="single" w:sz="4" w:space="0" w:color="A6A6A6" w:themeColor="background1" w:themeShade="A6"/>
              <w:bottom w:val="single" w:sz="4" w:space="0" w:color="A6A6A6" w:themeColor="background1" w:themeShade="A6"/>
            </w:tcBorders>
          </w:tcPr>
          <w:p w14:paraId="4ECC01C1" w14:textId="77777777" w:rsidR="00466AC9" w:rsidRPr="00150CD2" w:rsidRDefault="00466AC9" w:rsidP="00C236CD">
            <w:pPr>
              <w:pStyle w:val="EYTableText"/>
              <w:rPr>
                <w:rFonts w:cs="Arial"/>
                <w:sz w:val="24"/>
              </w:rPr>
            </w:pPr>
            <w:r w:rsidRPr="00150CD2">
              <w:rPr>
                <w:rFonts w:cs="Arial"/>
                <w:sz w:val="24"/>
              </w:rPr>
              <w:t>CP</w:t>
            </w:r>
          </w:p>
        </w:tc>
        <w:tc>
          <w:tcPr>
            <w:tcW w:w="7764" w:type="dxa"/>
            <w:tcBorders>
              <w:top w:val="single" w:sz="4" w:space="0" w:color="A6A6A6" w:themeColor="background1" w:themeShade="A6"/>
              <w:bottom w:val="single" w:sz="4" w:space="0" w:color="A6A6A6" w:themeColor="background1" w:themeShade="A6"/>
            </w:tcBorders>
          </w:tcPr>
          <w:p w14:paraId="036C1CAA" w14:textId="77777777" w:rsidR="00466AC9" w:rsidRPr="00150CD2" w:rsidRDefault="00466AC9" w:rsidP="00C236CD">
            <w:pPr>
              <w:pStyle w:val="EYTableText"/>
              <w:rPr>
                <w:rFonts w:cs="Arial"/>
                <w:sz w:val="24"/>
              </w:rPr>
            </w:pPr>
            <w:r w:rsidRPr="00150CD2">
              <w:rPr>
                <w:rFonts w:cs="Arial"/>
                <w:sz w:val="24"/>
              </w:rPr>
              <w:t>Care &amp; Protection</w:t>
            </w:r>
          </w:p>
        </w:tc>
      </w:tr>
      <w:tr w:rsidR="00466AC9" w:rsidRPr="00150CD2" w14:paraId="796658E7" w14:textId="77777777" w:rsidTr="00C236CD">
        <w:tc>
          <w:tcPr>
            <w:tcW w:w="1255" w:type="dxa"/>
            <w:tcBorders>
              <w:top w:val="single" w:sz="4" w:space="0" w:color="A6A6A6" w:themeColor="background1" w:themeShade="A6"/>
              <w:bottom w:val="single" w:sz="4" w:space="0" w:color="A6A6A6" w:themeColor="background1" w:themeShade="A6"/>
            </w:tcBorders>
          </w:tcPr>
          <w:p w14:paraId="047B63A4" w14:textId="77777777" w:rsidR="00466AC9" w:rsidRPr="00150CD2" w:rsidRDefault="00466AC9" w:rsidP="00C236CD">
            <w:pPr>
              <w:pStyle w:val="EYTableText"/>
              <w:rPr>
                <w:rFonts w:cs="Arial"/>
                <w:sz w:val="24"/>
              </w:rPr>
            </w:pPr>
            <w:r w:rsidRPr="00150CD2">
              <w:rPr>
                <w:rFonts w:cs="Arial"/>
                <w:sz w:val="24"/>
              </w:rPr>
              <w:t>DS</w:t>
            </w:r>
          </w:p>
        </w:tc>
        <w:tc>
          <w:tcPr>
            <w:tcW w:w="7764" w:type="dxa"/>
            <w:tcBorders>
              <w:top w:val="single" w:sz="4" w:space="0" w:color="A6A6A6" w:themeColor="background1" w:themeShade="A6"/>
              <w:bottom w:val="single" w:sz="4" w:space="0" w:color="A6A6A6" w:themeColor="background1" w:themeShade="A6"/>
            </w:tcBorders>
          </w:tcPr>
          <w:p w14:paraId="0CAA3956" w14:textId="77777777" w:rsidR="00466AC9" w:rsidRPr="00150CD2" w:rsidRDefault="00466AC9" w:rsidP="00C236CD">
            <w:pPr>
              <w:pStyle w:val="EYTableText"/>
              <w:rPr>
                <w:rFonts w:cs="Arial"/>
                <w:sz w:val="24"/>
              </w:rPr>
            </w:pPr>
            <w:r w:rsidRPr="00150CD2">
              <w:rPr>
                <w:rFonts w:cs="Arial"/>
                <w:sz w:val="24"/>
              </w:rPr>
              <w:t>Disability Survey 2013 (administered by Statistics New Zealand)</w:t>
            </w:r>
          </w:p>
        </w:tc>
      </w:tr>
      <w:tr w:rsidR="00466AC9" w:rsidRPr="00150CD2" w14:paraId="6D79599F" w14:textId="77777777" w:rsidTr="00C236CD">
        <w:tc>
          <w:tcPr>
            <w:tcW w:w="1255" w:type="dxa"/>
            <w:tcBorders>
              <w:top w:val="single" w:sz="4" w:space="0" w:color="A6A6A6" w:themeColor="background1" w:themeShade="A6"/>
              <w:bottom w:val="single" w:sz="4" w:space="0" w:color="A6A6A6" w:themeColor="background1" w:themeShade="A6"/>
            </w:tcBorders>
          </w:tcPr>
          <w:p w14:paraId="666D8CC1" w14:textId="77777777" w:rsidR="00466AC9" w:rsidRPr="00150CD2" w:rsidRDefault="00466AC9" w:rsidP="00C236CD">
            <w:pPr>
              <w:pStyle w:val="EYTableText"/>
              <w:rPr>
                <w:rFonts w:cs="Arial"/>
                <w:sz w:val="24"/>
              </w:rPr>
            </w:pPr>
            <w:r w:rsidRPr="00150CD2">
              <w:rPr>
                <w:rFonts w:cs="Arial"/>
                <w:sz w:val="24"/>
              </w:rPr>
              <w:t>DSS</w:t>
            </w:r>
          </w:p>
        </w:tc>
        <w:tc>
          <w:tcPr>
            <w:tcW w:w="7764" w:type="dxa"/>
            <w:tcBorders>
              <w:top w:val="single" w:sz="4" w:space="0" w:color="A6A6A6" w:themeColor="background1" w:themeShade="A6"/>
              <w:bottom w:val="single" w:sz="4" w:space="0" w:color="A6A6A6" w:themeColor="background1" w:themeShade="A6"/>
            </w:tcBorders>
          </w:tcPr>
          <w:p w14:paraId="13BDA541" w14:textId="77777777" w:rsidR="00466AC9" w:rsidRPr="00150CD2" w:rsidRDefault="00466AC9" w:rsidP="00C236CD">
            <w:pPr>
              <w:pStyle w:val="EYTableText"/>
              <w:rPr>
                <w:rFonts w:cs="Arial"/>
                <w:sz w:val="24"/>
              </w:rPr>
            </w:pPr>
            <w:r w:rsidRPr="00150CD2">
              <w:rPr>
                <w:rFonts w:cs="Arial"/>
                <w:sz w:val="24"/>
              </w:rPr>
              <w:t>Disability Support Services</w:t>
            </w:r>
          </w:p>
        </w:tc>
      </w:tr>
      <w:tr w:rsidR="00254ADC" w:rsidRPr="00150CD2" w14:paraId="25E9F1CC" w14:textId="77777777" w:rsidTr="00466AC9">
        <w:tc>
          <w:tcPr>
            <w:tcW w:w="1255" w:type="dxa"/>
            <w:tcBorders>
              <w:top w:val="single" w:sz="4" w:space="0" w:color="A6A6A6" w:themeColor="background1" w:themeShade="A6"/>
              <w:bottom w:val="single" w:sz="4" w:space="0" w:color="A6A6A6" w:themeColor="background1" w:themeShade="A6"/>
            </w:tcBorders>
          </w:tcPr>
          <w:p w14:paraId="1AE5F506" w14:textId="6B5A4C3A" w:rsidR="00254ADC" w:rsidRPr="00150CD2" w:rsidRDefault="00254ADC" w:rsidP="00466AC9">
            <w:pPr>
              <w:pStyle w:val="EYTableText"/>
              <w:rPr>
                <w:rFonts w:cs="Arial"/>
                <w:sz w:val="24"/>
              </w:rPr>
            </w:pPr>
            <w:r w:rsidRPr="00150CD2">
              <w:rPr>
                <w:rFonts w:cs="Arial"/>
                <w:sz w:val="24"/>
              </w:rPr>
              <w:t>ECE</w:t>
            </w:r>
          </w:p>
        </w:tc>
        <w:tc>
          <w:tcPr>
            <w:tcW w:w="7764" w:type="dxa"/>
            <w:tcBorders>
              <w:top w:val="single" w:sz="4" w:space="0" w:color="A6A6A6" w:themeColor="background1" w:themeShade="A6"/>
              <w:bottom w:val="single" w:sz="4" w:space="0" w:color="A6A6A6" w:themeColor="background1" w:themeShade="A6"/>
            </w:tcBorders>
          </w:tcPr>
          <w:p w14:paraId="02F5AC91" w14:textId="3DA05D5F" w:rsidR="00254ADC" w:rsidRPr="00150CD2" w:rsidRDefault="00254ADC" w:rsidP="00466AC9">
            <w:pPr>
              <w:pStyle w:val="EYTableText"/>
              <w:rPr>
                <w:rFonts w:cs="Arial"/>
                <w:sz w:val="24"/>
              </w:rPr>
            </w:pPr>
            <w:r w:rsidRPr="00150CD2">
              <w:rPr>
                <w:rFonts w:cs="Arial"/>
                <w:sz w:val="24"/>
              </w:rPr>
              <w:t>Early Childhood Education</w:t>
            </w:r>
          </w:p>
        </w:tc>
      </w:tr>
      <w:tr w:rsidR="00466AC9" w:rsidRPr="00150CD2" w14:paraId="46769702" w14:textId="77777777" w:rsidTr="00C236CD">
        <w:tc>
          <w:tcPr>
            <w:tcW w:w="1255" w:type="dxa"/>
            <w:tcBorders>
              <w:top w:val="single" w:sz="4" w:space="0" w:color="A6A6A6" w:themeColor="background1" w:themeShade="A6"/>
              <w:bottom w:val="single" w:sz="4" w:space="0" w:color="A6A6A6" w:themeColor="background1" w:themeShade="A6"/>
            </w:tcBorders>
          </w:tcPr>
          <w:p w14:paraId="63700CA4" w14:textId="77777777" w:rsidR="00466AC9" w:rsidRPr="00150CD2" w:rsidRDefault="00466AC9" w:rsidP="00C236CD">
            <w:pPr>
              <w:pStyle w:val="EYTableText"/>
              <w:rPr>
                <w:rFonts w:cs="Arial"/>
                <w:sz w:val="24"/>
              </w:rPr>
            </w:pPr>
            <w:r w:rsidRPr="00150CD2">
              <w:rPr>
                <w:rFonts w:cs="Arial"/>
                <w:sz w:val="24"/>
              </w:rPr>
              <w:t>ED</w:t>
            </w:r>
          </w:p>
        </w:tc>
        <w:tc>
          <w:tcPr>
            <w:tcW w:w="7764" w:type="dxa"/>
            <w:tcBorders>
              <w:top w:val="single" w:sz="4" w:space="0" w:color="A6A6A6" w:themeColor="background1" w:themeShade="A6"/>
              <w:bottom w:val="single" w:sz="4" w:space="0" w:color="A6A6A6" w:themeColor="background1" w:themeShade="A6"/>
            </w:tcBorders>
          </w:tcPr>
          <w:p w14:paraId="5CA1CE5C" w14:textId="77777777" w:rsidR="00466AC9" w:rsidRPr="00150CD2" w:rsidRDefault="00466AC9" w:rsidP="00C236CD">
            <w:pPr>
              <w:pStyle w:val="EYTableText"/>
              <w:rPr>
                <w:rFonts w:cs="Arial"/>
                <w:sz w:val="24"/>
              </w:rPr>
            </w:pPr>
            <w:r w:rsidRPr="00150CD2">
              <w:rPr>
                <w:rFonts w:cs="Arial"/>
                <w:sz w:val="24"/>
              </w:rPr>
              <w:t>Emergency Department</w:t>
            </w:r>
          </w:p>
        </w:tc>
      </w:tr>
      <w:tr w:rsidR="00466AC9" w:rsidRPr="00150CD2" w14:paraId="78CB5267" w14:textId="77777777" w:rsidTr="00C236CD">
        <w:tc>
          <w:tcPr>
            <w:tcW w:w="1255" w:type="dxa"/>
            <w:tcBorders>
              <w:top w:val="single" w:sz="4" w:space="0" w:color="A6A6A6" w:themeColor="background1" w:themeShade="A6"/>
              <w:bottom w:val="single" w:sz="4" w:space="0" w:color="A6A6A6" w:themeColor="background1" w:themeShade="A6"/>
            </w:tcBorders>
          </w:tcPr>
          <w:p w14:paraId="4E8BFDAB" w14:textId="77777777" w:rsidR="00466AC9" w:rsidRPr="00150CD2" w:rsidRDefault="00466AC9" w:rsidP="00C236CD">
            <w:pPr>
              <w:pStyle w:val="EYTableText"/>
              <w:rPr>
                <w:rFonts w:cs="Arial"/>
                <w:sz w:val="24"/>
              </w:rPr>
            </w:pPr>
            <w:r w:rsidRPr="00150CD2">
              <w:rPr>
                <w:rFonts w:cs="Arial"/>
                <w:sz w:val="24"/>
              </w:rPr>
              <w:t>EGL</w:t>
            </w:r>
          </w:p>
        </w:tc>
        <w:tc>
          <w:tcPr>
            <w:tcW w:w="7764" w:type="dxa"/>
            <w:tcBorders>
              <w:top w:val="single" w:sz="4" w:space="0" w:color="A6A6A6" w:themeColor="background1" w:themeShade="A6"/>
              <w:bottom w:val="single" w:sz="4" w:space="0" w:color="A6A6A6" w:themeColor="background1" w:themeShade="A6"/>
            </w:tcBorders>
          </w:tcPr>
          <w:p w14:paraId="6B8F7012" w14:textId="77777777" w:rsidR="00466AC9" w:rsidRPr="00150CD2" w:rsidRDefault="00466AC9" w:rsidP="00C236CD">
            <w:pPr>
              <w:pStyle w:val="EYTableText"/>
              <w:rPr>
                <w:rFonts w:cs="Arial"/>
                <w:sz w:val="24"/>
              </w:rPr>
            </w:pPr>
            <w:r w:rsidRPr="00150CD2">
              <w:rPr>
                <w:rFonts w:cs="Arial"/>
                <w:sz w:val="24"/>
              </w:rPr>
              <w:t>Enabling Good Lives</w:t>
            </w:r>
          </w:p>
        </w:tc>
      </w:tr>
      <w:tr w:rsidR="00466AC9" w:rsidRPr="00150CD2" w14:paraId="013196E0" w14:textId="77777777" w:rsidTr="00C236CD">
        <w:tc>
          <w:tcPr>
            <w:tcW w:w="1255" w:type="dxa"/>
            <w:tcBorders>
              <w:top w:val="single" w:sz="4" w:space="0" w:color="A6A6A6" w:themeColor="background1" w:themeShade="A6"/>
              <w:bottom w:val="single" w:sz="4" w:space="0" w:color="A6A6A6" w:themeColor="background1" w:themeShade="A6"/>
            </w:tcBorders>
          </w:tcPr>
          <w:p w14:paraId="2B2540F7" w14:textId="77777777" w:rsidR="00466AC9" w:rsidRPr="00150CD2" w:rsidRDefault="00466AC9" w:rsidP="00C236CD">
            <w:pPr>
              <w:pStyle w:val="EYTableText"/>
              <w:rPr>
                <w:rFonts w:cs="Arial"/>
                <w:sz w:val="24"/>
              </w:rPr>
            </w:pPr>
            <w:r w:rsidRPr="00150CD2">
              <w:rPr>
                <w:rFonts w:cs="Arial"/>
                <w:sz w:val="24"/>
              </w:rPr>
              <w:t>GSS</w:t>
            </w:r>
          </w:p>
        </w:tc>
        <w:tc>
          <w:tcPr>
            <w:tcW w:w="7764" w:type="dxa"/>
            <w:tcBorders>
              <w:top w:val="single" w:sz="4" w:space="0" w:color="A6A6A6" w:themeColor="background1" w:themeShade="A6"/>
              <w:bottom w:val="single" w:sz="4" w:space="0" w:color="A6A6A6" w:themeColor="background1" w:themeShade="A6"/>
            </w:tcBorders>
          </w:tcPr>
          <w:p w14:paraId="4F3A0DD5" w14:textId="77777777" w:rsidR="00466AC9" w:rsidRPr="00150CD2" w:rsidRDefault="00466AC9" w:rsidP="00C236CD">
            <w:pPr>
              <w:pStyle w:val="EYTableText"/>
              <w:rPr>
                <w:rFonts w:cs="Arial"/>
                <w:sz w:val="24"/>
              </w:rPr>
            </w:pPr>
            <w:r w:rsidRPr="00150CD2">
              <w:rPr>
                <w:rFonts w:cs="Arial"/>
                <w:sz w:val="24"/>
              </w:rPr>
              <w:t>General Social Survey 2014 and 2016 (administered by Statistics New Zealand)</w:t>
            </w:r>
          </w:p>
        </w:tc>
      </w:tr>
      <w:tr w:rsidR="00466AC9" w:rsidRPr="00150CD2" w14:paraId="6BFB90DE" w14:textId="77777777" w:rsidTr="00C236CD">
        <w:tc>
          <w:tcPr>
            <w:tcW w:w="1255" w:type="dxa"/>
            <w:tcBorders>
              <w:top w:val="single" w:sz="4" w:space="0" w:color="A6A6A6" w:themeColor="background1" w:themeShade="A6"/>
              <w:bottom w:val="single" w:sz="4" w:space="0" w:color="A6A6A6" w:themeColor="background1" w:themeShade="A6"/>
            </w:tcBorders>
          </w:tcPr>
          <w:p w14:paraId="6675B177" w14:textId="77777777" w:rsidR="00466AC9" w:rsidRPr="00150CD2" w:rsidRDefault="00466AC9" w:rsidP="00C236CD">
            <w:pPr>
              <w:pStyle w:val="EYTableText"/>
              <w:rPr>
                <w:rFonts w:cs="Arial"/>
                <w:sz w:val="24"/>
              </w:rPr>
            </w:pPr>
            <w:r w:rsidRPr="00150CD2">
              <w:rPr>
                <w:rFonts w:cs="Arial"/>
                <w:sz w:val="24"/>
              </w:rPr>
              <w:t>IDI</w:t>
            </w:r>
          </w:p>
        </w:tc>
        <w:tc>
          <w:tcPr>
            <w:tcW w:w="7764" w:type="dxa"/>
            <w:tcBorders>
              <w:top w:val="single" w:sz="4" w:space="0" w:color="A6A6A6" w:themeColor="background1" w:themeShade="A6"/>
              <w:bottom w:val="single" w:sz="4" w:space="0" w:color="A6A6A6" w:themeColor="background1" w:themeShade="A6"/>
            </w:tcBorders>
          </w:tcPr>
          <w:p w14:paraId="4C2614DF" w14:textId="77777777" w:rsidR="00466AC9" w:rsidRPr="00150CD2" w:rsidRDefault="00466AC9" w:rsidP="00C236CD">
            <w:pPr>
              <w:pStyle w:val="EYTableText"/>
              <w:rPr>
                <w:rFonts w:cs="Arial"/>
                <w:sz w:val="24"/>
              </w:rPr>
            </w:pPr>
            <w:r w:rsidRPr="00150CD2">
              <w:rPr>
                <w:rFonts w:cs="Arial"/>
                <w:sz w:val="24"/>
              </w:rPr>
              <w:t>Integrated Data Infrastructure (maintained by Statistics New Zealand)</w:t>
            </w:r>
          </w:p>
        </w:tc>
      </w:tr>
      <w:tr w:rsidR="00466AC9" w:rsidRPr="00150CD2" w14:paraId="59979D6C" w14:textId="77777777" w:rsidTr="00C236CD">
        <w:tc>
          <w:tcPr>
            <w:tcW w:w="1255" w:type="dxa"/>
            <w:tcBorders>
              <w:top w:val="single" w:sz="4" w:space="0" w:color="A6A6A6" w:themeColor="background1" w:themeShade="A6"/>
              <w:bottom w:val="single" w:sz="4" w:space="0" w:color="A6A6A6" w:themeColor="background1" w:themeShade="A6"/>
            </w:tcBorders>
          </w:tcPr>
          <w:p w14:paraId="2CF17708" w14:textId="77777777" w:rsidR="00466AC9" w:rsidRPr="00150CD2" w:rsidRDefault="00466AC9" w:rsidP="00C236CD">
            <w:pPr>
              <w:pStyle w:val="EYTableText"/>
              <w:rPr>
                <w:rFonts w:cs="Arial"/>
                <w:sz w:val="24"/>
              </w:rPr>
            </w:pPr>
            <w:r w:rsidRPr="00150CD2">
              <w:rPr>
                <w:rFonts w:cs="Arial"/>
                <w:sz w:val="24"/>
              </w:rPr>
              <w:t>MSD</w:t>
            </w:r>
          </w:p>
        </w:tc>
        <w:tc>
          <w:tcPr>
            <w:tcW w:w="7764" w:type="dxa"/>
            <w:tcBorders>
              <w:top w:val="single" w:sz="4" w:space="0" w:color="A6A6A6" w:themeColor="background1" w:themeShade="A6"/>
              <w:bottom w:val="single" w:sz="4" w:space="0" w:color="A6A6A6" w:themeColor="background1" w:themeShade="A6"/>
            </w:tcBorders>
          </w:tcPr>
          <w:p w14:paraId="4670346A" w14:textId="77777777" w:rsidR="00466AC9" w:rsidRPr="00150CD2" w:rsidRDefault="00466AC9" w:rsidP="00C236CD">
            <w:pPr>
              <w:pStyle w:val="EYTableText"/>
              <w:rPr>
                <w:rFonts w:cs="Arial"/>
                <w:sz w:val="24"/>
              </w:rPr>
            </w:pPr>
            <w:r w:rsidRPr="00150CD2">
              <w:rPr>
                <w:rFonts w:cs="Arial"/>
                <w:sz w:val="24"/>
              </w:rPr>
              <w:t>Ministry of Social Development</w:t>
            </w:r>
          </w:p>
        </w:tc>
      </w:tr>
      <w:tr w:rsidR="00466AC9" w:rsidRPr="00150CD2" w14:paraId="6023AD6E" w14:textId="77777777" w:rsidTr="00C236CD">
        <w:tc>
          <w:tcPr>
            <w:tcW w:w="1255" w:type="dxa"/>
            <w:tcBorders>
              <w:top w:val="single" w:sz="4" w:space="0" w:color="A6A6A6" w:themeColor="background1" w:themeShade="A6"/>
              <w:bottom w:val="single" w:sz="4" w:space="0" w:color="A6A6A6" w:themeColor="background1" w:themeShade="A6"/>
            </w:tcBorders>
          </w:tcPr>
          <w:p w14:paraId="287F2D0D" w14:textId="77777777" w:rsidR="00466AC9" w:rsidRPr="00150CD2" w:rsidRDefault="00466AC9" w:rsidP="00C236CD">
            <w:pPr>
              <w:pStyle w:val="EYTableText"/>
              <w:rPr>
                <w:rFonts w:cs="Arial"/>
                <w:sz w:val="24"/>
              </w:rPr>
            </w:pPr>
            <w:r w:rsidRPr="00150CD2">
              <w:rPr>
                <w:rFonts w:cs="Arial"/>
                <w:sz w:val="24"/>
              </w:rPr>
              <w:t>NASC</w:t>
            </w:r>
          </w:p>
        </w:tc>
        <w:tc>
          <w:tcPr>
            <w:tcW w:w="7764" w:type="dxa"/>
            <w:tcBorders>
              <w:top w:val="single" w:sz="4" w:space="0" w:color="A6A6A6" w:themeColor="background1" w:themeShade="A6"/>
              <w:bottom w:val="single" w:sz="4" w:space="0" w:color="A6A6A6" w:themeColor="background1" w:themeShade="A6"/>
            </w:tcBorders>
          </w:tcPr>
          <w:p w14:paraId="31F00605" w14:textId="6022F5B4" w:rsidR="00466AC9" w:rsidRPr="00150CD2" w:rsidRDefault="00466AC9" w:rsidP="00C236CD">
            <w:pPr>
              <w:pStyle w:val="EYTableText"/>
              <w:rPr>
                <w:rFonts w:cs="Arial"/>
                <w:sz w:val="24"/>
              </w:rPr>
            </w:pPr>
            <w:r w:rsidRPr="00150CD2">
              <w:rPr>
                <w:rFonts w:cs="Arial"/>
                <w:sz w:val="24"/>
              </w:rPr>
              <w:t>Needs Assessment and Service Co-ordination</w:t>
            </w:r>
            <w:r w:rsidR="002C6A49" w:rsidRPr="00150CD2">
              <w:rPr>
                <w:rFonts w:cs="Arial"/>
                <w:sz w:val="24"/>
              </w:rPr>
              <w:t xml:space="preserve"> organisation</w:t>
            </w:r>
          </w:p>
        </w:tc>
      </w:tr>
      <w:tr w:rsidR="00466AC9" w:rsidRPr="00150CD2" w14:paraId="17FDBAEA" w14:textId="77777777" w:rsidTr="00C236CD">
        <w:tc>
          <w:tcPr>
            <w:tcW w:w="1255" w:type="dxa"/>
            <w:tcBorders>
              <w:top w:val="single" w:sz="4" w:space="0" w:color="A6A6A6" w:themeColor="background1" w:themeShade="A6"/>
              <w:bottom w:val="single" w:sz="4" w:space="0" w:color="A6A6A6" w:themeColor="background1" w:themeShade="A6"/>
            </w:tcBorders>
          </w:tcPr>
          <w:p w14:paraId="53C136F7" w14:textId="77777777" w:rsidR="00466AC9" w:rsidRPr="00150CD2" w:rsidRDefault="00466AC9" w:rsidP="00C236CD">
            <w:pPr>
              <w:pStyle w:val="EYTableText"/>
              <w:rPr>
                <w:rFonts w:cs="Arial"/>
                <w:sz w:val="24"/>
              </w:rPr>
            </w:pPr>
            <w:r w:rsidRPr="00150CD2">
              <w:rPr>
                <w:rFonts w:cs="Arial"/>
                <w:sz w:val="24"/>
              </w:rPr>
              <w:t>NCEA</w:t>
            </w:r>
          </w:p>
        </w:tc>
        <w:tc>
          <w:tcPr>
            <w:tcW w:w="7764" w:type="dxa"/>
            <w:tcBorders>
              <w:top w:val="single" w:sz="4" w:space="0" w:color="A6A6A6" w:themeColor="background1" w:themeShade="A6"/>
              <w:bottom w:val="single" w:sz="4" w:space="0" w:color="A6A6A6" w:themeColor="background1" w:themeShade="A6"/>
            </w:tcBorders>
          </w:tcPr>
          <w:p w14:paraId="3666920D" w14:textId="77777777" w:rsidR="00466AC9" w:rsidRPr="00150CD2" w:rsidRDefault="00466AC9" w:rsidP="00C236CD">
            <w:pPr>
              <w:pStyle w:val="EYTableText"/>
              <w:rPr>
                <w:rFonts w:cs="Arial"/>
                <w:sz w:val="24"/>
              </w:rPr>
            </w:pPr>
            <w:r w:rsidRPr="00150CD2">
              <w:rPr>
                <w:rFonts w:cs="Arial"/>
                <w:sz w:val="24"/>
              </w:rPr>
              <w:t>National Certificate of Educational Achievement</w:t>
            </w:r>
          </w:p>
        </w:tc>
      </w:tr>
      <w:tr w:rsidR="00466AC9" w:rsidRPr="00150CD2" w14:paraId="75735197" w14:textId="77777777" w:rsidTr="00C236CD">
        <w:tc>
          <w:tcPr>
            <w:tcW w:w="1255" w:type="dxa"/>
            <w:tcBorders>
              <w:top w:val="single" w:sz="4" w:space="0" w:color="A6A6A6" w:themeColor="background1" w:themeShade="A6"/>
              <w:bottom w:val="single" w:sz="4" w:space="0" w:color="A6A6A6" w:themeColor="background1" w:themeShade="A6"/>
            </w:tcBorders>
          </w:tcPr>
          <w:p w14:paraId="7BF873B4" w14:textId="77777777" w:rsidR="00466AC9" w:rsidRPr="00150CD2" w:rsidRDefault="00466AC9" w:rsidP="00C236CD">
            <w:pPr>
              <w:pStyle w:val="EYTableText"/>
              <w:rPr>
                <w:rFonts w:cs="Arial"/>
                <w:sz w:val="24"/>
              </w:rPr>
            </w:pPr>
            <w:r w:rsidRPr="00150CD2">
              <w:rPr>
                <w:rFonts w:cs="Arial"/>
                <w:sz w:val="24"/>
              </w:rPr>
              <w:t>NZQA</w:t>
            </w:r>
          </w:p>
        </w:tc>
        <w:tc>
          <w:tcPr>
            <w:tcW w:w="7764" w:type="dxa"/>
            <w:tcBorders>
              <w:top w:val="single" w:sz="4" w:space="0" w:color="A6A6A6" w:themeColor="background1" w:themeShade="A6"/>
              <w:bottom w:val="single" w:sz="4" w:space="0" w:color="A6A6A6" w:themeColor="background1" w:themeShade="A6"/>
            </w:tcBorders>
          </w:tcPr>
          <w:p w14:paraId="057BB249" w14:textId="77777777" w:rsidR="00466AC9" w:rsidRPr="00150CD2" w:rsidRDefault="00466AC9" w:rsidP="00C236CD">
            <w:pPr>
              <w:pStyle w:val="EYTableText"/>
              <w:rPr>
                <w:rFonts w:cs="Arial"/>
                <w:sz w:val="24"/>
              </w:rPr>
            </w:pPr>
            <w:r w:rsidRPr="00150CD2">
              <w:rPr>
                <w:rFonts w:cs="Arial"/>
                <w:sz w:val="24"/>
              </w:rPr>
              <w:t>New Zealand Qualifications Authority</w:t>
            </w:r>
          </w:p>
        </w:tc>
      </w:tr>
      <w:tr w:rsidR="00466AC9" w:rsidRPr="00150CD2" w14:paraId="11DEC30F" w14:textId="77777777" w:rsidTr="00C236CD">
        <w:tc>
          <w:tcPr>
            <w:tcW w:w="1255" w:type="dxa"/>
            <w:tcBorders>
              <w:top w:val="single" w:sz="4" w:space="0" w:color="A6A6A6" w:themeColor="background1" w:themeShade="A6"/>
              <w:bottom w:val="single" w:sz="4" w:space="0" w:color="A6A6A6" w:themeColor="background1" w:themeShade="A6"/>
            </w:tcBorders>
          </w:tcPr>
          <w:p w14:paraId="640DFB19" w14:textId="77777777" w:rsidR="00466AC9" w:rsidRPr="00150CD2" w:rsidRDefault="00466AC9" w:rsidP="00C236CD">
            <w:pPr>
              <w:pStyle w:val="EYTableText"/>
              <w:rPr>
                <w:rFonts w:cs="Arial"/>
                <w:sz w:val="24"/>
              </w:rPr>
            </w:pPr>
            <w:r w:rsidRPr="00150CD2">
              <w:rPr>
                <w:rFonts w:cs="Arial"/>
                <w:sz w:val="24"/>
              </w:rPr>
              <w:t>ORS</w:t>
            </w:r>
          </w:p>
        </w:tc>
        <w:tc>
          <w:tcPr>
            <w:tcW w:w="7764" w:type="dxa"/>
            <w:tcBorders>
              <w:top w:val="single" w:sz="4" w:space="0" w:color="A6A6A6" w:themeColor="background1" w:themeShade="A6"/>
              <w:bottom w:val="single" w:sz="4" w:space="0" w:color="A6A6A6" w:themeColor="background1" w:themeShade="A6"/>
            </w:tcBorders>
          </w:tcPr>
          <w:p w14:paraId="0766E7FE" w14:textId="77777777" w:rsidR="00466AC9" w:rsidRPr="00150CD2" w:rsidRDefault="00466AC9" w:rsidP="00C236CD">
            <w:pPr>
              <w:pStyle w:val="EYTableText"/>
              <w:rPr>
                <w:rFonts w:cs="Arial"/>
                <w:sz w:val="24"/>
              </w:rPr>
            </w:pPr>
            <w:r w:rsidRPr="00150CD2">
              <w:rPr>
                <w:rFonts w:cs="Arial"/>
                <w:sz w:val="24"/>
              </w:rPr>
              <w:t>Ongoing Resourcing Scheme</w:t>
            </w:r>
          </w:p>
        </w:tc>
      </w:tr>
      <w:tr w:rsidR="00254ADC" w:rsidRPr="00150CD2" w14:paraId="24D18720" w14:textId="77777777" w:rsidTr="00466AC9">
        <w:tc>
          <w:tcPr>
            <w:tcW w:w="1255" w:type="dxa"/>
            <w:tcBorders>
              <w:top w:val="single" w:sz="4" w:space="0" w:color="A6A6A6" w:themeColor="background1" w:themeShade="A6"/>
              <w:bottom w:val="single" w:sz="4" w:space="0" w:color="A6A6A6" w:themeColor="background1" w:themeShade="A6"/>
            </w:tcBorders>
          </w:tcPr>
          <w:p w14:paraId="1D0CE532" w14:textId="758CA283" w:rsidR="00254ADC" w:rsidRPr="00150CD2" w:rsidRDefault="00254ADC" w:rsidP="00466AC9">
            <w:pPr>
              <w:pStyle w:val="EYTableText"/>
              <w:rPr>
                <w:rFonts w:cs="Arial"/>
                <w:sz w:val="24"/>
              </w:rPr>
            </w:pPr>
            <w:r w:rsidRPr="00150CD2">
              <w:rPr>
                <w:rFonts w:cs="Arial"/>
                <w:sz w:val="24"/>
              </w:rPr>
              <w:t>PHO</w:t>
            </w:r>
          </w:p>
        </w:tc>
        <w:tc>
          <w:tcPr>
            <w:tcW w:w="7764" w:type="dxa"/>
            <w:tcBorders>
              <w:top w:val="single" w:sz="4" w:space="0" w:color="A6A6A6" w:themeColor="background1" w:themeShade="A6"/>
              <w:bottom w:val="single" w:sz="4" w:space="0" w:color="A6A6A6" w:themeColor="background1" w:themeShade="A6"/>
            </w:tcBorders>
          </w:tcPr>
          <w:p w14:paraId="12C18329" w14:textId="7F30EE6B" w:rsidR="00254ADC" w:rsidRPr="00150CD2" w:rsidRDefault="00254ADC" w:rsidP="00466AC9">
            <w:pPr>
              <w:pStyle w:val="EYTableText"/>
              <w:rPr>
                <w:rFonts w:cs="Arial"/>
                <w:sz w:val="24"/>
              </w:rPr>
            </w:pPr>
            <w:r w:rsidRPr="00150CD2">
              <w:rPr>
                <w:rFonts w:cs="Arial"/>
                <w:sz w:val="24"/>
              </w:rPr>
              <w:t>Primary Health Organisation</w:t>
            </w:r>
          </w:p>
        </w:tc>
      </w:tr>
      <w:tr w:rsidR="00466AC9" w:rsidRPr="00150CD2" w14:paraId="2E158C4D" w14:textId="77777777" w:rsidTr="00C236CD">
        <w:tc>
          <w:tcPr>
            <w:tcW w:w="1255" w:type="dxa"/>
            <w:tcBorders>
              <w:top w:val="single" w:sz="4" w:space="0" w:color="A6A6A6" w:themeColor="background1" w:themeShade="A6"/>
            </w:tcBorders>
          </w:tcPr>
          <w:p w14:paraId="29EDCA60" w14:textId="77777777" w:rsidR="00466AC9" w:rsidRPr="00150CD2" w:rsidRDefault="00466AC9" w:rsidP="00C236CD">
            <w:pPr>
              <w:pStyle w:val="EYTableText"/>
              <w:rPr>
                <w:rFonts w:cs="Arial"/>
                <w:sz w:val="24"/>
              </w:rPr>
            </w:pPr>
            <w:r w:rsidRPr="00150CD2">
              <w:rPr>
                <w:rFonts w:cs="Arial"/>
                <w:sz w:val="24"/>
              </w:rPr>
              <w:t>SPA</w:t>
            </w:r>
          </w:p>
        </w:tc>
        <w:tc>
          <w:tcPr>
            <w:tcW w:w="7764" w:type="dxa"/>
            <w:tcBorders>
              <w:top w:val="single" w:sz="4" w:space="0" w:color="A6A6A6" w:themeColor="background1" w:themeShade="A6"/>
            </w:tcBorders>
          </w:tcPr>
          <w:p w14:paraId="227999FF" w14:textId="77777777" w:rsidR="00466AC9" w:rsidRPr="00150CD2" w:rsidRDefault="00466AC9" w:rsidP="00C236CD">
            <w:pPr>
              <w:pStyle w:val="EYTableText"/>
              <w:rPr>
                <w:rFonts w:cs="Arial"/>
                <w:sz w:val="24"/>
              </w:rPr>
            </w:pPr>
            <w:r w:rsidRPr="00150CD2">
              <w:rPr>
                <w:rFonts w:cs="Arial"/>
                <w:sz w:val="24"/>
              </w:rPr>
              <w:t>Support Package Allocation</w:t>
            </w:r>
          </w:p>
        </w:tc>
      </w:tr>
    </w:tbl>
    <w:p w14:paraId="7018B488" w14:textId="6631686E" w:rsidR="00466AC9" w:rsidRPr="00150CD2" w:rsidRDefault="00466AC9" w:rsidP="00FF642F">
      <w:pPr>
        <w:pStyle w:val="EYBodytextwithparaspace"/>
        <w:spacing w:after="120"/>
        <w:rPr>
          <w:rFonts w:cs="Arial"/>
        </w:rPr>
      </w:pPr>
    </w:p>
    <w:p w14:paraId="624991FF" w14:textId="40FCDBB4" w:rsidR="00466AC9" w:rsidRPr="00150CD2" w:rsidRDefault="00466AC9" w:rsidP="00C236CD">
      <w:pPr>
        <w:pStyle w:val="EYAppendixHeading2"/>
        <w:rPr>
          <w:rFonts w:cs="Arial"/>
        </w:rPr>
      </w:pPr>
      <w:r w:rsidRPr="00150CD2">
        <w:rPr>
          <w:rFonts w:cs="Arial"/>
        </w:rPr>
        <w:t>Glossary</w:t>
      </w:r>
    </w:p>
    <w:tbl>
      <w:tblPr>
        <w:tblStyle w:val="TableGrid"/>
        <w:tblW w:w="0" w:type="auto"/>
        <w:tblBorders>
          <w:insideV w:val="none" w:sz="0" w:space="0" w:color="auto"/>
        </w:tblBorders>
        <w:tblCellMar>
          <w:top w:w="29" w:type="dxa"/>
          <w:left w:w="115" w:type="dxa"/>
          <w:bottom w:w="29" w:type="dxa"/>
          <w:right w:w="115" w:type="dxa"/>
        </w:tblCellMar>
        <w:tblLook w:val="04A0" w:firstRow="1" w:lastRow="0" w:firstColumn="1" w:lastColumn="0" w:noHBand="0" w:noVBand="1"/>
      </w:tblPr>
      <w:tblGrid>
        <w:gridCol w:w="2425"/>
        <w:gridCol w:w="6594"/>
      </w:tblGrid>
      <w:tr w:rsidR="00FE4528" w:rsidRPr="00150CD2" w14:paraId="63965444" w14:textId="77777777" w:rsidTr="00C236CD">
        <w:trPr>
          <w:tblHeader/>
        </w:trPr>
        <w:tc>
          <w:tcPr>
            <w:tcW w:w="2425" w:type="dxa"/>
            <w:tcBorders>
              <w:bottom w:val="single" w:sz="4" w:space="0" w:color="auto"/>
            </w:tcBorders>
            <w:shd w:val="clear" w:color="auto" w:fill="F2F2F2" w:themeFill="background1" w:themeFillShade="F2"/>
          </w:tcPr>
          <w:p w14:paraId="1121BA3A" w14:textId="77777777" w:rsidR="006661EC" w:rsidRPr="00150CD2" w:rsidRDefault="006661EC" w:rsidP="00C236CD">
            <w:pPr>
              <w:pStyle w:val="EYTableHeading"/>
              <w:rPr>
                <w:rFonts w:cs="Arial"/>
                <w:sz w:val="24"/>
              </w:rPr>
            </w:pPr>
            <w:r w:rsidRPr="00150CD2">
              <w:rPr>
                <w:rFonts w:cs="Arial"/>
                <w:sz w:val="24"/>
              </w:rPr>
              <w:t>Term</w:t>
            </w:r>
          </w:p>
        </w:tc>
        <w:tc>
          <w:tcPr>
            <w:tcW w:w="6594" w:type="dxa"/>
            <w:tcBorders>
              <w:bottom w:val="single" w:sz="4" w:space="0" w:color="auto"/>
            </w:tcBorders>
            <w:shd w:val="clear" w:color="auto" w:fill="F2F2F2" w:themeFill="background1" w:themeFillShade="F2"/>
          </w:tcPr>
          <w:p w14:paraId="55F209BA" w14:textId="77777777" w:rsidR="006661EC" w:rsidRPr="00150CD2" w:rsidRDefault="006661EC" w:rsidP="00C236CD">
            <w:pPr>
              <w:pStyle w:val="EYTableHeading"/>
              <w:rPr>
                <w:rFonts w:cs="Arial"/>
                <w:sz w:val="24"/>
              </w:rPr>
            </w:pPr>
            <w:r w:rsidRPr="00150CD2">
              <w:rPr>
                <w:rFonts w:cs="Arial"/>
                <w:sz w:val="24"/>
              </w:rPr>
              <w:t>Definition</w:t>
            </w:r>
          </w:p>
        </w:tc>
      </w:tr>
      <w:tr w:rsidR="009D290E" w:rsidRPr="00150CD2" w14:paraId="7D684974" w14:textId="77777777" w:rsidTr="009D290E">
        <w:tc>
          <w:tcPr>
            <w:tcW w:w="2425" w:type="dxa"/>
            <w:tcBorders>
              <w:bottom w:val="single" w:sz="4" w:space="0" w:color="A6A6A6" w:themeColor="background1" w:themeShade="A6"/>
            </w:tcBorders>
            <w:shd w:val="clear" w:color="auto" w:fill="F2F2F2" w:themeFill="background1" w:themeFillShade="F2"/>
          </w:tcPr>
          <w:p w14:paraId="543A1667" w14:textId="77777777" w:rsidR="009D290E" w:rsidRPr="00150CD2" w:rsidRDefault="009D290E" w:rsidP="00C236CD">
            <w:pPr>
              <w:pStyle w:val="EYTableText"/>
              <w:rPr>
                <w:rFonts w:cs="Arial"/>
                <w:b/>
                <w:bCs/>
                <w:i/>
                <w:iCs/>
                <w:sz w:val="24"/>
              </w:rPr>
            </w:pPr>
            <w:r w:rsidRPr="00150CD2">
              <w:rPr>
                <w:rFonts w:cs="Arial"/>
                <w:b/>
                <w:bCs/>
                <w:i/>
                <w:iCs/>
                <w:sz w:val="24"/>
              </w:rPr>
              <w:t>Ministry of Health terms</w:t>
            </w:r>
          </w:p>
        </w:tc>
        <w:tc>
          <w:tcPr>
            <w:tcW w:w="6594" w:type="dxa"/>
            <w:tcBorders>
              <w:bottom w:val="single" w:sz="4" w:space="0" w:color="A6A6A6" w:themeColor="background1" w:themeShade="A6"/>
            </w:tcBorders>
            <w:shd w:val="clear" w:color="auto" w:fill="F2F2F2" w:themeFill="background1" w:themeFillShade="F2"/>
          </w:tcPr>
          <w:p w14:paraId="1E38A03F" w14:textId="49156114" w:rsidR="009D290E" w:rsidRPr="00150CD2" w:rsidRDefault="009D290E" w:rsidP="00C236CD">
            <w:pPr>
              <w:pStyle w:val="EYTableText"/>
              <w:rPr>
                <w:rFonts w:cs="Arial"/>
                <w:b/>
                <w:bCs/>
                <w:i/>
                <w:iCs/>
                <w:sz w:val="24"/>
              </w:rPr>
            </w:pPr>
          </w:p>
        </w:tc>
      </w:tr>
      <w:tr w:rsidR="00FE4528" w:rsidRPr="00150CD2" w14:paraId="650CF09E" w14:textId="77777777" w:rsidTr="00C236CD">
        <w:tc>
          <w:tcPr>
            <w:tcW w:w="2425" w:type="dxa"/>
            <w:tcBorders>
              <w:top w:val="single" w:sz="4" w:space="0" w:color="A6A6A6" w:themeColor="background1" w:themeShade="A6"/>
              <w:bottom w:val="single" w:sz="4" w:space="0" w:color="A6A6A6" w:themeColor="background1" w:themeShade="A6"/>
            </w:tcBorders>
            <w:tcMar>
              <w:left w:w="216" w:type="dxa"/>
            </w:tcMar>
          </w:tcPr>
          <w:p w14:paraId="24D6ECAA" w14:textId="77777777" w:rsidR="006661EC" w:rsidRPr="00150CD2" w:rsidRDefault="006661EC" w:rsidP="00C236CD">
            <w:pPr>
              <w:pStyle w:val="EYTableText"/>
              <w:rPr>
                <w:rFonts w:cs="Arial"/>
                <w:sz w:val="24"/>
              </w:rPr>
            </w:pPr>
            <w:r w:rsidRPr="00150CD2">
              <w:rPr>
                <w:rFonts w:cs="Arial"/>
                <w:sz w:val="24"/>
              </w:rPr>
              <w:t>Disability Support Services</w:t>
            </w:r>
          </w:p>
        </w:tc>
        <w:tc>
          <w:tcPr>
            <w:tcW w:w="6594" w:type="dxa"/>
            <w:tcBorders>
              <w:top w:val="single" w:sz="4" w:space="0" w:color="A6A6A6" w:themeColor="background1" w:themeShade="A6"/>
              <w:bottom w:val="single" w:sz="4" w:space="0" w:color="A6A6A6" w:themeColor="background1" w:themeShade="A6"/>
            </w:tcBorders>
          </w:tcPr>
          <w:p w14:paraId="79DBE9B2" w14:textId="0F453ECD" w:rsidR="00FE4528" w:rsidRPr="00150CD2" w:rsidRDefault="006661EC" w:rsidP="006661EC">
            <w:pPr>
              <w:pStyle w:val="EYTableText"/>
              <w:rPr>
                <w:rFonts w:cs="Arial"/>
                <w:sz w:val="24"/>
              </w:rPr>
            </w:pPr>
            <w:r w:rsidRPr="00150CD2">
              <w:rPr>
                <w:rFonts w:cs="Arial"/>
                <w:sz w:val="24"/>
              </w:rPr>
              <w:t>Disability Support Services (DSS) are funded by the Ministry of Health and allocated to people by a Needs Assessment and Service Co-ordination organisation</w:t>
            </w:r>
            <w:r w:rsidR="002C6A49" w:rsidRPr="00150CD2">
              <w:rPr>
                <w:rFonts w:cs="Arial"/>
                <w:sz w:val="24"/>
              </w:rPr>
              <w:t xml:space="preserve"> (NASC)</w:t>
            </w:r>
            <w:r w:rsidRPr="00150CD2">
              <w:rPr>
                <w:rFonts w:cs="Arial"/>
                <w:sz w:val="24"/>
              </w:rPr>
              <w:t>. The range of disability support services includes</w:t>
            </w:r>
            <w:r w:rsidR="00FE4528" w:rsidRPr="00150CD2">
              <w:rPr>
                <w:rFonts w:cs="Arial"/>
                <w:sz w:val="24"/>
              </w:rPr>
              <w:t>:</w:t>
            </w:r>
          </w:p>
          <w:p w14:paraId="3AF9FF30" w14:textId="77777777" w:rsidR="00FE4528" w:rsidRPr="00150CD2" w:rsidRDefault="006661EC" w:rsidP="00C236CD">
            <w:pPr>
              <w:pStyle w:val="EYTablebullet1"/>
              <w:spacing w:before="20" w:after="20"/>
              <w:ind w:left="288" w:hanging="288"/>
              <w:rPr>
                <w:rFonts w:cs="Arial"/>
                <w:sz w:val="24"/>
              </w:rPr>
            </w:pPr>
            <w:r w:rsidRPr="00150CD2">
              <w:rPr>
                <w:rFonts w:cs="Arial"/>
                <w:sz w:val="24"/>
              </w:rPr>
              <w:t>behaviour support</w:t>
            </w:r>
          </w:p>
          <w:p w14:paraId="5DA1CFFF" w14:textId="77777777" w:rsidR="00FE4528" w:rsidRPr="00150CD2" w:rsidRDefault="006661EC" w:rsidP="00C236CD">
            <w:pPr>
              <w:pStyle w:val="EYTablebullet1"/>
              <w:spacing w:before="20" w:after="20"/>
              <w:ind w:left="288" w:hanging="288"/>
              <w:rPr>
                <w:rFonts w:cs="Arial"/>
                <w:sz w:val="24"/>
              </w:rPr>
            </w:pPr>
            <w:r w:rsidRPr="00150CD2">
              <w:rPr>
                <w:rFonts w:cs="Arial"/>
                <w:sz w:val="24"/>
              </w:rPr>
              <w:t>respite</w:t>
            </w:r>
          </w:p>
          <w:p w14:paraId="313299BE" w14:textId="77777777" w:rsidR="00FE4528" w:rsidRPr="00150CD2" w:rsidRDefault="006661EC" w:rsidP="00C236CD">
            <w:pPr>
              <w:pStyle w:val="EYTablebullet1"/>
              <w:spacing w:before="20" w:after="20"/>
              <w:ind w:left="288" w:hanging="288"/>
              <w:rPr>
                <w:rFonts w:cs="Arial"/>
                <w:sz w:val="24"/>
              </w:rPr>
            </w:pPr>
            <w:r w:rsidRPr="00150CD2">
              <w:rPr>
                <w:rFonts w:cs="Arial"/>
                <w:sz w:val="24"/>
              </w:rPr>
              <w:t>carer support</w:t>
            </w:r>
          </w:p>
          <w:p w14:paraId="69AC7C34" w14:textId="77777777" w:rsidR="00FE4528" w:rsidRPr="00150CD2" w:rsidRDefault="006661EC" w:rsidP="00C236CD">
            <w:pPr>
              <w:pStyle w:val="EYTablebullet1"/>
              <w:spacing w:before="20" w:after="20"/>
              <w:ind w:left="288" w:hanging="288"/>
              <w:rPr>
                <w:rFonts w:cs="Arial"/>
                <w:sz w:val="24"/>
              </w:rPr>
            </w:pPr>
            <w:r w:rsidRPr="00150CD2">
              <w:rPr>
                <w:rFonts w:cs="Arial"/>
                <w:sz w:val="24"/>
              </w:rPr>
              <w:t>supported living</w:t>
            </w:r>
          </w:p>
          <w:p w14:paraId="5A1339F2" w14:textId="77777777" w:rsidR="00FE4528" w:rsidRPr="00150CD2" w:rsidRDefault="006661EC" w:rsidP="00C236CD">
            <w:pPr>
              <w:pStyle w:val="EYTablebullet1"/>
              <w:spacing w:before="20" w:after="20"/>
              <w:ind w:left="288" w:hanging="288"/>
              <w:rPr>
                <w:rFonts w:cs="Arial"/>
                <w:sz w:val="24"/>
              </w:rPr>
            </w:pPr>
            <w:r w:rsidRPr="00150CD2">
              <w:rPr>
                <w:rFonts w:cs="Arial"/>
                <w:sz w:val="24"/>
              </w:rPr>
              <w:t>community residential</w:t>
            </w:r>
          </w:p>
          <w:p w14:paraId="04C92F50" w14:textId="77777777" w:rsidR="00FE4528" w:rsidRPr="00150CD2" w:rsidRDefault="006661EC" w:rsidP="00C236CD">
            <w:pPr>
              <w:pStyle w:val="EYTablebullet1"/>
              <w:spacing w:before="20" w:after="20"/>
              <w:ind w:left="288" w:hanging="288"/>
              <w:rPr>
                <w:rFonts w:cs="Arial"/>
                <w:sz w:val="24"/>
              </w:rPr>
            </w:pPr>
            <w:r w:rsidRPr="00150CD2">
              <w:rPr>
                <w:rFonts w:cs="Arial"/>
                <w:sz w:val="24"/>
              </w:rPr>
              <w:t>choices in community living</w:t>
            </w:r>
          </w:p>
          <w:p w14:paraId="48A82606" w14:textId="77777777" w:rsidR="00FE4528" w:rsidRPr="00150CD2" w:rsidRDefault="006661EC" w:rsidP="00C236CD">
            <w:pPr>
              <w:pStyle w:val="EYTablebullet1"/>
              <w:spacing w:before="20" w:after="20"/>
              <w:ind w:left="288" w:hanging="288"/>
              <w:rPr>
                <w:rFonts w:cs="Arial"/>
                <w:sz w:val="24"/>
              </w:rPr>
            </w:pPr>
            <w:r w:rsidRPr="00150CD2">
              <w:rPr>
                <w:rFonts w:cs="Arial"/>
                <w:sz w:val="24"/>
              </w:rPr>
              <w:t>community day</w:t>
            </w:r>
          </w:p>
          <w:p w14:paraId="467ADC5A" w14:textId="77777777" w:rsidR="00FE4528" w:rsidRPr="00150CD2" w:rsidRDefault="006661EC" w:rsidP="00C236CD">
            <w:pPr>
              <w:pStyle w:val="EYTablebullet1"/>
              <w:spacing w:before="20" w:after="20"/>
              <w:ind w:left="288" w:hanging="288"/>
              <w:rPr>
                <w:rFonts w:cs="Arial"/>
                <w:sz w:val="24"/>
              </w:rPr>
            </w:pPr>
            <w:r w:rsidRPr="00150CD2">
              <w:rPr>
                <w:rFonts w:cs="Arial"/>
                <w:sz w:val="24"/>
              </w:rPr>
              <w:t>individualised funding</w:t>
            </w:r>
          </w:p>
          <w:p w14:paraId="4C036388" w14:textId="77777777" w:rsidR="00FE4528" w:rsidRPr="00150CD2" w:rsidRDefault="006661EC" w:rsidP="00C236CD">
            <w:pPr>
              <w:pStyle w:val="EYTablebullet1"/>
              <w:spacing w:before="20" w:after="20"/>
              <w:ind w:left="288" w:hanging="288"/>
              <w:rPr>
                <w:rFonts w:cs="Arial"/>
                <w:sz w:val="24"/>
              </w:rPr>
            </w:pPr>
            <w:r w:rsidRPr="00150CD2">
              <w:rPr>
                <w:rFonts w:cs="Arial"/>
                <w:sz w:val="24"/>
              </w:rPr>
              <w:t>enhanced individualised funding</w:t>
            </w:r>
          </w:p>
          <w:p w14:paraId="5020E37C" w14:textId="77777777" w:rsidR="00FE4528" w:rsidRPr="00150CD2" w:rsidRDefault="006661EC" w:rsidP="00C236CD">
            <w:pPr>
              <w:pStyle w:val="EYTablebullet1"/>
              <w:spacing w:before="20" w:after="20"/>
              <w:ind w:left="288" w:hanging="288"/>
              <w:rPr>
                <w:rFonts w:cs="Arial"/>
                <w:sz w:val="24"/>
              </w:rPr>
            </w:pPr>
            <w:r w:rsidRPr="00150CD2">
              <w:rPr>
                <w:rFonts w:cs="Arial"/>
                <w:sz w:val="24"/>
              </w:rPr>
              <w:t>regional intellectual disability supported accommodation</w:t>
            </w:r>
          </w:p>
          <w:p w14:paraId="29AA6B41" w14:textId="650A0463" w:rsidR="00FE4528" w:rsidRPr="00150CD2" w:rsidRDefault="006661EC" w:rsidP="00C236CD">
            <w:pPr>
              <w:pStyle w:val="EYTablebullet1"/>
              <w:spacing w:before="20" w:after="20"/>
              <w:ind w:left="288" w:hanging="288"/>
              <w:rPr>
                <w:rFonts w:cs="Arial"/>
                <w:sz w:val="24"/>
              </w:rPr>
            </w:pPr>
            <w:r w:rsidRPr="00150CD2">
              <w:rPr>
                <w:rFonts w:cs="Arial"/>
                <w:sz w:val="24"/>
              </w:rPr>
              <w:t>younger people in aged care services</w:t>
            </w:r>
          </w:p>
          <w:p w14:paraId="33643945" w14:textId="77777777" w:rsidR="00FE4528" w:rsidRPr="00150CD2" w:rsidRDefault="006661EC" w:rsidP="00C236CD">
            <w:pPr>
              <w:pStyle w:val="EYTablebullet1"/>
              <w:spacing w:before="20" w:after="20"/>
              <w:ind w:left="288" w:hanging="288"/>
              <w:rPr>
                <w:rFonts w:cs="Arial"/>
                <w:sz w:val="24"/>
              </w:rPr>
            </w:pPr>
            <w:r w:rsidRPr="00150CD2">
              <w:rPr>
                <w:rFonts w:cs="Arial"/>
                <w:sz w:val="24"/>
              </w:rPr>
              <w:t>family funded care</w:t>
            </w:r>
          </w:p>
          <w:p w14:paraId="6442039B" w14:textId="2C50FC11" w:rsidR="006661EC" w:rsidRPr="00150CD2" w:rsidRDefault="006661EC" w:rsidP="00C236CD">
            <w:pPr>
              <w:pStyle w:val="EYTablebullet1"/>
              <w:spacing w:before="20" w:after="20"/>
              <w:ind w:left="288" w:hanging="288"/>
              <w:rPr>
                <w:rFonts w:cs="Arial"/>
                <w:sz w:val="24"/>
              </w:rPr>
            </w:pPr>
            <w:r w:rsidRPr="00150CD2">
              <w:rPr>
                <w:rFonts w:cs="Arial"/>
                <w:sz w:val="24"/>
              </w:rPr>
              <w:t>home and community support</w:t>
            </w:r>
          </w:p>
          <w:p w14:paraId="3291D39E" w14:textId="77777777" w:rsidR="00FE4528" w:rsidRPr="00150CD2" w:rsidRDefault="006661EC" w:rsidP="006661EC">
            <w:pPr>
              <w:pStyle w:val="EYTableText"/>
              <w:rPr>
                <w:rFonts w:cs="Arial"/>
                <w:sz w:val="24"/>
              </w:rPr>
            </w:pPr>
            <w:r w:rsidRPr="00150CD2">
              <w:rPr>
                <w:rFonts w:cs="Arial"/>
                <w:sz w:val="24"/>
              </w:rPr>
              <w:t>Ministry of Health funded services excluded from this analysis include</w:t>
            </w:r>
            <w:r w:rsidR="00FE4528" w:rsidRPr="00150CD2">
              <w:rPr>
                <w:rFonts w:cs="Arial"/>
                <w:sz w:val="24"/>
              </w:rPr>
              <w:t>:</w:t>
            </w:r>
          </w:p>
          <w:p w14:paraId="7B098B4D" w14:textId="77777777" w:rsidR="00FE4528" w:rsidRPr="00150CD2" w:rsidRDefault="006661EC" w:rsidP="00FE4528">
            <w:pPr>
              <w:pStyle w:val="EYTablebullet1"/>
              <w:spacing w:before="20" w:after="20"/>
              <w:ind w:left="288" w:hanging="288"/>
              <w:rPr>
                <w:rFonts w:cs="Arial"/>
                <w:sz w:val="24"/>
              </w:rPr>
            </w:pPr>
            <w:r w:rsidRPr="00150CD2">
              <w:rPr>
                <w:rFonts w:cs="Arial"/>
                <w:sz w:val="24"/>
              </w:rPr>
              <w:t>child development services</w:t>
            </w:r>
          </w:p>
          <w:p w14:paraId="13150BDA" w14:textId="4CB5BF23" w:rsidR="00FE4528" w:rsidRPr="00150CD2" w:rsidRDefault="006661EC" w:rsidP="00AA60F9">
            <w:pPr>
              <w:pStyle w:val="EYTablebullet1"/>
              <w:spacing w:before="20" w:after="20"/>
              <w:ind w:left="288" w:hanging="288"/>
              <w:rPr>
                <w:rFonts w:cs="Arial"/>
                <w:sz w:val="24"/>
              </w:rPr>
            </w:pPr>
            <w:r w:rsidRPr="00150CD2">
              <w:rPr>
                <w:rFonts w:cs="Arial"/>
                <w:sz w:val="24"/>
              </w:rPr>
              <w:t>Enabling Good Lives</w:t>
            </w:r>
            <w:r w:rsidR="00B912B2" w:rsidRPr="00150CD2">
              <w:rPr>
                <w:rFonts w:cs="Arial"/>
                <w:sz w:val="24"/>
              </w:rPr>
              <w:t xml:space="preserve"> Waikato</w:t>
            </w:r>
          </w:p>
          <w:p w14:paraId="7E8A4998" w14:textId="77777777" w:rsidR="00FE4528" w:rsidRPr="00150CD2" w:rsidRDefault="006661EC" w:rsidP="00FE4528">
            <w:pPr>
              <w:pStyle w:val="EYTablebullet1"/>
              <w:spacing w:before="20" w:after="20"/>
              <w:ind w:left="288" w:hanging="288"/>
              <w:rPr>
                <w:rFonts w:cs="Arial"/>
                <w:sz w:val="24"/>
              </w:rPr>
            </w:pPr>
            <w:r w:rsidRPr="00150CD2">
              <w:rPr>
                <w:rFonts w:cs="Arial"/>
                <w:sz w:val="24"/>
              </w:rPr>
              <w:t>environmental support (including equipment and modification)</w:t>
            </w:r>
          </w:p>
          <w:p w14:paraId="76C89C55" w14:textId="77777777" w:rsidR="00FE4528" w:rsidRPr="00150CD2" w:rsidRDefault="006661EC" w:rsidP="00FE4528">
            <w:pPr>
              <w:pStyle w:val="EYTablebullet1"/>
              <w:spacing w:before="20" w:after="20"/>
              <w:ind w:left="288" w:hanging="288"/>
              <w:rPr>
                <w:rFonts w:cs="Arial"/>
                <w:sz w:val="24"/>
              </w:rPr>
            </w:pPr>
            <w:r w:rsidRPr="00150CD2">
              <w:rPr>
                <w:rFonts w:cs="Arial"/>
                <w:sz w:val="24"/>
              </w:rPr>
              <w:t>sensory (hearing and vision) services</w:t>
            </w:r>
          </w:p>
          <w:p w14:paraId="539146F2" w14:textId="4AF5F785" w:rsidR="006661EC" w:rsidRPr="00150CD2" w:rsidRDefault="00AA60F9" w:rsidP="005E1539">
            <w:pPr>
              <w:pStyle w:val="EYTablebullet1"/>
              <w:spacing w:before="20" w:after="20"/>
              <w:ind w:left="288" w:hanging="288"/>
              <w:rPr>
                <w:rFonts w:cs="Arial"/>
                <w:sz w:val="24"/>
              </w:rPr>
            </w:pPr>
            <w:r w:rsidRPr="00150CD2">
              <w:rPr>
                <w:rFonts w:cs="Arial"/>
                <w:sz w:val="24"/>
              </w:rPr>
              <w:t xml:space="preserve">Contracts with DHBs to deliver </w:t>
            </w:r>
            <w:r w:rsidR="006661EC" w:rsidRPr="00150CD2">
              <w:rPr>
                <w:rFonts w:cs="Arial"/>
                <w:sz w:val="24"/>
              </w:rPr>
              <w:t>assessment</w:t>
            </w:r>
            <w:r w:rsidRPr="00150CD2">
              <w:rPr>
                <w:rFonts w:cs="Arial"/>
                <w:sz w:val="24"/>
              </w:rPr>
              <w:t xml:space="preserve">, </w:t>
            </w:r>
            <w:r w:rsidR="006661EC" w:rsidRPr="00150CD2">
              <w:rPr>
                <w:rFonts w:cs="Arial"/>
                <w:sz w:val="24"/>
              </w:rPr>
              <w:t xml:space="preserve">treatment and rehabilitation </w:t>
            </w:r>
            <w:r w:rsidRPr="00150CD2">
              <w:rPr>
                <w:rFonts w:cs="Arial"/>
                <w:sz w:val="24"/>
              </w:rPr>
              <w:t>for disabled people</w:t>
            </w:r>
          </w:p>
          <w:p w14:paraId="6F5B9332" w14:textId="77777777" w:rsidR="00FE4528" w:rsidRPr="00150CD2" w:rsidRDefault="00FE4528" w:rsidP="006661EC">
            <w:pPr>
              <w:pStyle w:val="EYTableText"/>
              <w:rPr>
                <w:rFonts w:cs="Arial"/>
                <w:sz w:val="24"/>
              </w:rPr>
            </w:pPr>
          </w:p>
          <w:p w14:paraId="01A2FE93" w14:textId="47845FB9" w:rsidR="006661EC" w:rsidRPr="00150CD2" w:rsidRDefault="006661EC" w:rsidP="00C236CD">
            <w:pPr>
              <w:pStyle w:val="EYTableText"/>
              <w:rPr>
                <w:rFonts w:cs="Arial"/>
                <w:sz w:val="24"/>
              </w:rPr>
            </w:pPr>
            <w:r w:rsidRPr="00150CD2">
              <w:rPr>
                <w:rFonts w:cs="Arial"/>
                <w:sz w:val="24"/>
              </w:rPr>
              <w:t xml:space="preserve">This report is based on information about services allocated to people by NASCs. It does not report on services used. Not included are people with long term chronic conditions </w:t>
            </w:r>
            <w:r w:rsidR="00AA60F9" w:rsidRPr="00150CD2">
              <w:rPr>
                <w:rFonts w:cs="Arial"/>
                <w:sz w:val="24"/>
              </w:rPr>
              <w:t xml:space="preserve">and older people </w:t>
            </w:r>
            <w:r w:rsidRPr="00150CD2">
              <w:rPr>
                <w:rFonts w:cs="Arial"/>
                <w:sz w:val="24"/>
              </w:rPr>
              <w:t>who have services funded by their District Health Board.</w:t>
            </w:r>
          </w:p>
        </w:tc>
      </w:tr>
      <w:tr w:rsidR="00FE4528" w:rsidRPr="00150CD2" w14:paraId="33E18120" w14:textId="77777777" w:rsidTr="00C236CD">
        <w:tc>
          <w:tcPr>
            <w:tcW w:w="2425" w:type="dxa"/>
            <w:tcBorders>
              <w:top w:val="single" w:sz="4" w:space="0" w:color="A6A6A6" w:themeColor="background1" w:themeShade="A6"/>
              <w:bottom w:val="single" w:sz="4" w:space="0" w:color="A6A6A6" w:themeColor="background1" w:themeShade="A6"/>
            </w:tcBorders>
            <w:tcMar>
              <w:left w:w="216" w:type="dxa"/>
            </w:tcMar>
          </w:tcPr>
          <w:p w14:paraId="3C77C57A" w14:textId="77777777" w:rsidR="006661EC" w:rsidRPr="00150CD2" w:rsidRDefault="006661EC" w:rsidP="00C236CD">
            <w:pPr>
              <w:pStyle w:val="EYTableText"/>
              <w:rPr>
                <w:rFonts w:cs="Arial"/>
                <w:sz w:val="24"/>
              </w:rPr>
            </w:pPr>
            <w:r w:rsidRPr="00150CD2">
              <w:rPr>
                <w:rFonts w:cs="Arial"/>
                <w:sz w:val="24"/>
              </w:rPr>
              <w:t>Needs Assessment and Service Co-ordination</w:t>
            </w:r>
          </w:p>
        </w:tc>
        <w:tc>
          <w:tcPr>
            <w:tcW w:w="6594" w:type="dxa"/>
            <w:tcBorders>
              <w:top w:val="single" w:sz="4" w:space="0" w:color="A6A6A6" w:themeColor="background1" w:themeShade="A6"/>
              <w:bottom w:val="single" w:sz="4" w:space="0" w:color="A6A6A6" w:themeColor="background1" w:themeShade="A6"/>
            </w:tcBorders>
          </w:tcPr>
          <w:p w14:paraId="59DFA3B9" w14:textId="322BE332" w:rsidR="006661EC" w:rsidRPr="00150CD2" w:rsidRDefault="006661EC" w:rsidP="00C236CD">
            <w:pPr>
              <w:pStyle w:val="EYTableText"/>
              <w:rPr>
                <w:rFonts w:cs="Arial"/>
                <w:sz w:val="24"/>
              </w:rPr>
            </w:pPr>
            <w:bookmarkStart w:id="178" w:name="_Hlk45784104"/>
            <w:r w:rsidRPr="00150CD2">
              <w:rPr>
                <w:rFonts w:cs="Arial"/>
                <w:sz w:val="24"/>
              </w:rPr>
              <w:t>Needs Assessment and Service Co-ordination</w:t>
            </w:r>
            <w:bookmarkEnd w:id="178"/>
            <w:r w:rsidRPr="00150CD2">
              <w:rPr>
                <w:rFonts w:cs="Arial"/>
                <w:sz w:val="24"/>
              </w:rPr>
              <w:t xml:space="preserve"> organisations </w:t>
            </w:r>
            <w:r w:rsidR="002C6A49" w:rsidRPr="00150CD2">
              <w:rPr>
                <w:rFonts w:cs="Arial"/>
                <w:sz w:val="24"/>
              </w:rPr>
              <w:t xml:space="preserve">(NASCs) </w:t>
            </w:r>
            <w:r w:rsidRPr="00150CD2">
              <w:rPr>
                <w:rFonts w:cs="Arial"/>
                <w:sz w:val="24"/>
              </w:rPr>
              <w:t>are organisations contracted by the Ministry to work with disabled people and their family, whānau, aiga, or carers, to:</w:t>
            </w:r>
          </w:p>
          <w:p w14:paraId="7398D834" w14:textId="77777777" w:rsidR="006661EC" w:rsidRPr="00150CD2" w:rsidRDefault="006661EC" w:rsidP="00C236CD">
            <w:pPr>
              <w:pStyle w:val="EYTablebullet1"/>
              <w:rPr>
                <w:rFonts w:cs="Arial"/>
                <w:sz w:val="24"/>
              </w:rPr>
            </w:pPr>
            <w:r w:rsidRPr="00150CD2">
              <w:rPr>
                <w:rFonts w:cs="Arial"/>
                <w:sz w:val="24"/>
              </w:rPr>
              <w:t>identify their strengths and support needs</w:t>
            </w:r>
          </w:p>
          <w:p w14:paraId="49AB4797" w14:textId="77777777" w:rsidR="006661EC" w:rsidRPr="00150CD2" w:rsidRDefault="006661EC" w:rsidP="00C236CD">
            <w:pPr>
              <w:pStyle w:val="EYTablebullet1"/>
              <w:rPr>
                <w:rFonts w:cs="Arial"/>
                <w:sz w:val="24"/>
              </w:rPr>
            </w:pPr>
            <w:r w:rsidRPr="00150CD2">
              <w:rPr>
                <w:rFonts w:cs="Arial"/>
                <w:sz w:val="24"/>
              </w:rPr>
              <w:t>outline what disability support services are available</w:t>
            </w:r>
          </w:p>
          <w:p w14:paraId="4AE639B5" w14:textId="77777777" w:rsidR="006661EC" w:rsidRPr="00150CD2" w:rsidRDefault="006661EC" w:rsidP="00C236CD">
            <w:pPr>
              <w:pStyle w:val="EYTablebullet1"/>
              <w:rPr>
                <w:rFonts w:cs="Arial"/>
                <w:sz w:val="24"/>
              </w:rPr>
            </w:pPr>
            <w:r w:rsidRPr="00150CD2">
              <w:rPr>
                <w:rFonts w:cs="Arial"/>
                <w:sz w:val="24"/>
              </w:rPr>
              <w:t>determine their eligibility for Ministry-funded support services</w:t>
            </w:r>
          </w:p>
          <w:p w14:paraId="7D40A406" w14:textId="77777777" w:rsidR="006661EC" w:rsidRPr="00150CD2" w:rsidRDefault="006661EC" w:rsidP="00C236CD">
            <w:pPr>
              <w:pStyle w:val="EYTableText"/>
              <w:rPr>
                <w:rFonts w:cs="Arial"/>
                <w:sz w:val="24"/>
              </w:rPr>
            </w:pPr>
            <w:r w:rsidRPr="00150CD2">
              <w:rPr>
                <w:rFonts w:cs="Arial"/>
                <w:sz w:val="24"/>
              </w:rPr>
              <w:t>NASCs allocate Ministry-funded disability support services and help with accessing other supports. These services are then delivered by their respective service providers.</w:t>
            </w:r>
          </w:p>
        </w:tc>
      </w:tr>
      <w:tr w:rsidR="00FE4528" w:rsidRPr="00150CD2" w14:paraId="0F11CBA8" w14:textId="77777777" w:rsidTr="00C236CD">
        <w:tc>
          <w:tcPr>
            <w:tcW w:w="2425" w:type="dxa"/>
            <w:tcBorders>
              <w:top w:val="single" w:sz="4" w:space="0" w:color="A6A6A6" w:themeColor="background1" w:themeShade="A6"/>
              <w:bottom w:val="single" w:sz="4" w:space="0" w:color="A6A6A6" w:themeColor="background1" w:themeShade="A6"/>
            </w:tcBorders>
            <w:tcMar>
              <w:left w:w="216" w:type="dxa"/>
            </w:tcMar>
          </w:tcPr>
          <w:p w14:paraId="6D2387B5" w14:textId="77777777" w:rsidR="006661EC" w:rsidRPr="00150CD2" w:rsidRDefault="006661EC" w:rsidP="00C236CD">
            <w:pPr>
              <w:pStyle w:val="EYTableText"/>
              <w:rPr>
                <w:rFonts w:cs="Arial"/>
                <w:sz w:val="24"/>
              </w:rPr>
            </w:pPr>
            <w:r w:rsidRPr="00150CD2">
              <w:rPr>
                <w:rFonts w:cs="Arial"/>
                <w:sz w:val="24"/>
              </w:rPr>
              <w:t>Principal disability</w:t>
            </w:r>
          </w:p>
        </w:tc>
        <w:tc>
          <w:tcPr>
            <w:tcW w:w="6594" w:type="dxa"/>
            <w:tcBorders>
              <w:top w:val="single" w:sz="4" w:space="0" w:color="A6A6A6" w:themeColor="background1" w:themeShade="A6"/>
              <w:bottom w:val="single" w:sz="4" w:space="0" w:color="A6A6A6" w:themeColor="background1" w:themeShade="A6"/>
            </w:tcBorders>
          </w:tcPr>
          <w:p w14:paraId="071A17DA" w14:textId="2CA8EC0C" w:rsidR="006661EC" w:rsidRPr="00150CD2" w:rsidRDefault="006661EC" w:rsidP="00C236CD">
            <w:pPr>
              <w:pStyle w:val="EYTableText"/>
              <w:rPr>
                <w:rFonts w:cs="Arial"/>
                <w:sz w:val="24"/>
              </w:rPr>
            </w:pPr>
            <w:r w:rsidRPr="00150CD2">
              <w:rPr>
                <w:rFonts w:cs="Arial"/>
                <w:sz w:val="24"/>
              </w:rPr>
              <w:t xml:space="preserve">Principal disabilities are recorded for each DSS client. There are six principal disability classes: intellectual, sensory, physical, neurological, </w:t>
            </w:r>
            <w:r w:rsidR="00FE4528" w:rsidRPr="00150CD2">
              <w:rPr>
                <w:rFonts w:cs="Arial"/>
                <w:sz w:val="24"/>
              </w:rPr>
              <w:t>A</w:t>
            </w:r>
            <w:r w:rsidRPr="00150CD2">
              <w:rPr>
                <w:rFonts w:cs="Arial"/>
                <w:sz w:val="24"/>
              </w:rPr>
              <w:t xml:space="preserve">utism </w:t>
            </w:r>
            <w:r w:rsidR="00FE4528" w:rsidRPr="00150CD2">
              <w:rPr>
                <w:rFonts w:cs="Arial"/>
                <w:sz w:val="24"/>
              </w:rPr>
              <w:t>S</w:t>
            </w:r>
            <w:r w:rsidRPr="00150CD2">
              <w:rPr>
                <w:rFonts w:cs="Arial"/>
                <w:sz w:val="24"/>
              </w:rPr>
              <w:t xml:space="preserve">pectrum </w:t>
            </w:r>
            <w:r w:rsidR="00FE4528" w:rsidRPr="00150CD2">
              <w:rPr>
                <w:rFonts w:cs="Arial"/>
                <w:sz w:val="24"/>
              </w:rPr>
              <w:t>D</w:t>
            </w:r>
            <w:r w:rsidRPr="00150CD2">
              <w:rPr>
                <w:rFonts w:cs="Arial"/>
                <w:sz w:val="24"/>
              </w:rPr>
              <w:t xml:space="preserve">isorder (ASD), and other. </w:t>
            </w:r>
          </w:p>
        </w:tc>
      </w:tr>
      <w:tr w:rsidR="00FE4528" w:rsidRPr="00150CD2" w14:paraId="3C162FE8" w14:textId="77777777" w:rsidTr="00C236CD">
        <w:tc>
          <w:tcPr>
            <w:tcW w:w="2425" w:type="dxa"/>
            <w:tcBorders>
              <w:top w:val="single" w:sz="4" w:space="0" w:color="A6A6A6" w:themeColor="background1" w:themeShade="A6"/>
              <w:bottom w:val="single" w:sz="4" w:space="0" w:color="A6A6A6" w:themeColor="background1" w:themeShade="A6"/>
            </w:tcBorders>
            <w:tcMar>
              <w:left w:w="216" w:type="dxa"/>
            </w:tcMar>
          </w:tcPr>
          <w:p w14:paraId="38BEAE1E" w14:textId="77777777" w:rsidR="006661EC" w:rsidRPr="00150CD2" w:rsidRDefault="006661EC" w:rsidP="00C236CD">
            <w:pPr>
              <w:pStyle w:val="EYTableText"/>
              <w:rPr>
                <w:rFonts w:cs="Arial"/>
                <w:sz w:val="24"/>
              </w:rPr>
            </w:pPr>
            <w:r w:rsidRPr="00150CD2">
              <w:rPr>
                <w:rFonts w:cs="Arial"/>
                <w:sz w:val="24"/>
              </w:rPr>
              <w:t>Prioritised disability</w:t>
            </w:r>
          </w:p>
        </w:tc>
        <w:tc>
          <w:tcPr>
            <w:tcW w:w="6594" w:type="dxa"/>
            <w:tcBorders>
              <w:top w:val="single" w:sz="4" w:space="0" w:color="A6A6A6" w:themeColor="background1" w:themeShade="A6"/>
              <w:bottom w:val="single" w:sz="4" w:space="0" w:color="A6A6A6" w:themeColor="background1" w:themeShade="A6"/>
            </w:tcBorders>
          </w:tcPr>
          <w:p w14:paraId="062A96AF" w14:textId="77777777" w:rsidR="006661EC" w:rsidRPr="00150CD2" w:rsidRDefault="006661EC" w:rsidP="00C236CD">
            <w:pPr>
              <w:pStyle w:val="EYTableText"/>
              <w:rPr>
                <w:rFonts w:cs="Arial"/>
                <w:sz w:val="24"/>
              </w:rPr>
            </w:pPr>
            <w:r w:rsidRPr="00150CD2">
              <w:rPr>
                <w:rFonts w:cs="Arial"/>
                <w:sz w:val="24"/>
              </w:rPr>
              <w:t>Prioritised disability is selected for each client based on the Ministry’s principal disability type prioritisation list. Where a client is recorded as having more than one principal disability, or where a principal disability falls into more than one disability type, a prioritised disability is selected based on this list. The list of disability types in the table below shows the order of prioritisation.</w:t>
            </w:r>
          </w:p>
          <w:p w14:paraId="2AE36CA0" w14:textId="77777777" w:rsidR="006661EC" w:rsidRPr="00150CD2" w:rsidRDefault="006661EC" w:rsidP="00C236CD">
            <w:pPr>
              <w:pStyle w:val="EYTablebullet1"/>
              <w:rPr>
                <w:rFonts w:cs="Arial"/>
                <w:sz w:val="24"/>
              </w:rPr>
            </w:pPr>
            <w:r w:rsidRPr="00150CD2">
              <w:rPr>
                <w:rFonts w:cs="Arial"/>
                <w:sz w:val="24"/>
              </w:rPr>
              <w:t>Intellectual</w:t>
            </w:r>
          </w:p>
          <w:p w14:paraId="71CB00AD" w14:textId="77777777" w:rsidR="006661EC" w:rsidRPr="00150CD2" w:rsidRDefault="006661EC" w:rsidP="00C236CD">
            <w:pPr>
              <w:pStyle w:val="EYTablebullet1"/>
              <w:rPr>
                <w:rFonts w:cs="Arial"/>
                <w:sz w:val="24"/>
              </w:rPr>
            </w:pPr>
            <w:r w:rsidRPr="00150CD2">
              <w:rPr>
                <w:rFonts w:cs="Arial"/>
                <w:sz w:val="24"/>
              </w:rPr>
              <w:t>Sensory</w:t>
            </w:r>
          </w:p>
          <w:p w14:paraId="13E5E2CA" w14:textId="77777777" w:rsidR="006661EC" w:rsidRPr="00150CD2" w:rsidRDefault="006661EC" w:rsidP="00C236CD">
            <w:pPr>
              <w:pStyle w:val="EYTablebullet1"/>
              <w:rPr>
                <w:rFonts w:cs="Arial"/>
                <w:sz w:val="24"/>
              </w:rPr>
            </w:pPr>
            <w:r w:rsidRPr="00150CD2">
              <w:rPr>
                <w:rFonts w:cs="Arial"/>
                <w:sz w:val="24"/>
              </w:rPr>
              <w:t>Physical</w:t>
            </w:r>
          </w:p>
          <w:p w14:paraId="753A0F42" w14:textId="77777777" w:rsidR="006661EC" w:rsidRPr="00150CD2" w:rsidRDefault="006661EC" w:rsidP="00C236CD">
            <w:pPr>
              <w:pStyle w:val="EYTablebullet1"/>
              <w:rPr>
                <w:rFonts w:cs="Arial"/>
                <w:sz w:val="24"/>
              </w:rPr>
            </w:pPr>
            <w:r w:rsidRPr="00150CD2">
              <w:rPr>
                <w:rFonts w:cs="Arial"/>
                <w:sz w:val="24"/>
              </w:rPr>
              <w:t>Neurological</w:t>
            </w:r>
          </w:p>
          <w:p w14:paraId="4F6859CD" w14:textId="77777777" w:rsidR="006661EC" w:rsidRPr="00150CD2" w:rsidRDefault="006661EC" w:rsidP="00C236CD">
            <w:pPr>
              <w:pStyle w:val="EYTablebullet1"/>
              <w:rPr>
                <w:rFonts w:cs="Arial"/>
                <w:sz w:val="24"/>
              </w:rPr>
            </w:pPr>
            <w:r w:rsidRPr="00150CD2">
              <w:rPr>
                <w:rFonts w:cs="Arial"/>
                <w:sz w:val="24"/>
              </w:rPr>
              <w:t>Autism Spectrum Disorder</w:t>
            </w:r>
          </w:p>
          <w:p w14:paraId="7149ED01" w14:textId="77777777" w:rsidR="006661EC" w:rsidRPr="00150CD2" w:rsidRDefault="006661EC" w:rsidP="00C236CD">
            <w:pPr>
              <w:pStyle w:val="EYTablebullet1"/>
              <w:rPr>
                <w:rFonts w:cs="Arial"/>
                <w:sz w:val="24"/>
              </w:rPr>
            </w:pPr>
            <w:r w:rsidRPr="00150CD2">
              <w:rPr>
                <w:rFonts w:cs="Arial"/>
                <w:sz w:val="24"/>
              </w:rPr>
              <w:t>Other</w:t>
            </w:r>
          </w:p>
        </w:tc>
      </w:tr>
      <w:tr w:rsidR="00FE4528" w:rsidRPr="00150CD2" w14:paraId="40081AD6" w14:textId="77777777" w:rsidTr="00C236CD">
        <w:tc>
          <w:tcPr>
            <w:tcW w:w="2425" w:type="dxa"/>
            <w:tcBorders>
              <w:top w:val="single" w:sz="4" w:space="0" w:color="A6A6A6" w:themeColor="background1" w:themeShade="A6"/>
              <w:bottom w:val="single" w:sz="4" w:space="0" w:color="A6A6A6" w:themeColor="background1" w:themeShade="A6"/>
            </w:tcBorders>
            <w:tcMar>
              <w:left w:w="216" w:type="dxa"/>
            </w:tcMar>
          </w:tcPr>
          <w:p w14:paraId="3A38AA87" w14:textId="77777777" w:rsidR="006661EC" w:rsidRPr="00150CD2" w:rsidRDefault="006661EC" w:rsidP="00C236CD">
            <w:pPr>
              <w:pStyle w:val="EYTableText"/>
              <w:rPr>
                <w:rFonts w:cs="Arial"/>
                <w:sz w:val="24"/>
              </w:rPr>
            </w:pPr>
            <w:r w:rsidRPr="00150CD2">
              <w:rPr>
                <w:rFonts w:cs="Arial"/>
                <w:sz w:val="24"/>
              </w:rPr>
              <w:t>Support Package Allocation</w:t>
            </w:r>
          </w:p>
        </w:tc>
        <w:tc>
          <w:tcPr>
            <w:tcW w:w="6594" w:type="dxa"/>
            <w:tcBorders>
              <w:top w:val="single" w:sz="4" w:space="0" w:color="A6A6A6" w:themeColor="background1" w:themeShade="A6"/>
              <w:bottom w:val="single" w:sz="4" w:space="0" w:color="A6A6A6" w:themeColor="background1" w:themeShade="A6"/>
            </w:tcBorders>
          </w:tcPr>
          <w:p w14:paraId="2F9E798D" w14:textId="77777777" w:rsidR="00FC6402" w:rsidRPr="00150CD2" w:rsidRDefault="006661EC" w:rsidP="006661EC">
            <w:pPr>
              <w:pStyle w:val="EYTableText"/>
              <w:rPr>
                <w:rFonts w:cs="Arial"/>
                <w:sz w:val="24"/>
              </w:rPr>
            </w:pPr>
            <w:r w:rsidRPr="00150CD2">
              <w:rPr>
                <w:rFonts w:cs="Arial"/>
                <w:sz w:val="24"/>
              </w:rPr>
              <w:t>Support Package Allocation (SPA) refers to the funding or range of disability support services allocated to a disabled client to address their disability support needs, as identified by a NASC. Support package allocations are categorised by level, from ‘very low’ to ‘very high’.</w:t>
            </w:r>
            <w:r w:rsidR="00FC6402" w:rsidRPr="00150CD2">
              <w:rPr>
                <w:rFonts w:cs="Arial"/>
                <w:sz w:val="24"/>
              </w:rPr>
              <w:t xml:space="preserve"> </w:t>
            </w:r>
          </w:p>
          <w:p w14:paraId="2AF2CF51" w14:textId="0F4044DD" w:rsidR="006661EC" w:rsidRPr="00150CD2" w:rsidRDefault="00FC6402" w:rsidP="00C236CD">
            <w:pPr>
              <w:pStyle w:val="EYTableText"/>
              <w:rPr>
                <w:rFonts w:cs="Arial"/>
                <w:sz w:val="24"/>
              </w:rPr>
            </w:pPr>
            <w:r w:rsidRPr="00150CD2">
              <w:rPr>
                <w:rFonts w:cs="Arial"/>
                <w:sz w:val="24"/>
              </w:rPr>
              <w:t>Assessed needs levels take into account whether or not there are available ‘natural supports’ to assist (such as family member support).</w:t>
            </w:r>
          </w:p>
        </w:tc>
      </w:tr>
      <w:tr w:rsidR="009D290E" w:rsidRPr="00150CD2" w14:paraId="579EC3F6" w14:textId="77777777" w:rsidTr="009D290E">
        <w:tc>
          <w:tcPr>
            <w:tcW w:w="2425" w:type="dxa"/>
            <w:tcBorders>
              <w:bottom w:val="single" w:sz="4" w:space="0" w:color="A6A6A6" w:themeColor="background1" w:themeShade="A6"/>
            </w:tcBorders>
            <w:shd w:val="clear" w:color="auto" w:fill="F2F2F2" w:themeFill="background1" w:themeFillShade="F2"/>
          </w:tcPr>
          <w:p w14:paraId="5D21EDD6" w14:textId="4449751B" w:rsidR="009D290E" w:rsidRPr="00150CD2" w:rsidRDefault="009D290E" w:rsidP="00C236CD">
            <w:pPr>
              <w:pStyle w:val="EYTableText"/>
              <w:rPr>
                <w:rFonts w:cs="Arial"/>
                <w:b/>
                <w:bCs/>
                <w:sz w:val="24"/>
              </w:rPr>
            </w:pPr>
            <w:r w:rsidRPr="00150CD2">
              <w:rPr>
                <w:rFonts w:cs="Arial"/>
                <w:b/>
                <w:bCs/>
                <w:i/>
                <w:iCs/>
                <w:sz w:val="24"/>
              </w:rPr>
              <w:t>Ministry of Social Development terms</w:t>
            </w:r>
          </w:p>
        </w:tc>
        <w:tc>
          <w:tcPr>
            <w:tcW w:w="6594" w:type="dxa"/>
            <w:tcBorders>
              <w:bottom w:val="single" w:sz="4" w:space="0" w:color="A6A6A6" w:themeColor="background1" w:themeShade="A6"/>
            </w:tcBorders>
            <w:shd w:val="clear" w:color="auto" w:fill="F2F2F2" w:themeFill="background1" w:themeFillShade="F2"/>
          </w:tcPr>
          <w:p w14:paraId="4D913B5A" w14:textId="5B436A14" w:rsidR="009D290E" w:rsidRPr="00150CD2" w:rsidRDefault="009D290E" w:rsidP="00C236CD">
            <w:pPr>
              <w:pStyle w:val="EYTableText"/>
              <w:rPr>
                <w:rFonts w:cs="Arial"/>
                <w:b/>
                <w:bCs/>
                <w:sz w:val="24"/>
              </w:rPr>
            </w:pPr>
          </w:p>
        </w:tc>
      </w:tr>
      <w:tr w:rsidR="00FE4528" w:rsidRPr="00150CD2" w14:paraId="4CDC1343" w14:textId="77777777" w:rsidTr="00C236CD">
        <w:tc>
          <w:tcPr>
            <w:tcW w:w="2425" w:type="dxa"/>
            <w:tcBorders>
              <w:top w:val="single" w:sz="4" w:space="0" w:color="A6A6A6" w:themeColor="background1" w:themeShade="A6"/>
              <w:bottom w:val="single" w:sz="4" w:space="0" w:color="A6A6A6" w:themeColor="background1" w:themeShade="A6"/>
            </w:tcBorders>
            <w:tcMar>
              <w:left w:w="216" w:type="dxa"/>
            </w:tcMar>
          </w:tcPr>
          <w:p w14:paraId="5BC41ABC" w14:textId="36D6AF21" w:rsidR="006661EC" w:rsidRPr="00150CD2" w:rsidRDefault="008954E8" w:rsidP="00A4446E">
            <w:pPr>
              <w:pStyle w:val="EYTableText"/>
              <w:rPr>
                <w:rFonts w:cs="Arial"/>
                <w:sz w:val="24"/>
              </w:rPr>
            </w:pPr>
            <w:r w:rsidRPr="00150CD2">
              <w:rPr>
                <w:rFonts w:cs="Arial"/>
                <w:sz w:val="24"/>
              </w:rPr>
              <w:t>Main benefits</w:t>
            </w:r>
          </w:p>
        </w:tc>
        <w:tc>
          <w:tcPr>
            <w:tcW w:w="6594" w:type="dxa"/>
            <w:tcBorders>
              <w:top w:val="single" w:sz="4" w:space="0" w:color="A6A6A6" w:themeColor="background1" w:themeShade="A6"/>
              <w:bottom w:val="single" w:sz="4" w:space="0" w:color="A6A6A6" w:themeColor="background1" w:themeShade="A6"/>
            </w:tcBorders>
          </w:tcPr>
          <w:p w14:paraId="0E46A406" w14:textId="77777777" w:rsidR="008954E8" w:rsidRPr="00150CD2" w:rsidRDefault="008954E8" w:rsidP="006661EC">
            <w:pPr>
              <w:pStyle w:val="EYTableText"/>
              <w:rPr>
                <w:rFonts w:cs="Arial"/>
                <w:sz w:val="24"/>
              </w:rPr>
            </w:pPr>
            <w:r w:rsidRPr="00150CD2">
              <w:rPr>
                <w:rFonts w:cs="Arial"/>
                <w:sz w:val="24"/>
              </w:rPr>
              <w:t>Main benefits (first tier payments) include:</w:t>
            </w:r>
          </w:p>
          <w:p w14:paraId="452240E3" w14:textId="20EF3550" w:rsidR="006661EC" w:rsidRPr="00150CD2" w:rsidRDefault="008954E8" w:rsidP="008954E8">
            <w:pPr>
              <w:pStyle w:val="EYTablebullet1"/>
              <w:rPr>
                <w:rFonts w:cs="Arial"/>
                <w:sz w:val="24"/>
              </w:rPr>
            </w:pPr>
            <w:r w:rsidRPr="00150CD2">
              <w:rPr>
                <w:rFonts w:cs="Arial"/>
                <w:sz w:val="24"/>
              </w:rPr>
              <w:t>Supported Living Payments (a weekly payment for people or carers of people with a health condition, injury or disability that permanently and severely restricts their capacity to work, or who are totally blind)</w:t>
            </w:r>
          </w:p>
          <w:p w14:paraId="2407A9AB" w14:textId="77777777" w:rsidR="008954E8" w:rsidRPr="00150CD2" w:rsidRDefault="008954E8" w:rsidP="008954E8">
            <w:pPr>
              <w:pStyle w:val="EYTablebullet1"/>
              <w:rPr>
                <w:rFonts w:cs="Arial"/>
                <w:sz w:val="24"/>
              </w:rPr>
            </w:pPr>
            <w:r w:rsidRPr="00150CD2">
              <w:rPr>
                <w:rFonts w:cs="Arial"/>
                <w:sz w:val="24"/>
              </w:rPr>
              <w:t>Jobseeker payments</w:t>
            </w:r>
          </w:p>
          <w:p w14:paraId="7ECA856A" w14:textId="0B31CA5E" w:rsidR="008954E8" w:rsidRPr="00150CD2" w:rsidRDefault="008954E8" w:rsidP="008954E8">
            <w:pPr>
              <w:pStyle w:val="EYTablebullet1"/>
              <w:rPr>
                <w:rFonts w:cs="Arial"/>
                <w:sz w:val="24"/>
              </w:rPr>
            </w:pPr>
            <w:r w:rsidRPr="00150CD2">
              <w:rPr>
                <w:rFonts w:cs="Arial"/>
                <w:sz w:val="24"/>
              </w:rPr>
              <w:t>Sole Parent Support payments</w:t>
            </w:r>
          </w:p>
          <w:p w14:paraId="0D428B06" w14:textId="126EB88F" w:rsidR="008954E8" w:rsidRPr="00150CD2" w:rsidRDefault="008954E8" w:rsidP="00C236CD">
            <w:pPr>
              <w:pStyle w:val="EYTablebullet1"/>
              <w:rPr>
                <w:rFonts w:cs="Arial"/>
                <w:sz w:val="24"/>
              </w:rPr>
            </w:pPr>
            <w:r w:rsidRPr="00150CD2">
              <w:rPr>
                <w:rFonts w:cs="Arial"/>
                <w:sz w:val="24"/>
              </w:rPr>
              <w:t>Other types, such as Emergency Benefit and Youth Payment</w:t>
            </w:r>
          </w:p>
        </w:tc>
      </w:tr>
      <w:tr w:rsidR="008954E8" w:rsidRPr="00150CD2" w14:paraId="7ED2DEE3" w14:textId="77777777" w:rsidTr="00FE4528">
        <w:tc>
          <w:tcPr>
            <w:tcW w:w="2425" w:type="dxa"/>
            <w:tcBorders>
              <w:top w:val="single" w:sz="4" w:space="0" w:color="A6A6A6" w:themeColor="background1" w:themeShade="A6"/>
              <w:bottom w:val="single" w:sz="4" w:space="0" w:color="A6A6A6" w:themeColor="background1" w:themeShade="A6"/>
            </w:tcBorders>
            <w:tcMar>
              <w:left w:w="216" w:type="dxa"/>
            </w:tcMar>
          </w:tcPr>
          <w:p w14:paraId="3F7F0CCB" w14:textId="65095C0E" w:rsidR="008954E8" w:rsidRPr="00150CD2" w:rsidRDefault="008954E8" w:rsidP="00A4446E">
            <w:pPr>
              <w:pStyle w:val="EYTableText"/>
              <w:rPr>
                <w:rFonts w:cs="Arial"/>
                <w:sz w:val="24"/>
              </w:rPr>
            </w:pPr>
            <w:r w:rsidRPr="00150CD2">
              <w:rPr>
                <w:rFonts w:cs="Arial"/>
                <w:sz w:val="24"/>
              </w:rPr>
              <w:t>Third-tier MSD support payments</w:t>
            </w:r>
          </w:p>
        </w:tc>
        <w:tc>
          <w:tcPr>
            <w:tcW w:w="6594" w:type="dxa"/>
            <w:tcBorders>
              <w:top w:val="single" w:sz="4" w:space="0" w:color="A6A6A6" w:themeColor="background1" w:themeShade="A6"/>
              <w:bottom w:val="single" w:sz="4" w:space="0" w:color="A6A6A6" w:themeColor="background1" w:themeShade="A6"/>
            </w:tcBorders>
          </w:tcPr>
          <w:p w14:paraId="081A9500" w14:textId="6C40C4ED" w:rsidR="008954E8" w:rsidRPr="00150CD2" w:rsidRDefault="008954E8" w:rsidP="008954E8">
            <w:pPr>
              <w:pStyle w:val="EYTableText"/>
              <w:rPr>
                <w:rFonts w:cs="Arial"/>
                <w:sz w:val="24"/>
              </w:rPr>
            </w:pPr>
            <w:r w:rsidRPr="00150CD2">
              <w:rPr>
                <w:rFonts w:cs="Arial"/>
                <w:sz w:val="24"/>
              </w:rPr>
              <w:t>Third-tier MSD support payments are intended to be one-off support payments, including Special Needs Grants, Benefit advances, Recoverable Assistance Program and Home Help payments.</w:t>
            </w:r>
          </w:p>
        </w:tc>
      </w:tr>
      <w:tr w:rsidR="00FE4528" w:rsidRPr="00150CD2" w14:paraId="0EBE6849" w14:textId="77777777" w:rsidTr="00C236CD">
        <w:tc>
          <w:tcPr>
            <w:tcW w:w="2425" w:type="dxa"/>
            <w:tcBorders>
              <w:top w:val="single" w:sz="4" w:space="0" w:color="A6A6A6" w:themeColor="background1" w:themeShade="A6"/>
              <w:bottom w:val="single" w:sz="4" w:space="0" w:color="A6A6A6" w:themeColor="background1" w:themeShade="A6"/>
            </w:tcBorders>
            <w:tcMar>
              <w:left w:w="216" w:type="dxa"/>
            </w:tcMar>
          </w:tcPr>
          <w:p w14:paraId="31DBC004" w14:textId="77777777" w:rsidR="006661EC" w:rsidRPr="00150CD2" w:rsidRDefault="006661EC" w:rsidP="00C236CD">
            <w:pPr>
              <w:pStyle w:val="EYTableText"/>
              <w:rPr>
                <w:rFonts w:cs="Arial"/>
                <w:sz w:val="24"/>
              </w:rPr>
            </w:pPr>
            <w:r w:rsidRPr="00150CD2">
              <w:rPr>
                <w:rFonts w:cs="Arial"/>
                <w:sz w:val="24"/>
              </w:rPr>
              <w:t>Child Disability Allowance</w:t>
            </w:r>
          </w:p>
        </w:tc>
        <w:tc>
          <w:tcPr>
            <w:tcW w:w="6594" w:type="dxa"/>
            <w:tcBorders>
              <w:top w:val="single" w:sz="4" w:space="0" w:color="A6A6A6" w:themeColor="background1" w:themeShade="A6"/>
              <w:bottom w:val="single" w:sz="4" w:space="0" w:color="A6A6A6" w:themeColor="background1" w:themeShade="A6"/>
            </w:tcBorders>
          </w:tcPr>
          <w:p w14:paraId="566228A7" w14:textId="77777777" w:rsidR="006661EC" w:rsidRPr="00150CD2" w:rsidRDefault="006661EC" w:rsidP="00C236CD">
            <w:pPr>
              <w:pStyle w:val="EYTableText"/>
              <w:rPr>
                <w:rFonts w:cs="Arial"/>
                <w:sz w:val="24"/>
              </w:rPr>
            </w:pPr>
            <w:r w:rsidRPr="00150CD2">
              <w:rPr>
                <w:rFonts w:cs="Arial"/>
                <w:sz w:val="24"/>
              </w:rPr>
              <w:t>Child Disability Allowance is a fortnightly payment made to the main carer of a child or young person with a serious disability. It is paid in recognition of the extra care and attention needed for that child.</w:t>
            </w:r>
          </w:p>
        </w:tc>
      </w:tr>
      <w:tr w:rsidR="00FE4528" w:rsidRPr="00150CD2" w14:paraId="12CBE589" w14:textId="77777777" w:rsidTr="00C236CD">
        <w:tc>
          <w:tcPr>
            <w:tcW w:w="2425" w:type="dxa"/>
            <w:tcBorders>
              <w:top w:val="single" w:sz="4" w:space="0" w:color="A6A6A6" w:themeColor="background1" w:themeShade="A6"/>
              <w:bottom w:val="single" w:sz="4" w:space="0" w:color="A6A6A6" w:themeColor="background1" w:themeShade="A6"/>
            </w:tcBorders>
            <w:tcMar>
              <w:left w:w="216" w:type="dxa"/>
            </w:tcMar>
          </w:tcPr>
          <w:p w14:paraId="39B37549" w14:textId="77777777" w:rsidR="006661EC" w:rsidRPr="00150CD2" w:rsidRDefault="006661EC" w:rsidP="00C236CD">
            <w:pPr>
              <w:pStyle w:val="EYTableText"/>
              <w:rPr>
                <w:rFonts w:cs="Arial"/>
                <w:sz w:val="24"/>
              </w:rPr>
            </w:pPr>
            <w:r w:rsidRPr="00150CD2">
              <w:rPr>
                <w:rFonts w:cs="Arial"/>
                <w:sz w:val="24"/>
              </w:rPr>
              <w:t xml:space="preserve">Disability Allowance </w:t>
            </w:r>
          </w:p>
        </w:tc>
        <w:tc>
          <w:tcPr>
            <w:tcW w:w="6594" w:type="dxa"/>
            <w:tcBorders>
              <w:top w:val="single" w:sz="4" w:space="0" w:color="A6A6A6" w:themeColor="background1" w:themeShade="A6"/>
              <w:bottom w:val="single" w:sz="4" w:space="0" w:color="A6A6A6" w:themeColor="background1" w:themeShade="A6"/>
            </w:tcBorders>
          </w:tcPr>
          <w:p w14:paraId="34A75746" w14:textId="77777777" w:rsidR="006661EC" w:rsidRPr="00150CD2" w:rsidRDefault="006661EC" w:rsidP="00C236CD">
            <w:pPr>
              <w:pStyle w:val="EYTableText"/>
              <w:rPr>
                <w:rFonts w:cs="Arial"/>
                <w:sz w:val="24"/>
              </w:rPr>
            </w:pPr>
            <w:r w:rsidRPr="00150CD2">
              <w:rPr>
                <w:rFonts w:cs="Arial"/>
                <w:sz w:val="24"/>
              </w:rPr>
              <w:t>Disability Allowance is a weekly payment for people who have regular, ongoing costs because of a disability, such as visits to the doctor or hospital, medicines, extra clothing or travel.</w:t>
            </w:r>
          </w:p>
        </w:tc>
      </w:tr>
      <w:tr w:rsidR="00FE4528" w:rsidRPr="00150CD2" w14:paraId="43A09C7A" w14:textId="77777777" w:rsidTr="00C236CD">
        <w:tc>
          <w:tcPr>
            <w:tcW w:w="2425" w:type="dxa"/>
            <w:tcBorders>
              <w:top w:val="single" w:sz="4" w:space="0" w:color="A6A6A6" w:themeColor="background1" w:themeShade="A6"/>
              <w:bottom w:val="single" w:sz="4" w:space="0" w:color="A6A6A6" w:themeColor="background1" w:themeShade="A6"/>
            </w:tcBorders>
            <w:tcMar>
              <w:left w:w="216" w:type="dxa"/>
            </w:tcMar>
          </w:tcPr>
          <w:p w14:paraId="333168BA" w14:textId="77777777" w:rsidR="006661EC" w:rsidRPr="00150CD2" w:rsidRDefault="006661EC" w:rsidP="00C236CD">
            <w:pPr>
              <w:pStyle w:val="EYTableText"/>
              <w:rPr>
                <w:rFonts w:cs="Arial"/>
                <w:sz w:val="24"/>
              </w:rPr>
            </w:pPr>
            <w:r w:rsidRPr="00150CD2">
              <w:rPr>
                <w:rFonts w:cs="Arial"/>
                <w:sz w:val="24"/>
              </w:rPr>
              <w:t>Accommodation Supplement</w:t>
            </w:r>
          </w:p>
        </w:tc>
        <w:tc>
          <w:tcPr>
            <w:tcW w:w="6594" w:type="dxa"/>
            <w:tcBorders>
              <w:top w:val="single" w:sz="4" w:space="0" w:color="A6A6A6" w:themeColor="background1" w:themeShade="A6"/>
              <w:bottom w:val="single" w:sz="4" w:space="0" w:color="A6A6A6" w:themeColor="background1" w:themeShade="A6"/>
            </w:tcBorders>
          </w:tcPr>
          <w:p w14:paraId="098B64A4" w14:textId="77777777" w:rsidR="006661EC" w:rsidRPr="00150CD2" w:rsidRDefault="006661EC" w:rsidP="00C236CD">
            <w:pPr>
              <w:pStyle w:val="EYTableText"/>
              <w:rPr>
                <w:rFonts w:cs="Arial"/>
                <w:sz w:val="24"/>
              </w:rPr>
            </w:pPr>
            <w:r w:rsidRPr="00150CD2">
              <w:rPr>
                <w:rFonts w:cs="Arial"/>
                <w:sz w:val="24"/>
              </w:rPr>
              <w:t xml:space="preserve">Accommodation Supplement is a weekly payment which supports people with their rent, board or the cost of owning a home. </w:t>
            </w:r>
          </w:p>
        </w:tc>
      </w:tr>
      <w:tr w:rsidR="00FE4528" w:rsidRPr="00150CD2" w14:paraId="54A726BA" w14:textId="77777777" w:rsidTr="00C236CD">
        <w:tc>
          <w:tcPr>
            <w:tcW w:w="2425" w:type="dxa"/>
            <w:tcBorders>
              <w:top w:val="single" w:sz="4" w:space="0" w:color="A6A6A6" w:themeColor="background1" w:themeShade="A6"/>
              <w:bottom w:val="single" w:sz="4" w:space="0" w:color="A6A6A6" w:themeColor="background1" w:themeShade="A6"/>
            </w:tcBorders>
            <w:tcMar>
              <w:left w:w="216" w:type="dxa"/>
            </w:tcMar>
          </w:tcPr>
          <w:p w14:paraId="039FD74E" w14:textId="77777777" w:rsidR="006661EC" w:rsidRPr="00150CD2" w:rsidRDefault="006661EC" w:rsidP="00C236CD">
            <w:pPr>
              <w:pStyle w:val="EYTableText"/>
              <w:rPr>
                <w:rFonts w:cs="Arial"/>
                <w:sz w:val="24"/>
              </w:rPr>
            </w:pPr>
            <w:r w:rsidRPr="00150CD2">
              <w:rPr>
                <w:rFonts w:cs="Arial"/>
                <w:sz w:val="24"/>
              </w:rPr>
              <w:t>Temporary Additional Support</w:t>
            </w:r>
          </w:p>
        </w:tc>
        <w:tc>
          <w:tcPr>
            <w:tcW w:w="6594" w:type="dxa"/>
            <w:tcBorders>
              <w:top w:val="single" w:sz="4" w:space="0" w:color="A6A6A6" w:themeColor="background1" w:themeShade="A6"/>
              <w:bottom w:val="single" w:sz="4" w:space="0" w:color="A6A6A6" w:themeColor="background1" w:themeShade="A6"/>
            </w:tcBorders>
          </w:tcPr>
          <w:p w14:paraId="26137CCA" w14:textId="77777777" w:rsidR="006661EC" w:rsidRPr="00150CD2" w:rsidRDefault="006661EC" w:rsidP="00C236CD">
            <w:pPr>
              <w:pStyle w:val="EYTableText"/>
              <w:rPr>
                <w:rFonts w:cs="Arial"/>
                <w:sz w:val="24"/>
              </w:rPr>
            </w:pPr>
            <w:r w:rsidRPr="00150CD2">
              <w:rPr>
                <w:rFonts w:cs="Arial"/>
                <w:sz w:val="24"/>
              </w:rPr>
              <w:t>Temporary Additional Support is a weekly payment which supports people who do not have enough money to cover essential living costs, such as housing-related costs, utilities and food.</w:t>
            </w:r>
          </w:p>
        </w:tc>
      </w:tr>
      <w:tr w:rsidR="00FE4528" w:rsidRPr="00150CD2" w14:paraId="1D4DCF8D" w14:textId="77777777" w:rsidTr="00C236CD">
        <w:tc>
          <w:tcPr>
            <w:tcW w:w="2425" w:type="dxa"/>
            <w:tcBorders>
              <w:top w:val="single" w:sz="4" w:space="0" w:color="A6A6A6" w:themeColor="background1" w:themeShade="A6"/>
              <w:bottom w:val="single" w:sz="4" w:space="0" w:color="auto"/>
            </w:tcBorders>
            <w:tcMar>
              <w:left w:w="216" w:type="dxa"/>
            </w:tcMar>
          </w:tcPr>
          <w:p w14:paraId="2B858324" w14:textId="77777777" w:rsidR="006661EC" w:rsidRPr="00150CD2" w:rsidRDefault="006661EC" w:rsidP="00C236CD">
            <w:pPr>
              <w:pStyle w:val="EYTableText"/>
              <w:rPr>
                <w:rFonts w:cs="Arial"/>
                <w:sz w:val="24"/>
              </w:rPr>
            </w:pPr>
            <w:r w:rsidRPr="00150CD2">
              <w:rPr>
                <w:rFonts w:cs="Arial"/>
                <w:sz w:val="24"/>
              </w:rPr>
              <w:t>Unsupported Child Benefit</w:t>
            </w:r>
          </w:p>
        </w:tc>
        <w:tc>
          <w:tcPr>
            <w:tcW w:w="6594" w:type="dxa"/>
            <w:tcBorders>
              <w:top w:val="single" w:sz="4" w:space="0" w:color="A6A6A6" w:themeColor="background1" w:themeShade="A6"/>
              <w:bottom w:val="single" w:sz="4" w:space="0" w:color="auto"/>
            </w:tcBorders>
          </w:tcPr>
          <w:p w14:paraId="3C04C030" w14:textId="77777777" w:rsidR="006661EC" w:rsidRPr="00150CD2" w:rsidRDefault="006661EC" w:rsidP="00C236CD">
            <w:pPr>
              <w:pStyle w:val="EYTableText"/>
              <w:rPr>
                <w:rFonts w:cs="Arial"/>
                <w:sz w:val="24"/>
              </w:rPr>
            </w:pPr>
            <w:r w:rsidRPr="00150CD2">
              <w:rPr>
                <w:rFonts w:cs="Arial"/>
                <w:sz w:val="24"/>
              </w:rPr>
              <w:t>Unsupported Child Benefit is a fortnightly payment made to the main carer of a child or young person who is not their parent and is expected to be the primary caregiver for a sustained period of time.</w:t>
            </w:r>
          </w:p>
        </w:tc>
      </w:tr>
      <w:tr w:rsidR="00FE4528" w:rsidRPr="00150CD2" w14:paraId="4B04878B" w14:textId="77777777" w:rsidTr="00C236CD">
        <w:tc>
          <w:tcPr>
            <w:tcW w:w="2425" w:type="dxa"/>
            <w:tcBorders>
              <w:bottom w:val="single" w:sz="4" w:space="0" w:color="A6A6A6" w:themeColor="background1" w:themeShade="A6"/>
            </w:tcBorders>
            <w:shd w:val="clear" w:color="auto" w:fill="F2F2F2" w:themeFill="background1" w:themeFillShade="F2"/>
          </w:tcPr>
          <w:p w14:paraId="4D200D18" w14:textId="77777777" w:rsidR="006661EC" w:rsidRPr="00150CD2" w:rsidRDefault="006661EC" w:rsidP="00C236CD">
            <w:pPr>
              <w:pStyle w:val="EYTableText"/>
              <w:rPr>
                <w:rFonts w:cs="Arial"/>
                <w:b/>
                <w:bCs/>
                <w:i/>
                <w:iCs/>
                <w:sz w:val="24"/>
              </w:rPr>
            </w:pPr>
            <w:r w:rsidRPr="00150CD2">
              <w:rPr>
                <w:rFonts w:cs="Arial"/>
                <w:b/>
                <w:bCs/>
                <w:i/>
                <w:iCs/>
                <w:sz w:val="24"/>
              </w:rPr>
              <w:t>Other terms</w:t>
            </w:r>
          </w:p>
        </w:tc>
        <w:tc>
          <w:tcPr>
            <w:tcW w:w="6594" w:type="dxa"/>
            <w:tcBorders>
              <w:bottom w:val="single" w:sz="4" w:space="0" w:color="A6A6A6" w:themeColor="background1" w:themeShade="A6"/>
            </w:tcBorders>
            <w:shd w:val="clear" w:color="auto" w:fill="F2F2F2" w:themeFill="background1" w:themeFillShade="F2"/>
          </w:tcPr>
          <w:p w14:paraId="61A32663" w14:textId="77777777" w:rsidR="006661EC" w:rsidRPr="00150CD2" w:rsidRDefault="006661EC" w:rsidP="00C236CD">
            <w:pPr>
              <w:pStyle w:val="EYTableText"/>
              <w:rPr>
                <w:rFonts w:cs="Arial"/>
                <w:i/>
                <w:iCs/>
                <w:sz w:val="24"/>
              </w:rPr>
            </w:pPr>
          </w:p>
        </w:tc>
      </w:tr>
      <w:tr w:rsidR="00FE4528" w:rsidRPr="00150CD2" w14:paraId="55175AFB" w14:textId="77777777" w:rsidTr="00C236CD">
        <w:tc>
          <w:tcPr>
            <w:tcW w:w="2425" w:type="dxa"/>
            <w:tcBorders>
              <w:top w:val="single" w:sz="4" w:space="0" w:color="A6A6A6" w:themeColor="background1" w:themeShade="A6"/>
              <w:bottom w:val="single" w:sz="4" w:space="0" w:color="A6A6A6" w:themeColor="background1" w:themeShade="A6"/>
            </w:tcBorders>
            <w:tcMar>
              <w:left w:w="216" w:type="dxa"/>
            </w:tcMar>
          </w:tcPr>
          <w:p w14:paraId="07D0C8B3" w14:textId="77777777" w:rsidR="006661EC" w:rsidRPr="00150CD2" w:rsidRDefault="006661EC" w:rsidP="00C236CD">
            <w:pPr>
              <w:pStyle w:val="EYTableText"/>
              <w:rPr>
                <w:rFonts w:cs="Arial"/>
                <w:sz w:val="24"/>
              </w:rPr>
            </w:pPr>
            <w:r w:rsidRPr="00150CD2">
              <w:rPr>
                <w:rFonts w:cs="Arial"/>
                <w:sz w:val="24"/>
              </w:rPr>
              <w:t>Ambulatory sensitive hospitalisations</w:t>
            </w:r>
          </w:p>
        </w:tc>
        <w:tc>
          <w:tcPr>
            <w:tcW w:w="6594" w:type="dxa"/>
            <w:tcBorders>
              <w:top w:val="single" w:sz="4" w:space="0" w:color="A6A6A6" w:themeColor="background1" w:themeShade="A6"/>
              <w:bottom w:val="single" w:sz="4" w:space="0" w:color="A6A6A6" w:themeColor="background1" w:themeShade="A6"/>
            </w:tcBorders>
          </w:tcPr>
          <w:p w14:paraId="6FB02F66" w14:textId="458BE5A4" w:rsidR="006661EC" w:rsidRPr="00150CD2" w:rsidRDefault="006661EC" w:rsidP="00C236CD">
            <w:pPr>
              <w:pStyle w:val="EYTableText"/>
              <w:rPr>
                <w:rFonts w:cs="Arial"/>
                <w:sz w:val="24"/>
              </w:rPr>
            </w:pPr>
            <w:r w:rsidRPr="00150CD2">
              <w:rPr>
                <w:rFonts w:cs="Arial"/>
                <w:sz w:val="24"/>
              </w:rPr>
              <w:t xml:space="preserve">Ambulatory sensitive hospitalisations (ASHs) are mostly acute admissions to hospital that are considered potentially reducible through appropriate interventions and care deliverable in a primary care setting. Examples include hospitalisations relating to conditions such as angina, </w:t>
            </w:r>
            <w:r w:rsidR="00AA60F9" w:rsidRPr="00150CD2">
              <w:rPr>
                <w:rFonts w:cs="Arial"/>
                <w:sz w:val="24"/>
              </w:rPr>
              <w:t>cellulitis/skin infections, asthma, gastroenteritis, chronic obstructive pulmonary disease (COPD),</w:t>
            </w:r>
            <w:r w:rsidRPr="00150CD2">
              <w:rPr>
                <w:rFonts w:cs="Arial"/>
                <w:sz w:val="24"/>
              </w:rPr>
              <w:t xml:space="preserve"> congestive heart failure, diabetes and pneumonia.</w:t>
            </w:r>
          </w:p>
        </w:tc>
      </w:tr>
      <w:tr w:rsidR="00FE4528" w:rsidRPr="00150CD2" w14:paraId="06971961" w14:textId="77777777" w:rsidTr="00C236CD">
        <w:tc>
          <w:tcPr>
            <w:tcW w:w="2425" w:type="dxa"/>
            <w:tcBorders>
              <w:top w:val="single" w:sz="4" w:space="0" w:color="A6A6A6" w:themeColor="background1" w:themeShade="A6"/>
              <w:bottom w:val="single" w:sz="4" w:space="0" w:color="A6A6A6" w:themeColor="background1" w:themeShade="A6"/>
            </w:tcBorders>
            <w:tcMar>
              <w:left w:w="216" w:type="dxa"/>
            </w:tcMar>
          </w:tcPr>
          <w:p w14:paraId="7C0A43FE" w14:textId="77777777" w:rsidR="006661EC" w:rsidRPr="00150CD2" w:rsidRDefault="006661EC" w:rsidP="00C236CD">
            <w:pPr>
              <w:pStyle w:val="EYTableText"/>
              <w:rPr>
                <w:rFonts w:cs="Arial"/>
                <w:sz w:val="24"/>
              </w:rPr>
            </w:pPr>
            <w:r w:rsidRPr="00150CD2">
              <w:rPr>
                <w:rFonts w:cs="Arial"/>
                <w:sz w:val="24"/>
              </w:rPr>
              <w:t>B4 School Check</w:t>
            </w:r>
          </w:p>
        </w:tc>
        <w:tc>
          <w:tcPr>
            <w:tcW w:w="6594" w:type="dxa"/>
            <w:tcBorders>
              <w:top w:val="single" w:sz="4" w:space="0" w:color="A6A6A6" w:themeColor="background1" w:themeShade="A6"/>
              <w:bottom w:val="single" w:sz="4" w:space="0" w:color="A6A6A6" w:themeColor="background1" w:themeShade="A6"/>
            </w:tcBorders>
          </w:tcPr>
          <w:p w14:paraId="30DF6E4C" w14:textId="77777777" w:rsidR="006661EC" w:rsidRPr="00150CD2" w:rsidRDefault="006661EC" w:rsidP="00C236CD">
            <w:pPr>
              <w:pStyle w:val="EYTableText"/>
              <w:rPr>
                <w:rFonts w:cs="Arial"/>
                <w:sz w:val="24"/>
              </w:rPr>
            </w:pPr>
            <w:r w:rsidRPr="00150CD2">
              <w:rPr>
                <w:rFonts w:cs="Arial"/>
                <w:sz w:val="24"/>
              </w:rPr>
              <w:t>The B4 School Check (B4SC) is a free health and development check for all 4 year olds which is typically completed prior to children commencing school. Key areas included in the check are vision, hearing and dental health, height and weight, along with questions around learning and development, strengths and difficulties.</w:t>
            </w:r>
          </w:p>
        </w:tc>
      </w:tr>
      <w:tr w:rsidR="006661EC" w:rsidRPr="00150CD2" w14:paraId="01C69AA2" w14:textId="77777777" w:rsidTr="00C236CD">
        <w:tc>
          <w:tcPr>
            <w:tcW w:w="2425" w:type="dxa"/>
            <w:tcBorders>
              <w:top w:val="single" w:sz="4" w:space="0" w:color="A6A6A6" w:themeColor="background1" w:themeShade="A6"/>
              <w:bottom w:val="single" w:sz="4" w:space="0" w:color="A6A6A6" w:themeColor="background1" w:themeShade="A6"/>
            </w:tcBorders>
            <w:tcMar>
              <w:left w:w="216" w:type="dxa"/>
            </w:tcMar>
          </w:tcPr>
          <w:p w14:paraId="39803768" w14:textId="501FC39A" w:rsidR="006661EC" w:rsidRPr="00150CD2" w:rsidRDefault="006661EC" w:rsidP="006661EC">
            <w:pPr>
              <w:pStyle w:val="EYTableText"/>
              <w:rPr>
                <w:rFonts w:cs="Arial"/>
                <w:sz w:val="24"/>
              </w:rPr>
            </w:pPr>
            <w:r w:rsidRPr="00150CD2">
              <w:rPr>
                <w:rFonts w:cs="Arial"/>
                <w:sz w:val="24"/>
              </w:rPr>
              <w:t>Chronic conditions</w:t>
            </w:r>
          </w:p>
        </w:tc>
        <w:tc>
          <w:tcPr>
            <w:tcW w:w="6594" w:type="dxa"/>
            <w:tcBorders>
              <w:top w:val="single" w:sz="4" w:space="0" w:color="A6A6A6" w:themeColor="background1" w:themeShade="A6"/>
              <w:bottom w:val="single" w:sz="4" w:space="0" w:color="A6A6A6" w:themeColor="background1" w:themeShade="A6"/>
            </w:tcBorders>
          </w:tcPr>
          <w:p w14:paraId="06DA5A4B" w14:textId="0E8DE5C8" w:rsidR="00FE4528" w:rsidRPr="00150CD2" w:rsidRDefault="006661EC" w:rsidP="006661EC">
            <w:pPr>
              <w:pStyle w:val="EYTableText"/>
              <w:rPr>
                <w:rFonts w:cs="Arial"/>
                <w:sz w:val="24"/>
              </w:rPr>
            </w:pPr>
            <w:r w:rsidRPr="00150CD2">
              <w:rPr>
                <w:rFonts w:cs="Arial"/>
                <w:sz w:val="24"/>
              </w:rPr>
              <w:t>Chronic conditions described in this report refer to eight major chronic conditions/significant health events identified by the Ministry</w:t>
            </w:r>
            <w:r w:rsidR="00FE4528" w:rsidRPr="00150CD2">
              <w:rPr>
                <w:rFonts w:cs="Arial"/>
                <w:sz w:val="24"/>
              </w:rPr>
              <w:t xml:space="preserve">: </w:t>
            </w:r>
            <w:r w:rsidRPr="00150CD2">
              <w:rPr>
                <w:rFonts w:cs="Arial"/>
                <w:sz w:val="24"/>
              </w:rPr>
              <w:t>coronary heart disease, gout, chronic obstructive pulmonary disease, diabetes, cancer, stroke, traumatic brain injury and acute myocardial infarction</w:t>
            </w:r>
            <w:r w:rsidR="00FE4528" w:rsidRPr="00150CD2">
              <w:rPr>
                <w:rFonts w:cs="Arial"/>
                <w:sz w:val="24"/>
              </w:rPr>
              <w:t>.</w:t>
            </w:r>
          </w:p>
        </w:tc>
      </w:tr>
      <w:tr w:rsidR="00FE4528" w:rsidRPr="00150CD2" w14:paraId="675F0E5B" w14:textId="77777777" w:rsidTr="00C236CD">
        <w:tc>
          <w:tcPr>
            <w:tcW w:w="2425" w:type="dxa"/>
            <w:tcBorders>
              <w:top w:val="single" w:sz="4" w:space="0" w:color="A6A6A6" w:themeColor="background1" w:themeShade="A6"/>
              <w:bottom w:val="single" w:sz="4" w:space="0" w:color="A6A6A6" w:themeColor="background1" w:themeShade="A6"/>
            </w:tcBorders>
            <w:tcMar>
              <w:left w:w="216" w:type="dxa"/>
            </w:tcMar>
          </w:tcPr>
          <w:p w14:paraId="6DB54174" w14:textId="77777777" w:rsidR="006661EC" w:rsidRPr="00150CD2" w:rsidRDefault="006661EC" w:rsidP="00C236CD">
            <w:pPr>
              <w:pStyle w:val="EYTableText"/>
              <w:rPr>
                <w:rFonts w:cs="Arial"/>
                <w:sz w:val="24"/>
              </w:rPr>
            </w:pPr>
            <w:r w:rsidRPr="00150CD2">
              <w:rPr>
                <w:rFonts w:cs="Arial"/>
                <w:sz w:val="24"/>
              </w:rPr>
              <w:t>Integrated Data Infrastructure</w:t>
            </w:r>
          </w:p>
        </w:tc>
        <w:tc>
          <w:tcPr>
            <w:tcW w:w="6594" w:type="dxa"/>
            <w:tcBorders>
              <w:top w:val="single" w:sz="4" w:space="0" w:color="A6A6A6" w:themeColor="background1" w:themeShade="A6"/>
              <w:bottom w:val="single" w:sz="4" w:space="0" w:color="A6A6A6" w:themeColor="background1" w:themeShade="A6"/>
            </w:tcBorders>
          </w:tcPr>
          <w:p w14:paraId="5D9CE737" w14:textId="77777777" w:rsidR="006661EC" w:rsidRPr="00150CD2" w:rsidRDefault="006661EC" w:rsidP="00C236CD">
            <w:pPr>
              <w:pStyle w:val="EYTableText"/>
              <w:rPr>
                <w:rFonts w:cs="Arial"/>
                <w:sz w:val="24"/>
              </w:rPr>
            </w:pPr>
            <w:r w:rsidRPr="00150CD2">
              <w:rPr>
                <w:rFonts w:cs="Arial"/>
                <w:sz w:val="24"/>
              </w:rPr>
              <w:t>Statistics NZ’s Integrated Data Infrastructure (IDI) is a linked longitudinal dataset that combines unit-record administrative information from a range of agencies and organisations. The IDI is maintained by Statistics New Zealand under strict privacy and confidentiality protocols.</w:t>
            </w:r>
          </w:p>
        </w:tc>
      </w:tr>
      <w:tr w:rsidR="00A224BB" w:rsidRPr="00150CD2" w14:paraId="36D7A458" w14:textId="77777777" w:rsidTr="00FE4528">
        <w:tc>
          <w:tcPr>
            <w:tcW w:w="2425" w:type="dxa"/>
            <w:tcBorders>
              <w:top w:val="single" w:sz="4" w:space="0" w:color="A6A6A6" w:themeColor="background1" w:themeShade="A6"/>
              <w:bottom w:val="single" w:sz="4" w:space="0" w:color="A6A6A6" w:themeColor="background1" w:themeShade="A6"/>
            </w:tcBorders>
            <w:tcMar>
              <w:left w:w="216" w:type="dxa"/>
            </w:tcMar>
          </w:tcPr>
          <w:p w14:paraId="2F56427C" w14:textId="3B709643" w:rsidR="00A224BB" w:rsidRPr="00150CD2" w:rsidRDefault="00A224BB" w:rsidP="00A224BB">
            <w:pPr>
              <w:pStyle w:val="EYTableText"/>
              <w:rPr>
                <w:rFonts w:cs="Arial"/>
                <w:sz w:val="24"/>
              </w:rPr>
            </w:pPr>
            <w:r w:rsidRPr="00150CD2">
              <w:rPr>
                <w:rFonts w:cs="Arial"/>
                <w:sz w:val="24"/>
              </w:rPr>
              <w:t>MidCentral</w:t>
            </w:r>
          </w:p>
        </w:tc>
        <w:tc>
          <w:tcPr>
            <w:tcW w:w="6594" w:type="dxa"/>
            <w:tcBorders>
              <w:top w:val="single" w:sz="4" w:space="0" w:color="A6A6A6" w:themeColor="background1" w:themeShade="A6"/>
              <w:bottom w:val="single" w:sz="4" w:space="0" w:color="A6A6A6" w:themeColor="background1" w:themeShade="A6"/>
            </w:tcBorders>
          </w:tcPr>
          <w:p w14:paraId="1B41654B" w14:textId="69416267" w:rsidR="00A224BB" w:rsidRPr="00150CD2" w:rsidRDefault="00A224BB" w:rsidP="00A224BB">
            <w:pPr>
              <w:pStyle w:val="EYTableText"/>
              <w:rPr>
                <w:rFonts w:cs="Arial"/>
                <w:sz w:val="24"/>
              </w:rPr>
            </w:pPr>
            <w:r w:rsidRPr="00150CD2">
              <w:rPr>
                <w:rFonts w:cs="Arial"/>
                <w:sz w:val="24"/>
              </w:rPr>
              <w:t>MidCentral DHB region, which includes the following districts: Horowhenua, Manawatu, Palmerston North city, Tararua, and the Otaki ward of the Kapiti Coast district.</w:t>
            </w:r>
          </w:p>
        </w:tc>
      </w:tr>
      <w:tr w:rsidR="00A224BB" w:rsidRPr="00150CD2" w14:paraId="1FED35B6" w14:textId="77777777" w:rsidTr="00FE4528">
        <w:tc>
          <w:tcPr>
            <w:tcW w:w="2425" w:type="dxa"/>
            <w:tcBorders>
              <w:top w:val="single" w:sz="4" w:space="0" w:color="A6A6A6" w:themeColor="background1" w:themeShade="A6"/>
              <w:bottom w:val="single" w:sz="4" w:space="0" w:color="A6A6A6" w:themeColor="background1" w:themeShade="A6"/>
            </w:tcBorders>
            <w:tcMar>
              <w:left w:w="216" w:type="dxa"/>
            </w:tcMar>
          </w:tcPr>
          <w:p w14:paraId="0FC22A21" w14:textId="171C912B" w:rsidR="00A224BB" w:rsidRPr="00150CD2" w:rsidRDefault="00A224BB" w:rsidP="00A224BB">
            <w:pPr>
              <w:pStyle w:val="EYTableText"/>
              <w:rPr>
                <w:rFonts w:cs="Arial"/>
                <w:sz w:val="24"/>
              </w:rPr>
            </w:pPr>
            <w:r w:rsidRPr="00150CD2">
              <w:rPr>
                <w:rFonts w:cs="Arial"/>
                <w:sz w:val="24"/>
              </w:rPr>
              <w:t>MidCentral DSS people</w:t>
            </w:r>
          </w:p>
        </w:tc>
        <w:tc>
          <w:tcPr>
            <w:tcW w:w="6594" w:type="dxa"/>
            <w:tcBorders>
              <w:top w:val="single" w:sz="4" w:space="0" w:color="A6A6A6" w:themeColor="background1" w:themeShade="A6"/>
              <w:bottom w:val="single" w:sz="4" w:space="0" w:color="A6A6A6" w:themeColor="background1" w:themeShade="A6"/>
            </w:tcBorders>
          </w:tcPr>
          <w:p w14:paraId="26D6F7CD" w14:textId="30CBD6AA" w:rsidR="00A224BB" w:rsidRPr="00150CD2" w:rsidRDefault="00A224BB" w:rsidP="00A224BB">
            <w:pPr>
              <w:pStyle w:val="EYTableText"/>
              <w:rPr>
                <w:rFonts w:cs="Arial"/>
                <w:sz w:val="24"/>
              </w:rPr>
            </w:pPr>
            <w:r w:rsidRPr="00150CD2">
              <w:rPr>
                <w:rFonts w:cs="Arial"/>
                <w:sz w:val="24"/>
              </w:rPr>
              <w:t>People living in the MidCentral area who are DSS clients.</w:t>
            </w:r>
          </w:p>
        </w:tc>
      </w:tr>
      <w:tr w:rsidR="00FE4528" w:rsidRPr="00150CD2" w14:paraId="3C3A98EE" w14:textId="77777777" w:rsidTr="00C236CD">
        <w:tc>
          <w:tcPr>
            <w:tcW w:w="2425" w:type="dxa"/>
            <w:tcBorders>
              <w:top w:val="single" w:sz="4" w:space="0" w:color="A6A6A6" w:themeColor="background1" w:themeShade="A6"/>
              <w:bottom w:val="single" w:sz="4" w:space="0" w:color="A6A6A6" w:themeColor="background1" w:themeShade="A6"/>
            </w:tcBorders>
            <w:tcMar>
              <w:left w:w="216" w:type="dxa"/>
            </w:tcMar>
          </w:tcPr>
          <w:p w14:paraId="44B6B00B" w14:textId="77777777" w:rsidR="006661EC" w:rsidRPr="00150CD2" w:rsidRDefault="006661EC" w:rsidP="00C236CD">
            <w:pPr>
              <w:pStyle w:val="EYTableText"/>
              <w:rPr>
                <w:rFonts w:cs="Arial"/>
                <w:sz w:val="24"/>
              </w:rPr>
            </w:pPr>
            <w:r w:rsidRPr="00150CD2">
              <w:rPr>
                <w:rFonts w:cs="Arial"/>
                <w:sz w:val="24"/>
              </w:rPr>
              <w:t>Ongoing Resourcing Scheme</w:t>
            </w:r>
          </w:p>
        </w:tc>
        <w:tc>
          <w:tcPr>
            <w:tcW w:w="6594" w:type="dxa"/>
            <w:tcBorders>
              <w:top w:val="single" w:sz="4" w:space="0" w:color="A6A6A6" w:themeColor="background1" w:themeShade="A6"/>
              <w:bottom w:val="single" w:sz="4" w:space="0" w:color="A6A6A6" w:themeColor="background1" w:themeShade="A6"/>
            </w:tcBorders>
          </w:tcPr>
          <w:p w14:paraId="2F8C80EC" w14:textId="77777777" w:rsidR="006661EC" w:rsidRPr="00150CD2" w:rsidRDefault="006661EC" w:rsidP="00C236CD">
            <w:pPr>
              <w:pStyle w:val="EYTableText"/>
              <w:rPr>
                <w:rFonts w:cs="Arial"/>
                <w:sz w:val="24"/>
              </w:rPr>
            </w:pPr>
            <w:r w:rsidRPr="00150CD2">
              <w:rPr>
                <w:rFonts w:cs="Arial"/>
                <w:sz w:val="24"/>
              </w:rPr>
              <w:t xml:space="preserve">Ministry of Education’s Ongoing Resourcing Scheme (ORS) funding is for students who have the highest ongoing levels of need for specialist support at school. ORS support helps students to join in and learn alongside other students at school. Any student who meets the ORS criteria is included in the scheme. Once a student is in ORS, their funding and support stays with them throughout their time at school. ORS funding and resources are considered to be a contribution to supporting a student’s schooling. </w:t>
            </w:r>
          </w:p>
        </w:tc>
      </w:tr>
      <w:tr w:rsidR="00A224BB" w:rsidRPr="00150CD2" w14:paraId="26B211B4" w14:textId="77777777" w:rsidTr="00DC0A63">
        <w:tc>
          <w:tcPr>
            <w:tcW w:w="2425" w:type="dxa"/>
            <w:tcBorders>
              <w:top w:val="single" w:sz="4" w:space="0" w:color="A6A6A6" w:themeColor="background1" w:themeShade="A6"/>
              <w:bottom w:val="single" w:sz="4" w:space="0" w:color="A6A6A6" w:themeColor="background1" w:themeShade="A6"/>
            </w:tcBorders>
            <w:tcMar>
              <w:left w:w="216" w:type="dxa"/>
            </w:tcMar>
          </w:tcPr>
          <w:p w14:paraId="5112C5AA" w14:textId="6C1ED2B8" w:rsidR="00A224BB" w:rsidRPr="00150CD2" w:rsidRDefault="00A224BB" w:rsidP="00A224BB">
            <w:pPr>
              <w:pStyle w:val="EYTableText"/>
              <w:rPr>
                <w:rFonts w:cs="Arial"/>
                <w:sz w:val="24"/>
              </w:rPr>
            </w:pPr>
            <w:r w:rsidRPr="00150CD2">
              <w:rPr>
                <w:rFonts w:cs="Arial"/>
                <w:sz w:val="24"/>
              </w:rPr>
              <w:t>Other DSS people</w:t>
            </w:r>
          </w:p>
        </w:tc>
        <w:tc>
          <w:tcPr>
            <w:tcW w:w="6594" w:type="dxa"/>
            <w:tcBorders>
              <w:top w:val="single" w:sz="4" w:space="0" w:color="A6A6A6" w:themeColor="background1" w:themeShade="A6"/>
              <w:bottom w:val="single" w:sz="4" w:space="0" w:color="A6A6A6" w:themeColor="background1" w:themeShade="A6"/>
            </w:tcBorders>
          </w:tcPr>
          <w:p w14:paraId="5835E57F" w14:textId="7586CE48" w:rsidR="00A224BB" w:rsidRPr="00150CD2" w:rsidRDefault="00A224BB" w:rsidP="00A224BB">
            <w:pPr>
              <w:pStyle w:val="EYTableText"/>
              <w:rPr>
                <w:rFonts w:cs="Arial"/>
                <w:sz w:val="24"/>
              </w:rPr>
            </w:pPr>
            <w:r w:rsidRPr="00150CD2">
              <w:rPr>
                <w:rFonts w:cs="Arial"/>
                <w:sz w:val="24"/>
              </w:rPr>
              <w:t>People living outside the MidCentral area (rest of New Zealand) who are DSS clients.</w:t>
            </w:r>
          </w:p>
        </w:tc>
      </w:tr>
      <w:tr w:rsidR="00A224BB" w:rsidRPr="00150CD2" w14:paraId="3DC5310B" w14:textId="77777777" w:rsidTr="00DC0A63">
        <w:tc>
          <w:tcPr>
            <w:tcW w:w="2425" w:type="dxa"/>
            <w:tcBorders>
              <w:top w:val="single" w:sz="4" w:space="0" w:color="A6A6A6" w:themeColor="background1" w:themeShade="A6"/>
              <w:bottom w:val="single" w:sz="4" w:space="0" w:color="auto"/>
            </w:tcBorders>
            <w:tcMar>
              <w:left w:w="216" w:type="dxa"/>
            </w:tcMar>
          </w:tcPr>
          <w:p w14:paraId="3DAB8AD9" w14:textId="4FA4A0A8" w:rsidR="00A224BB" w:rsidRPr="00150CD2" w:rsidRDefault="00A224BB" w:rsidP="00A224BB">
            <w:pPr>
              <w:pStyle w:val="EYTableText"/>
              <w:rPr>
                <w:rFonts w:cs="Arial"/>
                <w:sz w:val="24"/>
              </w:rPr>
            </w:pPr>
            <w:r w:rsidRPr="00150CD2">
              <w:rPr>
                <w:rFonts w:cs="Arial"/>
                <w:sz w:val="24"/>
              </w:rPr>
              <w:t>Other MidCentral people</w:t>
            </w:r>
          </w:p>
        </w:tc>
        <w:tc>
          <w:tcPr>
            <w:tcW w:w="6594" w:type="dxa"/>
            <w:tcBorders>
              <w:top w:val="single" w:sz="4" w:space="0" w:color="A6A6A6" w:themeColor="background1" w:themeShade="A6"/>
              <w:bottom w:val="single" w:sz="4" w:space="0" w:color="auto"/>
            </w:tcBorders>
          </w:tcPr>
          <w:p w14:paraId="78FA84CA" w14:textId="79B43AA6" w:rsidR="00A224BB" w:rsidRPr="00150CD2" w:rsidRDefault="00A224BB" w:rsidP="00A224BB">
            <w:pPr>
              <w:pStyle w:val="EYTableText"/>
              <w:rPr>
                <w:rFonts w:cs="Arial"/>
                <w:sz w:val="24"/>
              </w:rPr>
            </w:pPr>
            <w:r w:rsidRPr="00150CD2">
              <w:rPr>
                <w:rFonts w:cs="Arial"/>
                <w:sz w:val="24"/>
              </w:rPr>
              <w:t>People living in the MidCentral area who are not DSS clients.</w:t>
            </w:r>
          </w:p>
        </w:tc>
      </w:tr>
    </w:tbl>
    <w:p w14:paraId="64B20A7B" w14:textId="77777777" w:rsidR="00FF642F" w:rsidRPr="00150CD2" w:rsidRDefault="00FF642F">
      <w:pPr>
        <w:autoSpaceDE/>
        <w:autoSpaceDN/>
        <w:adjustRightInd/>
        <w:rPr>
          <w:rFonts w:cs="Arial"/>
        </w:rPr>
      </w:pPr>
      <w:r w:rsidRPr="00150CD2">
        <w:rPr>
          <w:rFonts w:cs="Arial"/>
        </w:rPr>
        <w:br w:type="page"/>
      </w:r>
    </w:p>
    <w:p w14:paraId="6D96E482" w14:textId="6CE50939" w:rsidR="00037510" w:rsidRPr="00150CD2" w:rsidRDefault="00037510" w:rsidP="00037510">
      <w:pPr>
        <w:pStyle w:val="EYAppendix"/>
        <w:rPr>
          <w:rFonts w:cs="Arial"/>
        </w:rPr>
      </w:pPr>
      <w:bookmarkStart w:id="179" w:name="_Toc44490378"/>
      <w:bookmarkStart w:id="180" w:name="_Toc44554961"/>
      <w:bookmarkStart w:id="181" w:name="_Toc45101040"/>
      <w:bookmarkStart w:id="182" w:name="_Toc45141356"/>
      <w:bookmarkStart w:id="183" w:name="_Toc45413328"/>
      <w:bookmarkStart w:id="184" w:name="_Toc45526287"/>
      <w:bookmarkStart w:id="185" w:name="_Toc45786868"/>
      <w:bookmarkStart w:id="186" w:name="_Toc45794264"/>
      <w:bookmarkStart w:id="187" w:name="_Toc45820122"/>
      <w:bookmarkStart w:id="188" w:name="_Toc46356315"/>
      <w:bookmarkStart w:id="189" w:name="_Ref44353373"/>
      <w:bookmarkStart w:id="190" w:name="_Ref44353599"/>
      <w:bookmarkStart w:id="191" w:name="_Toc46365154"/>
      <w:bookmarkStart w:id="192" w:name="_Toc48752372"/>
      <w:bookmarkEnd w:id="179"/>
      <w:bookmarkEnd w:id="180"/>
      <w:bookmarkEnd w:id="181"/>
      <w:bookmarkEnd w:id="182"/>
      <w:bookmarkEnd w:id="183"/>
      <w:bookmarkEnd w:id="184"/>
      <w:bookmarkEnd w:id="185"/>
      <w:bookmarkEnd w:id="186"/>
      <w:bookmarkEnd w:id="187"/>
      <w:bookmarkEnd w:id="188"/>
      <w:r w:rsidRPr="00150CD2">
        <w:rPr>
          <w:rFonts w:cs="Arial"/>
        </w:rPr>
        <w:t xml:space="preserve">Considerations </w:t>
      </w:r>
      <w:r w:rsidR="00830260" w:rsidRPr="00150CD2">
        <w:rPr>
          <w:rFonts w:cs="Arial"/>
        </w:rPr>
        <w:t>with the use of administrative data</w:t>
      </w:r>
      <w:bookmarkEnd w:id="189"/>
      <w:bookmarkEnd w:id="190"/>
      <w:bookmarkEnd w:id="191"/>
      <w:bookmarkEnd w:id="192"/>
    </w:p>
    <w:p w14:paraId="30F21159" w14:textId="4E939D07" w:rsidR="00EA33D3" w:rsidRPr="00150CD2" w:rsidRDefault="00EA33D3" w:rsidP="00D1176D">
      <w:pPr>
        <w:pStyle w:val="EYBodytextwithparaspace"/>
        <w:spacing w:after="120"/>
        <w:rPr>
          <w:rFonts w:cs="Arial"/>
          <w:b/>
          <w:bCs/>
          <w:color w:val="000000"/>
          <w:lang w:eastAsia="en-AU"/>
        </w:rPr>
      </w:pPr>
      <w:r w:rsidRPr="00150CD2">
        <w:rPr>
          <w:rFonts w:cs="Arial"/>
          <w:b/>
          <w:bCs/>
          <w:color w:val="000000"/>
          <w:lang w:eastAsia="en-AU"/>
        </w:rPr>
        <w:t>DSS clients and the disabled population</w:t>
      </w:r>
    </w:p>
    <w:p w14:paraId="186EE1CC" w14:textId="488CE393" w:rsidR="004F2573" w:rsidRPr="00150CD2" w:rsidRDefault="004F2573" w:rsidP="00830260">
      <w:pPr>
        <w:pStyle w:val="EYBodytextwithparaspace"/>
        <w:rPr>
          <w:rFonts w:cs="Arial"/>
        </w:rPr>
      </w:pPr>
      <w:r w:rsidRPr="00150CD2">
        <w:rPr>
          <w:rFonts w:cs="Arial"/>
        </w:rPr>
        <w:t xml:space="preserve">This report has focused on service usage and outcomes indicators for </w:t>
      </w:r>
      <w:r w:rsidR="00EA33D3" w:rsidRPr="00150CD2">
        <w:rPr>
          <w:rFonts w:cs="Arial"/>
        </w:rPr>
        <w:t>people currently or previously allocated DSS funding</w:t>
      </w:r>
      <w:r w:rsidRPr="00150CD2">
        <w:rPr>
          <w:rFonts w:cs="Arial"/>
        </w:rPr>
        <w:t xml:space="preserve">. It is important to acknowledge that there are different definitions of disability in use by agencies, organisations and communities </w:t>
      </w:r>
      <w:r w:rsidR="00281B85" w:rsidRPr="00150CD2">
        <w:rPr>
          <w:rFonts w:cs="Arial"/>
        </w:rPr>
        <w:t xml:space="preserve">and across population surveys, </w:t>
      </w:r>
      <w:r w:rsidRPr="00150CD2">
        <w:rPr>
          <w:rFonts w:cs="Arial"/>
        </w:rPr>
        <w:t xml:space="preserve">and that the disabled population in New Zealand is broader than the population of current and previous DSS clients. </w:t>
      </w:r>
      <w:r w:rsidR="00EA33D3" w:rsidRPr="00150CD2">
        <w:rPr>
          <w:rFonts w:cs="Arial"/>
        </w:rPr>
        <w:t>The findings in this report should be interpreted as being specific to DSS clients rather than the broader NZ disabled population, who have different characteristics and needs profiles and who may not access services to the same extent as the DSS client group.</w:t>
      </w:r>
    </w:p>
    <w:p w14:paraId="654ED996" w14:textId="77777777" w:rsidR="00704FFC" w:rsidRPr="00150CD2" w:rsidRDefault="00704FFC" w:rsidP="00704FFC">
      <w:pPr>
        <w:pStyle w:val="EYBodytextwithparaspace"/>
        <w:spacing w:after="120"/>
        <w:rPr>
          <w:rFonts w:cs="Arial"/>
          <w:b/>
          <w:bCs/>
          <w:color w:val="000000"/>
          <w:lang w:eastAsia="en-AU"/>
        </w:rPr>
      </w:pPr>
      <w:r w:rsidRPr="00150CD2">
        <w:rPr>
          <w:rFonts w:cs="Arial"/>
          <w:b/>
          <w:bCs/>
          <w:color w:val="000000"/>
          <w:lang w:eastAsia="en-AU"/>
        </w:rPr>
        <w:t>Child to parent/caregiver links and partner relationships</w:t>
      </w:r>
    </w:p>
    <w:p w14:paraId="1CFE303A" w14:textId="4CDEDDFA" w:rsidR="00704FFC" w:rsidRPr="00150CD2" w:rsidRDefault="00704FFC" w:rsidP="00704FFC">
      <w:pPr>
        <w:pStyle w:val="EYBodytextwithparaspace"/>
        <w:rPr>
          <w:rFonts w:cs="Arial"/>
        </w:rPr>
      </w:pPr>
      <w:r w:rsidRPr="00150CD2">
        <w:rPr>
          <w:rFonts w:cs="Arial"/>
        </w:rPr>
        <w:t xml:space="preserve">Administrative data on child to parent/caregiver links and partner relationships is subject to known limitations around the reliability and coverage of relationship records, as well as providing only a limited representation of the complex and dynamic reality of family/household relationships. Census 2013 data has also been used to identify </w:t>
      </w:r>
      <w:r w:rsidR="003408B5" w:rsidRPr="00150CD2">
        <w:rPr>
          <w:rFonts w:cs="Arial"/>
        </w:rPr>
        <w:t>relationships;</w:t>
      </w:r>
      <w:r w:rsidRPr="00150CD2">
        <w:rPr>
          <w:rFonts w:cs="Arial"/>
        </w:rPr>
        <w:t xml:space="preserve"> however this will not capture more recent changes in family units. As a result observations should be treated as estimates and care taken in interpretation. Considerations include:</w:t>
      </w:r>
    </w:p>
    <w:p w14:paraId="5E8CE7A7" w14:textId="3B5ACA3B" w:rsidR="00704FFC" w:rsidRPr="00150CD2" w:rsidRDefault="00704FFC" w:rsidP="00704FFC">
      <w:pPr>
        <w:pStyle w:val="EYBulletedText1"/>
        <w:rPr>
          <w:rFonts w:cs="Arial"/>
        </w:rPr>
      </w:pPr>
      <w:r w:rsidRPr="00150CD2">
        <w:rPr>
          <w:rFonts w:cs="Arial"/>
        </w:rPr>
        <w:t>Informal and unreported relationships may not be reflected in administrative data. For example, people who are recorded as not having a partner may be in relationships.</w:t>
      </w:r>
    </w:p>
    <w:p w14:paraId="5E9FCF8D" w14:textId="5F36F6EC" w:rsidR="00704FFC" w:rsidRPr="00150CD2" w:rsidRDefault="00704FFC" w:rsidP="00704FFC">
      <w:pPr>
        <w:pStyle w:val="EYBulletedText1"/>
        <w:rPr>
          <w:rFonts w:cs="Arial"/>
        </w:rPr>
      </w:pPr>
      <w:r w:rsidRPr="00150CD2">
        <w:rPr>
          <w:rFonts w:cs="Arial"/>
        </w:rPr>
        <w:t>Conversely, children can be supported by a sole parent/caregiver who is not in receipt of sole parent benefit (e.g. due to income eligibility criteria) and so may appear as being linked to two parents/caregivers in administrative data.</w:t>
      </w:r>
    </w:p>
    <w:p w14:paraId="33EA44EA" w14:textId="77777777" w:rsidR="00704FFC" w:rsidRPr="00150CD2" w:rsidRDefault="00704FFC" w:rsidP="00704FFC">
      <w:pPr>
        <w:pStyle w:val="EYBulletedText1"/>
        <w:rPr>
          <w:rFonts w:cs="Arial"/>
        </w:rPr>
      </w:pPr>
      <w:r w:rsidRPr="00150CD2">
        <w:rPr>
          <w:rFonts w:cs="Arial"/>
        </w:rPr>
        <w:t xml:space="preserve">Children can also be supported by caregivers in living arrangements that differ to what is formally reported (for example, children who primarily reside with relatives such as grandparent(s) while being linked to another parent/caregiver). </w:t>
      </w:r>
    </w:p>
    <w:p w14:paraId="3D62A60A" w14:textId="77777777" w:rsidR="00704FFC" w:rsidRPr="00150CD2" w:rsidRDefault="00704FFC" w:rsidP="00704FFC">
      <w:pPr>
        <w:pStyle w:val="EYBulletedText1"/>
        <w:rPr>
          <w:rFonts w:cs="Arial"/>
        </w:rPr>
      </w:pPr>
      <w:r w:rsidRPr="00150CD2">
        <w:rPr>
          <w:rFonts w:cs="Arial"/>
        </w:rPr>
        <w:t>Information around historic life events for older adults is only partially available.</w:t>
      </w:r>
    </w:p>
    <w:p w14:paraId="440AE10C" w14:textId="06CB1233" w:rsidR="00704FFC" w:rsidRPr="00150CD2" w:rsidRDefault="00704FFC" w:rsidP="00704FFC">
      <w:pPr>
        <w:pStyle w:val="EYBodytextwithparaspace"/>
        <w:spacing w:after="120"/>
        <w:rPr>
          <w:rFonts w:cs="Arial"/>
          <w:b/>
          <w:bCs/>
          <w:color w:val="000000"/>
          <w:lang w:eastAsia="en-AU"/>
        </w:rPr>
      </w:pPr>
      <w:r w:rsidRPr="00150CD2">
        <w:rPr>
          <w:rFonts w:cs="Arial"/>
          <w:b/>
          <w:bCs/>
          <w:color w:val="000000"/>
          <w:lang w:eastAsia="en-AU"/>
        </w:rPr>
        <w:t>Service variations and other considerations with the use of administrative data</w:t>
      </w:r>
    </w:p>
    <w:p w14:paraId="706859AE" w14:textId="77777777" w:rsidR="00704FFC" w:rsidRPr="00150CD2" w:rsidRDefault="00704FFC" w:rsidP="00704FFC">
      <w:pPr>
        <w:pStyle w:val="EYBodytextwithparaspace"/>
        <w:rPr>
          <w:rFonts w:cs="Arial"/>
        </w:rPr>
      </w:pPr>
      <w:r w:rsidRPr="00150CD2">
        <w:rPr>
          <w:rFonts w:cs="Arial"/>
        </w:rPr>
        <w:t>The description of service usage in this report will be subject to bias and variations in service provision and should be interpreted as highlighting areas of potential higher need – not as complete estimates of underlying population need. For example, the number of people with financial stress may be higher than the number accessing third-tier MSD support payments (which are generally only provided to those in financial hardship), reflecting varying service capacity as well as other factors such as stigma, access and affordability.</w:t>
      </w:r>
    </w:p>
    <w:p w14:paraId="6E455D9F" w14:textId="77777777" w:rsidR="00704FFC" w:rsidRPr="00150CD2" w:rsidRDefault="00704FFC" w:rsidP="00704FFC">
      <w:pPr>
        <w:pStyle w:val="EYBodytextwithparaspace"/>
        <w:rPr>
          <w:rFonts w:cs="Arial"/>
        </w:rPr>
      </w:pPr>
      <w:r w:rsidRPr="00150CD2">
        <w:rPr>
          <w:rFonts w:cs="Arial"/>
        </w:rPr>
        <w:t>Administrative data is affected by changes in reporting and recording practices over time (for example, changes to how enrolment in early childhood education is recorded). Other variations to consider include:</w:t>
      </w:r>
    </w:p>
    <w:p w14:paraId="76258EE0" w14:textId="77777777" w:rsidR="00704FFC" w:rsidRPr="00150CD2" w:rsidRDefault="00704FFC" w:rsidP="00704FFC">
      <w:pPr>
        <w:pStyle w:val="EYBulletedText1"/>
        <w:rPr>
          <w:rFonts w:cs="Arial"/>
        </w:rPr>
      </w:pPr>
      <w:r w:rsidRPr="00150CD2">
        <w:rPr>
          <w:rFonts w:cs="Arial"/>
        </w:rPr>
        <w:t>Regional variations in practice, reporting and/or recording</w:t>
      </w:r>
    </w:p>
    <w:p w14:paraId="19E719CB" w14:textId="79FE9BC1" w:rsidR="00704FFC" w:rsidRPr="00150CD2" w:rsidRDefault="00704FFC" w:rsidP="00704FFC">
      <w:pPr>
        <w:pStyle w:val="EYBulletedText1"/>
        <w:rPr>
          <w:rFonts w:cs="Arial"/>
        </w:rPr>
      </w:pPr>
      <w:r w:rsidRPr="00150CD2">
        <w:rPr>
          <w:rFonts w:cs="Arial"/>
        </w:rPr>
        <w:t>Impact of Statistics NZ’s ID matching process – service usage indicators are more likely to be visible for people interacting with multiple agencies, but less visible for those who are more transient or have fewer/no agency interactions (for example, middle or older aged DSS clients)</w:t>
      </w:r>
    </w:p>
    <w:p w14:paraId="53DFB817" w14:textId="0350FD2F" w:rsidR="00C609F6" w:rsidRPr="00150CD2" w:rsidRDefault="00704FFC" w:rsidP="00704FFC">
      <w:pPr>
        <w:pStyle w:val="EYBodytextwithparaspace"/>
        <w:rPr>
          <w:rFonts w:cs="Arial"/>
          <w:highlight w:val="yellow"/>
        </w:rPr>
      </w:pPr>
      <w:r w:rsidRPr="00150CD2">
        <w:rPr>
          <w:rFonts w:cs="Arial"/>
        </w:rPr>
        <w:t>Refer to Appendix E ‘Detailed findings from feasibility assessment’ for further detail on considerations around administrative data relating to specific indicators and data sources.</w:t>
      </w:r>
      <w:r w:rsidR="00C609F6" w:rsidRPr="00150CD2">
        <w:rPr>
          <w:rFonts w:cs="Arial"/>
          <w:highlight w:val="yellow"/>
        </w:rPr>
        <w:br w:type="page"/>
      </w:r>
    </w:p>
    <w:p w14:paraId="74A1B15F" w14:textId="19385B69" w:rsidR="00037510" w:rsidRPr="00150CD2" w:rsidRDefault="00037510" w:rsidP="00037510">
      <w:pPr>
        <w:pStyle w:val="EYAppendix"/>
        <w:rPr>
          <w:rFonts w:cs="Arial"/>
        </w:rPr>
      </w:pPr>
      <w:bookmarkStart w:id="193" w:name="_Ref31186838"/>
      <w:bookmarkStart w:id="194" w:name="_Toc46365155"/>
      <w:bookmarkStart w:id="195" w:name="_Toc48752373"/>
      <w:r w:rsidRPr="00150CD2">
        <w:rPr>
          <w:rFonts w:cs="Arial"/>
        </w:rPr>
        <w:t>Further information on approach for feasibility assessment</w:t>
      </w:r>
      <w:bookmarkEnd w:id="193"/>
      <w:bookmarkEnd w:id="194"/>
      <w:bookmarkEnd w:id="195"/>
    </w:p>
    <w:p w14:paraId="141F2D9A" w14:textId="77777777" w:rsidR="00037510" w:rsidRPr="00150CD2" w:rsidRDefault="00037510" w:rsidP="00D1176D">
      <w:pPr>
        <w:pStyle w:val="EYSubheading"/>
        <w:rPr>
          <w:rFonts w:cs="Arial"/>
          <w:bCs/>
          <w:sz w:val="22"/>
        </w:rPr>
      </w:pPr>
      <w:r w:rsidRPr="00150CD2">
        <w:rPr>
          <w:rFonts w:cs="Arial"/>
          <w:bCs/>
          <w:sz w:val="22"/>
        </w:rPr>
        <w:t>Introduction</w:t>
      </w:r>
    </w:p>
    <w:p w14:paraId="0B252CA3" w14:textId="77393E4A" w:rsidR="00037510" w:rsidRPr="00150CD2" w:rsidRDefault="00037510" w:rsidP="00D1176D">
      <w:pPr>
        <w:pStyle w:val="EYBodytextwithparaspace"/>
        <w:rPr>
          <w:rFonts w:cs="Arial"/>
        </w:rPr>
      </w:pPr>
      <w:bookmarkStart w:id="196" w:name="_Hlk32073925"/>
      <w:r w:rsidRPr="00150CD2">
        <w:rPr>
          <w:rFonts w:cs="Arial"/>
        </w:rPr>
        <w:t>This appendix provides more detail on the approach taken to perform the activities</w:t>
      </w:r>
      <w:bookmarkEnd w:id="196"/>
      <w:r w:rsidRPr="00150CD2">
        <w:rPr>
          <w:rFonts w:cs="Arial"/>
        </w:rPr>
        <w:t xml:space="preserve"> in workstream 3, “Feasibility assessment of potential outcomes indicators and analysis cohorts”:</w:t>
      </w:r>
    </w:p>
    <w:p w14:paraId="2C2E2BD4" w14:textId="77777777" w:rsidR="00037510" w:rsidRPr="00150CD2" w:rsidRDefault="00037510" w:rsidP="003038D2">
      <w:pPr>
        <w:pStyle w:val="EYBulletnoparaspace"/>
        <w:numPr>
          <w:ilvl w:val="0"/>
          <w:numId w:val="11"/>
        </w:numPr>
        <w:rPr>
          <w:rFonts w:cs="Arial"/>
          <w:lang w:eastAsia="en-AU"/>
        </w:rPr>
      </w:pPr>
      <w:r w:rsidRPr="00150CD2">
        <w:rPr>
          <w:rFonts w:cs="Arial"/>
          <w:lang w:eastAsia="en-AU"/>
        </w:rPr>
        <w:t>Develop draft options for outcome indicators for Mana Whaikaha’s outcomes framework.</w:t>
      </w:r>
    </w:p>
    <w:p w14:paraId="025429DA" w14:textId="30E83E44" w:rsidR="00037510" w:rsidRPr="00150CD2" w:rsidRDefault="00037510" w:rsidP="003038D2">
      <w:pPr>
        <w:pStyle w:val="EYBulletnoparaspace"/>
        <w:numPr>
          <w:ilvl w:val="0"/>
          <w:numId w:val="11"/>
        </w:numPr>
        <w:rPr>
          <w:rFonts w:cs="Arial"/>
          <w:lang w:eastAsia="en-AU"/>
        </w:rPr>
      </w:pPr>
      <w:r w:rsidRPr="00150CD2">
        <w:rPr>
          <w:rFonts w:cs="Arial"/>
          <w:lang w:eastAsia="en-AU"/>
        </w:rPr>
        <w:t xml:space="preserve">Assess potential outcome indicators against the criteria agreed with </w:t>
      </w:r>
      <w:r w:rsidR="007A5A60" w:rsidRPr="00150CD2">
        <w:rPr>
          <w:rFonts w:cs="Arial"/>
          <w:lang w:eastAsia="en-AU"/>
        </w:rPr>
        <w:t xml:space="preserve">the </w:t>
      </w:r>
      <w:r w:rsidRPr="00150CD2">
        <w:rPr>
          <w:rFonts w:cs="Arial"/>
          <w:lang w:eastAsia="en-AU"/>
        </w:rPr>
        <w:t>M</w:t>
      </w:r>
      <w:r w:rsidR="007A5A60" w:rsidRPr="00150CD2">
        <w:rPr>
          <w:rFonts w:cs="Arial"/>
          <w:lang w:eastAsia="en-AU"/>
        </w:rPr>
        <w:t>inistry</w:t>
      </w:r>
      <w:r w:rsidRPr="00150CD2">
        <w:rPr>
          <w:rFonts w:cs="Arial"/>
          <w:lang w:eastAsia="en-AU"/>
        </w:rPr>
        <w:t xml:space="preserve">, to determine if feasible as measures of current state wellbeing and benefits over time. </w:t>
      </w:r>
    </w:p>
    <w:p w14:paraId="71D64EC2" w14:textId="77777777" w:rsidR="00037510" w:rsidRPr="00150CD2" w:rsidRDefault="00037510" w:rsidP="00D1176D">
      <w:pPr>
        <w:pStyle w:val="EYSubheading"/>
        <w:rPr>
          <w:rFonts w:cs="Arial"/>
        </w:rPr>
      </w:pPr>
      <w:r w:rsidRPr="00150CD2">
        <w:rPr>
          <w:rFonts w:cs="Arial"/>
        </w:rPr>
        <w:br/>
      </w:r>
      <w:r w:rsidRPr="00150CD2">
        <w:rPr>
          <w:rFonts w:cs="Arial"/>
          <w:sz w:val="22"/>
        </w:rPr>
        <w:t>Approach</w:t>
      </w:r>
    </w:p>
    <w:p w14:paraId="45985C05" w14:textId="77777777" w:rsidR="00037510" w:rsidRPr="00150CD2" w:rsidRDefault="00037510" w:rsidP="00D1176D">
      <w:pPr>
        <w:pStyle w:val="EYBodytextwithparaspace"/>
        <w:rPr>
          <w:rFonts w:cs="Arial"/>
        </w:rPr>
      </w:pPr>
      <w:r w:rsidRPr="00150CD2">
        <w:rPr>
          <w:rFonts w:cs="Arial"/>
        </w:rPr>
        <w:t>We performed the following work tasks:</w:t>
      </w:r>
    </w:p>
    <w:p w14:paraId="010EF9D2" w14:textId="56BCB4FE" w:rsidR="00037510" w:rsidRPr="00150CD2" w:rsidRDefault="00037510" w:rsidP="00CF4D8B">
      <w:pPr>
        <w:pStyle w:val="EY1Number"/>
        <w:numPr>
          <w:ilvl w:val="0"/>
          <w:numId w:val="38"/>
        </w:numPr>
        <w:rPr>
          <w:rFonts w:cs="Arial"/>
        </w:rPr>
      </w:pPr>
      <w:r w:rsidRPr="00150CD2">
        <w:rPr>
          <w:rFonts w:cs="Arial"/>
          <w:b/>
        </w:rPr>
        <w:t>Confirmed key criteria for determining indicator suitability.</w:t>
      </w:r>
      <w:r w:rsidRPr="00150CD2">
        <w:rPr>
          <w:rFonts w:cs="Arial"/>
        </w:rPr>
        <w:t xml:space="preserve"> We drew on existing NZ Government guidance on assessing potential outcome indicators and general social sector practices in assessing population level indicators, as well as experience analysing proposed indicators from administrative data as part of the development of the Oranga Tamariki wellbeing model.</w:t>
      </w:r>
      <w:r w:rsidRPr="00150CD2">
        <w:rPr>
          <w:rFonts w:cs="Arial"/>
        </w:rPr>
        <w:br/>
      </w:r>
      <w:r w:rsidRPr="00150CD2">
        <w:rPr>
          <w:rFonts w:cs="Arial"/>
        </w:rPr>
        <w:br/>
        <w:t>Our key research questions are set out below:</w:t>
      </w:r>
    </w:p>
    <w:p w14:paraId="3692A423" w14:textId="3DECBF49" w:rsidR="00037510" w:rsidRPr="00150CD2" w:rsidRDefault="00037510" w:rsidP="001B7515">
      <w:pPr>
        <w:pStyle w:val="EYBulletedText2"/>
        <w:numPr>
          <w:ilvl w:val="1"/>
          <w:numId w:val="7"/>
        </w:numPr>
        <w:rPr>
          <w:rFonts w:cs="Arial"/>
          <w:lang w:eastAsia="en-AU"/>
        </w:rPr>
      </w:pPr>
      <w:r w:rsidRPr="00150CD2">
        <w:rPr>
          <w:rFonts w:cs="Arial"/>
          <w:b/>
          <w:lang w:eastAsia="en-AU"/>
        </w:rPr>
        <w:t>Validity</w:t>
      </w:r>
      <w:r w:rsidRPr="00150CD2">
        <w:rPr>
          <w:rFonts w:cs="Arial"/>
          <w:lang w:eastAsia="en-AU"/>
        </w:rPr>
        <w:t xml:space="preserve"> </w:t>
      </w:r>
      <w:r w:rsidR="00E4510E" w:rsidRPr="00150CD2">
        <w:rPr>
          <w:rFonts w:cs="Arial"/>
          <w:lang w:eastAsia="en-AU"/>
        </w:rPr>
        <w:t>–</w:t>
      </w:r>
      <w:r w:rsidRPr="00150CD2">
        <w:rPr>
          <w:rFonts w:cs="Arial"/>
          <w:lang w:eastAsia="en-AU"/>
        </w:rPr>
        <w:t xml:space="preserve"> does the indicator reflects the underlying outcome it is intended to measure? Is it aligned with the Mana Whaikaha outcome framework and intervention logic?</w:t>
      </w:r>
    </w:p>
    <w:p w14:paraId="32AFAB0F" w14:textId="0A78129D" w:rsidR="00037510" w:rsidRPr="00150CD2" w:rsidRDefault="00037510" w:rsidP="001B7515">
      <w:pPr>
        <w:pStyle w:val="EYBulletedText2"/>
        <w:numPr>
          <w:ilvl w:val="1"/>
          <w:numId w:val="7"/>
        </w:numPr>
        <w:rPr>
          <w:rFonts w:cs="Arial"/>
          <w:lang w:eastAsia="en-AU"/>
        </w:rPr>
      </w:pPr>
      <w:r w:rsidRPr="00150CD2">
        <w:rPr>
          <w:rFonts w:cs="Arial"/>
          <w:b/>
          <w:lang w:eastAsia="en-AU"/>
        </w:rPr>
        <w:t>Acceptance</w:t>
      </w:r>
      <w:r w:rsidRPr="00150CD2">
        <w:rPr>
          <w:rFonts w:cs="Arial"/>
          <w:lang w:eastAsia="en-AU"/>
        </w:rPr>
        <w:t xml:space="preserve"> </w:t>
      </w:r>
      <w:r w:rsidR="00E4510E" w:rsidRPr="00150CD2">
        <w:rPr>
          <w:rFonts w:cs="Arial"/>
          <w:lang w:eastAsia="en-AU"/>
        </w:rPr>
        <w:t>–</w:t>
      </w:r>
      <w:r w:rsidRPr="00150CD2">
        <w:rPr>
          <w:rFonts w:cs="Arial"/>
          <w:lang w:eastAsia="en-AU"/>
        </w:rPr>
        <w:t xml:space="preserve">is the indicator considered relevant, reasonable and straightforward to interpret by stakeholders, in particular for people with disabilities and their </w:t>
      </w:r>
      <w:r w:rsidRPr="00150CD2">
        <w:rPr>
          <w:rFonts w:cs="Arial"/>
        </w:rPr>
        <w:t>whānau</w:t>
      </w:r>
      <w:r w:rsidRPr="00150CD2">
        <w:rPr>
          <w:rFonts w:cs="Arial"/>
          <w:lang w:eastAsia="en-AU"/>
        </w:rPr>
        <w:t>?</w:t>
      </w:r>
    </w:p>
    <w:p w14:paraId="18422350" w14:textId="2E8AAA87" w:rsidR="00037510" w:rsidRPr="00150CD2" w:rsidRDefault="00037510" w:rsidP="001B7515">
      <w:pPr>
        <w:pStyle w:val="EYBulletedText2"/>
        <w:numPr>
          <w:ilvl w:val="1"/>
          <w:numId w:val="7"/>
        </w:numPr>
        <w:rPr>
          <w:rFonts w:cs="Arial"/>
          <w:lang w:eastAsia="en-AU"/>
        </w:rPr>
      </w:pPr>
      <w:r w:rsidRPr="00150CD2">
        <w:rPr>
          <w:rFonts w:cs="Arial"/>
          <w:b/>
          <w:lang w:eastAsia="en-AU"/>
        </w:rPr>
        <w:t>Reliability/completeness</w:t>
      </w:r>
      <w:r w:rsidRPr="00150CD2">
        <w:rPr>
          <w:rFonts w:cs="Arial"/>
          <w:lang w:eastAsia="en-AU"/>
        </w:rPr>
        <w:t xml:space="preserve"> </w:t>
      </w:r>
      <w:r w:rsidR="00A52C97" w:rsidRPr="00150CD2">
        <w:rPr>
          <w:rFonts w:cs="Arial"/>
          <w:lang w:eastAsia="en-AU"/>
        </w:rPr>
        <w:t>-</w:t>
      </w:r>
      <w:r w:rsidRPr="00150CD2">
        <w:rPr>
          <w:rFonts w:cs="Arial"/>
          <w:lang w:eastAsia="en-AU"/>
        </w:rPr>
        <w:t xml:space="preserve"> does the supporting data provides reasonable coverage for the population groups with disabilities, in the MidCentral region and for other groups of interest? Is the data overly influenced by variations in work and/or recording practices (i.e. across different users or agency sites)?</w:t>
      </w:r>
    </w:p>
    <w:p w14:paraId="3C5164C4" w14:textId="733C83B9" w:rsidR="00037510" w:rsidRPr="00150CD2" w:rsidRDefault="00037510" w:rsidP="001B7515">
      <w:pPr>
        <w:pStyle w:val="EYBulletedText2"/>
        <w:numPr>
          <w:ilvl w:val="1"/>
          <w:numId w:val="7"/>
        </w:numPr>
        <w:rPr>
          <w:rFonts w:cs="Arial"/>
          <w:lang w:eastAsia="en-AU"/>
        </w:rPr>
      </w:pPr>
      <w:r w:rsidRPr="00150CD2">
        <w:rPr>
          <w:rFonts w:cs="Arial"/>
          <w:b/>
          <w:lang w:eastAsia="en-AU"/>
        </w:rPr>
        <w:t>Comparability</w:t>
      </w:r>
      <w:r w:rsidRPr="00150CD2">
        <w:rPr>
          <w:rFonts w:cs="Arial"/>
          <w:lang w:eastAsia="en-AU"/>
        </w:rPr>
        <w:t xml:space="preserve"> </w:t>
      </w:r>
      <w:r w:rsidR="00E4510E" w:rsidRPr="00150CD2">
        <w:rPr>
          <w:rFonts w:cs="Arial"/>
          <w:lang w:eastAsia="en-AU"/>
        </w:rPr>
        <w:t>–</w:t>
      </w:r>
      <w:r w:rsidR="00A52C97" w:rsidRPr="00150CD2">
        <w:rPr>
          <w:rFonts w:cs="Arial"/>
          <w:lang w:eastAsia="en-AU"/>
        </w:rPr>
        <w:t xml:space="preserve"> </w:t>
      </w:r>
      <w:r w:rsidRPr="00150CD2">
        <w:rPr>
          <w:rFonts w:cs="Arial"/>
          <w:lang w:eastAsia="en-AU"/>
        </w:rPr>
        <w:t>has the underlying data been recorded in a reasonably consistent fashion over time? i.e. does the indicator reflects actual shifts in the underlying outcome of interest over a 1 to 3-year period, while not being unduly impacted by changes in policy, work and/or recording practices over time?</w:t>
      </w:r>
    </w:p>
    <w:p w14:paraId="19938F98" w14:textId="05C5B504" w:rsidR="00037510" w:rsidRPr="00150CD2" w:rsidRDefault="00037510" w:rsidP="001B7515">
      <w:pPr>
        <w:pStyle w:val="EYBulletedText2"/>
        <w:numPr>
          <w:ilvl w:val="1"/>
          <w:numId w:val="7"/>
        </w:numPr>
        <w:rPr>
          <w:rFonts w:cs="Arial"/>
          <w:lang w:eastAsia="en-AU"/>
        </w:rPr>
      </w:pPr>
      <w:r w:rsidRPr="00150CD2">
        <w:rPr>
          <w:rFonts w:cs="Arial"/>
          <w:b/>
          <w:lang w:eastAsia="en-AU"/>
        </w:rPr>
        <w:t>Feasibility</w:t>
      </w:r>
      <w:r w:rsidRPr="00150CD2">
        <w:rPr>
          <w:rFonts w:cs="Arial"/>
          <w:lang w:eastAsia="en-AU"/>
        </w:rPr>
        <w:t xml:space="preserve"> </w:t>
      </w:r>
      <w:r w:rsidR="00E4510E" w:rsidRPr="00150CD2">
        <w:rPr>
          <w:rFonts w:cs="Arial"/>
          <w:lang w:eastAsia="en-AU"/>
        </w:rPr>
        <w:t>–</w:t>
      </w:r>
      <w:r w:rsidR="00A52C97" w:rsidRPr="00150CD2">
        <w:rPr>
          <w:rFonts w:cs="Arial"/>
          <w:lang w:eastAsia="en-AU"/>
        </w:rPr>
        <w:t xml:space="preserve"> </w:t>
      </w:r>
      <w:r w:rsidRPr="00150CD2">
        <w:rPr>
          <w:rFonts w:cs="Arial"/>
          <w:lang w:eastAsia="en-AU"/>
        </w:rPr>
        <w:t>is the data available in a timely manner, and can it be segmented for key subgroups (e.g. by location, gender and disability type)?</w:t>
      </w:r>
    </w:p>
    <w:p w14:paraId="4CF86C45" w14:textId="77777777" w:rsidR="00037510" w:rsidRPr="00150CD2" w:rsidRDefault="00037510" w:rsidP="001B7515">
      <w:pPr>
        <w:pStyle w:val="EYBulletedText2"/>
        <w:numPr>
          <w:ilvl w:val="1"/>
          <w:numId w:val="7"/>
        </w:numPr>
        <w:rPr>
          <w:rFonts w:cs="Arial"/>
          <w:lang w:eastAsia="en-AU"/>
        </w:rPr>
      </w:pPr>
      <w:r w:rsidRPr="00150CD2">
        <w:rPr>
          <w:rFonts w:cs="Arial"/>
          <w:b/>
          <w:lang w:eastAsia="en-AU"/>
        </w:rPr>
        <w:t>Equity</w:t>
      </w:r>
      <w:r w:rsidRPr="00150CD2">
        <w:rPr>
          <w:rFonts w:cs="Arial"/>
          <w:lang w:eastAsia="en-AU"/>
        </w:rPr>
        <w:t xml:space="preserve"> – can the indicator be used to highlight areas of potential inequities between population groups, and to reflect changes in equity between population groups over the evaluation period?</w:t>
      </w:r>
    </w:p>
    <w:p w14:paraId="50733BB5" w14:textId="3C1FC4C9" w:rsidR="00037510" w:rsidRPr="00150CD2" w:rsidRDefault="00037510" w:rsidP="00D1176D">
      <w:pPr>
        <w:pStyle w:val="EYBodytextwithparaspace"/>
        <w:ind w:left="425"/>
        <w:rPr>
          <w:rFonts w:cs="Arial"/>
        </w:rPr>
      </w:pPr>
      <w:r w:rsidRPr="00150CD2">
        <w:rPr>
          <w:rFonts w:cs="Arial"/>
        </w:rPr>
        <w:t>A list of key guidance documents referred to is included in the References section.</w:t>
      </w:r>
    </w:p>
    <w:p w14:paraId="6FC67C5F" w14:textId="22209339" w:rsidR="00037510" w:rsidRPr="00150CD2" w:rsidRDefault="00037510" w:rsidP="00CF4D8B">
      <w:pPr>
        <w:pStyle w:val="EY1Number"/>
        <w:numPr>
          <w:ilvl w:val="0"/>
          <w:numId w:val="38"/>
        </w:numPr>
        <w:rPr>
          <w:rFonts w:cs="Arial"/>
        </w:rPr>
      </w:pPr>
      <w:r w:rsidRPr="00150CD2">
        <w:rPr>
          <w:rFonts w:cs="Arial"/>
          <w:b/>
          <w:bCs/>
        </w:rPr>
        <w:t>Scanned data and research</w:t>
      </w:r>
      <w:r w:rsidRPr="00150CD2">
        <w:rPr>
          <w:rFonts w:cs="Arial"/>
        </w:rPr>
        <w:t xml:space="preserve"> to identify data sources which could potentially inform the outcome domains, the range of indicator definitions and indicator-to-domain allocations in use:</w:t>
      </w:r>
    </w:p>
    <w:p w14:paraId="2C9E3EC0" w14:textId="77777777" w:rsidR="00037510" w:rsidRPr="00150CD2" w:rsidRDefault="00037510" w:rsidP="001B7515">
      <w:pPr>
        <w:pStyle w:val="EY2Letter"/>
        <w:numPr>
          <w:ilvl w:val="1"/>
          <w:numId w:val="8"/>
        </w:numPr>
        <w:rPr>
          <w:rFonts w:cs="Arial"/>
        </w:rPr>
      </w:pPr>
      <w:r w:rsidRPr="00150CD2">
        <w:rPr>
          <w:rFonts w:cs="Arial"/>
          <w:b/>
        </w:rPr>
        <w:t>Reviewed Government wellbeing and outcomes monitoring frameworks, and research studies</w:t>
      </w:r>
      <w:r w:rsidRPr="00150CD2">
        <w:rPr>
          <w:rFonts w:cs="Arial"/>
        </w:rPr>
        <w:t xml:space="preserve"> around wellbeing outcomes for people interacting with the disability sector. We focused on identifying administrative and survey data sources which:</w:t>
      </w:r>
    </w:p>
    <w:p w14:paraId="4DDA1781" w14:textId="77777777" w:rsidR="00037510" w:rsidRPr="00150CD2" w:rsidRDefault="00037510" w:rsidP="00BA2F93">
      <w:pPr>
        <w:pStyle w:val="EYBullet2noparaspace"/>
        <w:numPr>
          <w:ilvl w:val="2"/>
          <w:numId w:val="11"/>
        </w:numPr>
        <w:rPr>
          <w:rFonts w:cs="Arial"/>
          <w:lang w:eastAsia="en-AU"/>
        </w:rPr>
      </w:pPr>
      <w:r w:rsidRPr="00150CD2">
        <w:rPr>
          <w:rFonts w:cs="Arial"/>
          <w:lang w:eastAsia="en-AU"/>
        </w:rPr>
        <w:t>are available in the IDI or to the Ministry for use in this project</w:t>
      </w:r>
    </w:p>
    <w:p w14:paraId="42C47BD7" w14:textId="617A9B91" w:rsidR="00037510" w:rsidRPr="00150CD2" w:rsidRDefault="00037510" w:rsidP="00BA2F93">
      <w:pPr>
        <w:pStyle w:val="EYBullet2noparaspace"/>
        <w:numPr>
          <w:ilvl w:val="2"/>
          <w:numId w:val="11"/>
        </w:numPr>
        <w:rPr>
          <w:rFonts w:cs="Arial"/>
          <w:lang w:eastAsia="en-AU"/>
        </w:rPr>
      </w:pPr>
      <w:r w:rsidRPr="00150CD2">
        <w:rPr>
          <w:rFonts w:cs="Arial"/>
          <w:lang w:eastAsia="en-AU"/>
        </w:rPr>
        <w:t>have been collected in recent years (ideally 201</w:t>
      </w:r>
      <w:r w:rsidR="00E4510E" w:rsidRPr="00150CD2">
        <w:rPr>
          <w:rFonts w:cs="Arial"/>
          <w:lang w:eastAsia="en-AU"/>
        </w:rPr>
        <w:t>5</w:t>
      </w:r>
      <w:r w:rsidRPr="00150CD2">
        <w:rPr>
          <w:rFonts w:cs="Arial"/>
          <w:lang w:eastAsia="en-AU"/>
        </w:rPr>
        <w:t xml:space="preserve"> or later, since this would support descriptive analysis </w:t>
      </w:r>
      <w:r w:rsidR="003038D2" w:rsidRPr="00150CD2">
        <w:rPr>
          <w:rFonts w:cs="Arial"/>
          <w:lang w:eastAsia="en-AU"/>
        </w:rPr>
        <w:t xml:space="preserve">covering a 3 year timeframe </w:t>
      </w:r>
      <w:r w:rsidR="00432B94" w:rsidRPr="00150CD2">
        <w:rPr>
          <w:rFonts w:cs="Arial"/>
          <w:lang w:eastAsia="en-AU"/>
        </w:rPr>
        <w:t>to provide robust estimate</w:t>
      </w:r>
      <w:r w:rsidR="005B1F92" w:rsidRPr="00150CD2">
        <w:rPr>
          <w:rFonts w:cs="Arial"/>
          <w:lang w:eastAsia="en-AU"/>
        </w:rPr>
        <w:t>s</w:t>
      </w:r>
      <w:r w:rsidR="00432B94" w:rsidRPr="00150CD2">
        <w:rPr>
          <w:rFonts w:cs="Arial"/>
          <w:lang w:eastAsia="en-AU"/>
        </w:rPr>
        <w:t xml:space="preserve"> and </w:t>
      </w:r>
      <w:r w:rsidR="003038D2" w:rsidRPr="00150CD2">
        <w:rPr>
          <w:rFonts w:cs="Arial"/>
          <w:lang w:eastAsia="en-AU"/>
        </w:rPr>
        <w:t>align with the evaluation period</w:t>
      </w:r>
      <w:r w:rsidRPr="00150CD2">
        <w:rPr>
          <w:rFonts w:cs="Arial"/>
          <w:lang w:eastAsia="en-AU"/>
        </w:rPr>
        <w:t>)</w:t>
      </w:r>
    </w:p>
    <w:p w14:paraId="06CFC7FE" w14:textId="77777777" w:rsidR="00037510" w:rsidRPr="00150CD2" w:rsidRDefault="00037510" w:rsidP="00BA2F93">
      <w:pPr>
        <w:pStyle w:val="EYBullet2noparaspace"/>
        <w:numPr>
          <w:ilvl w:val="2"/>
          <w:numId w:val="11"/>
        </w:numPr>
        <w:rPr>
          <w:rFonts w:cs="Arial"/>
          <w:lang w:eastAsia="en-AU"/>
        </w:rPr>
      </w:pPr>
      <w:r w:rsidRPr="00150CD2">
        <w:rPr>
          <w:rFonts w:cs="Arial"/>
          <w:lang w:eastAsia="en-AU"/>
        </w:rPr>
        <w:t>have undergone some level of consultation and were considered to provide a reasonable description of aspects of people’s wellbeing and/or outcomes</w:t>
      </w:r>
    </w:p>
    <w:p w14:paraId="6C38096D" w14:textId="77777777" w:rsidR="00037510" w:rsidRPr="00150CD2" w:rsidRDefault="00037510" w:rsidP="00037510">
      <w:pPr>
        <w:pStyle w:val="EY2Letter"/>
        <w:numPr>
          <w:ilvl w:val="0"/>
          <w:numId w:val="0"/>
        </w:numPr>
        <w:ind w:left="851"/>
        <w:rPr>
          <w:rFonts w:cs="Arial"/>
          <w:color w:val="000000"/>
        </w:rPr>
      </w:pPr>
      <w:r w:rsidRPr="00150CD2">
        <w:rPr>
          <w:rFonts w:cs="Arial"/>
          <w:color w:val="000000"/>
        </w:rPr>
        <w:t>Key references included program documents and the studies listed in the Reference section.</w:t>
      </w:r>
    </w:p>
    <w:p w14:paraId="3CCE969B" w14:textId="77777777" w:rsidR="00037510" w:rsidRPr="00150CD2" w:rsidRDefault="00037510" w:rsidP="001B7515">
      <w:pPr>
        <w:pStyle w:val="EY2Letter"/>
        <w:numPr>
          <w:ilvl w:val="1"/>
          <w:numId w:val="8"/>
        </w:numPr>
        <w:rPr>
          <w:rFonts w:cs="Arial"/>
          <w:color w:val="000000"/>
        </w:rPr>
      </w:pPr>
      <w:r w:rsidRPr="00150CD2">
        <w:rPr>
          <w:rFonts w:cs="Arial"/>
          <w:b/>
          <w:color w:val="000000"/>
        </w:rPr>
        <w:t>Scanned the latest information available from administrative and survey datasets in the IDI</w:t>
      </w:r>
      <w:r w:rsidRPr="00150CD2">
        <w:rPr>
          <w:rFonts w:cs="Arial"/>
          <w:color w:val="000000"/>
        </w:rPr>
        <w:t xml:space="preserve"> to identify those potentially relevant to the outcome domains. Many of the potential data sources and indicators identified in this step were similar or the same to those used in the agency frameworks and studies reviewed. In cases where we identified additional </w:t>
      </w:r>
      <w:r w:rsidRPr="00150CD2">
        <w:rPr>
          <w:rFonts w:cs="Arial"/>
        </w:rPr>
        <w:t>potential</w:t>
      </w:r>
      <w:r w:rsidRPr="00150CD2">
        <w:rPr>
          <w:rFonts w:cs="Arial"/>
          <w:color w:val="000000"/>
        </w:rPr>
        <w:t xml:space="preserve"> data sources and/or indicators (for example, Oranga Tamariki reports of concern or school disengagement indicators) these tended to be specific to particular population subgroups, relatively new additions to the IDI or indicators which require care when interpreting due to variability in service provision or data recording.</w:t>
      </w:r>
    </w:p>
    <w:p w14:paraId="5C748376" w14:textId="2446B01D" w:rsidR="00037510" w:rsidRPr="00150CD2" w:rsidRDefault="00037510" w:rsidP="00037510">
      <w:pPr>
        <w:pStyle w:val="EY2Letter"/>
        <w:numPr>
          <w:ilvl w:val="0"/>
          <w:numId w:val="0"/>
        </w:numPr>
        <w:ind w:left="851"/>
        <w:rPr>
          <w:rFonts w:cs="Arial"/>
          <w:color w:val="000000"/>
        </w:rPr>
      </w:pPr>
      <w:r w:rsidRPr="00150CD2">
        <w:rPr>
          <w:rFonts w:cs="Arial"/>
          <w:color w:val="000000"/>
        </w:rPr>
        <w:t>Detail on each of these indicators was sourced from IDI data dictionaries available on Stat</w:t>
      </w:r>
      <w:r w:rsidR="001F2ABA" w:rsidRPr="00150CD2">
        <w:rPr>
          <w:rFonts w:cs="Arial"/>
          <w:color w:val="000000"/>
        </w:rPr>
        <w:t>istic</w:t>
      </w:r>
      <w:r w:rsidRPr="00150CD2">
        <w:rPr>
          <w:rFonts w:cs="Arial"/>
          <w:color w:val="000000"/>
        </w:rPr>
        <w:t>s NZ’s website.</w:t>
      </w:r>
    </w:p>
    <w:p w14:paraId="57B24824" w14:textId="718EA4C3" w:rsidR="00037510" w:rsidRPr="00150CD2" w:rsidRDefault="00037510" w:rsidP="00BB4287">
      <w:pPr>
        <w:pStyle w:val="EY2Letter"/>
        <w:numPr>
          <w:ilvl w:val="0"/>
          <w:numId w:val="0"/>
        </w:numPr>
        <w:ind w:left="851"/>
        <w:rPr>
          <w:rFonts w:cs="Arial"/>
          <w:color w:val="000000"/>
        </w:rPr>
      </w:pPr>
      <w:r w:rsidRPr="00150CD2">
        <w:rPr>
          <w:rFonts w:cs="Arial"/>
          <w:color w:val="000000"/>
        </w:rPr>
        <w:t>An important observation is that Census and administrative data sources describe both national and MidCentral historic outcome baselines for people with a disability. Survey data sources (such as GSS</w:t>
      </w:r>
      <w:r w:rsidR="006A24D4" w:rsidRPr="00150CD2">
        <w:rPr>
          <w:rFonts w:cs="Arial"/>
          <w:color w:val="000000"/>
        </w:rPr>
        <w:t xml:space="preserve"> and the disability survey</w:t>
      </w:r>
      <w:r w:rsidRPr="00150CD2">
        <w:rPr>
          <w:rFonts w:cs="Arial"/>
          <w:color w:val="000000"/>
        </w:rPr>
        <w:t>) are only able to support national outcome baselines for disabled people, as the number of MidCentral survey respondents who are also included in SOCRATES is too small to provide statistically significant results (i.e. counts of less than 20, and sometimes less than 10).</w:t>
      </w:r>
    </w:p>
    <w:p w14:paraId="6D865EAC" w14:textId="7D089FD6" w:rsidR="00037510" w:rsidRPr="00150CD2" w:rsidRDefault="00037510" w:rsidP="001B7515">
      <w:pPr>
        <w:pStyle w:val="EY1Number"/>
        <w:numPr>
          <w:ilvl w:val="0"/>
          <w:numId w:val="8"/>
        </w:numPr>
        <w:rPr>
          <w:rFonts w:cs="Arial"/>
          <w:color w:val="000000"/>
        </w:rPr>
      </w:pPr>
      <w:r w:rsidRPr="00150CD2">
        <w:rPr>
          <w:rFonts w:cs="Arial"/>
          <w:b/>
          <w:color w:val="000000"/>
        </w:rPr>
        <w:t>Developed draft options for indicators and allocation to the domains identified in the Mana Whaikaha outcomes framework</w:t>
      </w:r>
      <w:r w:rsidRPr="00150CD2">
        <w:rPr>
          <w:rFonts w:cs="Arial"/>
          <w:color w:val="000000"/>
        </w:rPr>
        <w:t>, referring to the data and research scan findings (above) and experience supporting the draft O</w:t>
      </w:r>
      <w:r w:rsidR="009C0DD8" w:rsidRPr="00150CD2">
        <w:rPr>
          <w:rFonts w:cs="Arial"/>
          <w:color w:val="000000"/>
        </w:rPr>
        <w:t>ranga Tamariki</w:t>
      </w:r>
      <w:r w:rsidRPr="00150CD2">
        <w:rPr>
          <w:rFonts w:cs="Arial"/>
          <w:color w:val="000000"/>
        </w:rPr>
        <w:t xml:space="preserve"> child wellbeing / outcomes framework. </w:t>
      </w:r>
    </w:p>
    <w:p w14:paraId="56EAE545" w14:textId="77777777" w:rsidR="00037510" w:rsidRPr="00150CD2" w:rsidRDefault="00037510" w:rsidP="00D1176D">
      <w:pPr>
        <w:pStyle w:val="EYBodytextwithparaspace"/>
        <w:ind w:left="425"/>
        <w:rPr>
          <w:rFonts w:cs="Arial"/>
          <w:color w:val="000000"/>
          <w:lang w:eastAsia="en-AU"/>
        </w:rPr>
      </w:pPr>
      <w:r w:rsidRPr="00150CD2">
        <w:rPr>
          <w:rFonts w:cs="Arial"/>
          <w:color w:val="000000"/>
          <w:lang w:eastAsia="en-AU"/>
        </w:rPr>
        <w:t>There was broad agreement across different outcomes frameworks around the data sources, indicators and domain mappings available to describe some lifecourse areas, particularly outcomes around material wellbeing and engagement with employment and education/training where information is available from both administrative and survey datasets. GSS and DS self-reported responses mapping to outcomes around life satisfaction, health status, feelings of safety, trust and social connectedness were also comparable across multiple studies.</w:t>
      </w:r>
    </w:p>
    <w:p w14:paraId="0C6A5A6B" w14:textId="6B95E4F0" w:rsidR="00037510" w:rsidRPr="00150CD2" w:rsidRDefault="00037510" w:rsidP="00D1176D">
      <w:pPr>
        <w:pStyle w:val="EYBodytextwithparaspace"/>
        <w:ind w:left="425"/>
        <w:rPr>
          <w:rFonts w:cs="Arial"/>
          <w:color w:val="000000"/>
          <w:lang w:eastAsia="en-AU"/>
        </w:rPr>
      </w:pPr>
      <w:r w:rsidRPr="00150CD2">
        <w:rPr>
          <w:rFonts w:cs="Arial"/>
          <w:color w:val="000000"/>
          <w:lang w:eastAsia="en-AU"/>
        </w:rPr>
        <w:t xml:space="preserve">For other outcomes, we performed a subjective process of reviewing each description and selecting indicators that potentially help to describe that outcome. Some of the indicators available could feasibly map to multiple outcomes which are closely interlinked (e.g. ‘have access to all places, services and information”, “have access to health services and information”, “have access to opportunities to build confidence and develop skills”, “do everyday things”, “participate in social, recreational and community activities”, “pursue their interests”). Where this was the </w:t>
      </w:r>
      <w:r w:rsidR="003408B5" w:rsidRPr="00150CD2">
        <w:rPr>
          <w:rFonts w:cs="Arial"/>
          <w:color w:val="000000"/>
          <w:lang w:eastAsia="en-AU"/>
        </w:rPr>
        <w:t>case,</w:t>
      </w:r>
      <w:r w:rsidRPr="00150CD2">
        <w:rPr>
          <w:rFonts w:cs="Arial"/>
          <w:color w:val="000000"/>
          <w:lang w:eastAsia="en-AU"/>
        </w:rPr>
        <w:t xml:space="preserve"> we made subjective allocation decisions based on our view of which outcome the indicator appeared to be most closely related to. Care was taken in making these decisions, however alternative views are also feasible and these should be noted when interpreting results.</w:t>
      </w:r>
    </w:p>
    <w:p w14:paraId="671B5FE2" w14:textId="565F447C" w:rsidR="00037510" w:rsidRPr="00150CD2" w:rsidRDefault="00037510" w:rsidP="00037510">
      <w:pPr>
        <w:pStyle w:val="EYBodytextwithparaspace"/>
        <w:ind w:left="425"/>
        <w:rPr>
          <w:rFonts w:cs="Arial"/>
        </w:rPr>
      </w:pPr>
      <w:r w:rsidRPr="00150CD2">
        <w:rPr>
          <w:rFonts w:cs="Arial"/>
        </w:rPr>
        <w:t xml:space="preserve">Some outcomes were mapped to administrative and survey IDI data that could only describe some aspects, were limited to specific population subgroups or were notably impacted by service provision or reporting bias. For example, the outcome “physically safe and live in a positive environment” would ideally be described by an objective measure of individual and community safety. In practice the information available is limited to </w:t>
      </w:r>
      <w:r w:rsidRPr="00150CD2">
        <w:rPr>
          <w:rFonts w:cs="Arial"/>
          <w:color w:val="000000"/>
          <w:u w:val="single"/>
          <w:lang w:eastAsia="en-AU"/>
        </w:rPr>
        <w:t>reported</w:t>
      </w:r>
      <w:r w:rsidRPr="00150CD2">
        <w:rPr>
          <w:rFonts w:cs="Arial"/>
        </w:rPr>
        <w:t xml:space="preserve"> crime and </w:t>
      </w:r>
      <w:r w:rsidR="00A52C97" w:rsidRPr="00150CD2">
        <w:rPr>
          <w:rFonts w:cs="Arial"/>
        </w:rPr>
        <w:t>c</w:t>
      </w:r>
      <w:r w:rsidRPr="00150CD2">
        <w:rPr>
          <w:rFonts w:cs="Arial"/>
        </w:rPr>
        <w:t xml:space="preserve">hild </w:t>
      </w:r>
      <w:r w:rsidR="00BB075C" w:rsidRPr="00150CD2">
        <w:rPr>
          <w:rFonts w:cs="Arial"/>
        </w:rPr>
        <w:t xml:space="preserve">Care and </w:t>
      </w:r>
      <w:r w:rsidRPr="00150CD2">
        <w:rPr>
          <w:rFonts w:cs="Arial"/>
        </w:rPr>
        <w:t>Protection reports</w:t>
      </w:r>
      <w:r w:rsidR="009F4531" w:rsidRPr="00150CD2">
        <w:rPr>
          <w:rFonts w:cs="Arial"/>
        </w:rPr>
        <w:t xml:space="preserve"> of concern</w:t>
      </w:r>
      <w:r w:rsidRPr="00150CD2">
        <w:rPr>
          <w:rFonts w:cs="Arial"/>
        </w:rPr>
        <w:t xml:space="preserve"> (both understood to be subject to underreporting), and for survey respondents feelings of safety. This is one example commonly acknowledged to be difficult to measure at a population level.</w:t>
      </w:r>
    </w:p>
    <w:p w14:paraId="203A56F7" w14:textId="3578D415" w:rsidR="00037510" w:rsidRPr="00150CD2" w:rsidRDefault="00037510" w:rsidP="00DE7D64">
      <w:pPr>
        <w:pStyle w:val="EYBodytextwithparaspace"/>
        <w:ind w:left="425"/>
        <w:rPr>
          <w:rFonts w:cs="Arial"/>
        </w:rPr>
      </w:pPr>
      <w:r w:rsidRPr="00150CD2">
        <w:rPr>
          <w:rFonts w:cs="Arial"/>
          <w:b/>
        </w:rPr>
        <w:t>It is important to note that options were limited to available data</w:t>
      </w:r>
      <w:r w:rsidRPr="00150CD2">
        <w:rPr>
          <w:rFonts w:cs="Arial"/>
        </w:rPr>
        <w:t xml:space="preserve"> – there are several domains which have limited or no visibility provided by admin</w:t>
      </w:r>
      <w:r w:rsidR="00781A4E" w:rsidRPr="00150CD2">
        <w:rPr>
          <w:rFonts w:cs="Arial"/>
        </w:rPr>
        <w:t>i</w:t>
      </w:r>
      <w:r w:rsidRPr="00150CD2">
        <w:rPr>
          <w:rFonts w:cs="Arial"/>
        </w:rPr>
        <w:t>strative and survey IDI data (for example: positive relationships, emotional wellbeing, belonging and contributing to community, choice and control). Additional information collected for Mana Whaikaha participants (for example, via the survey or in individual plans) may help to better describe these outcomes for the program evaluation.</w:t>
      </w:r>
    </w:p>
    <w:p w14:paraId="6ABE7434" w14:textId="77777777" w:rsidR="00037510" w:rsidRPr="00150CD2" w:rsidRDefault="00037510" w:rsidP="001B7515">
      <w:pPr>
        <w:pStyle w:val="EY1Number"/>
        <w:numPr>
          <w:ilvl w:val="0"/>
          <w:numId w:val="8"/>
        </w:numPr>
        <w:rPr>
          <w:rFonts w:cs="Arial"/>
        </w:rPr>
      </w:pPr>
      <w:bookmarkStart w:id="197" w:name="_Hlk32073504"/>
      <w:r w:rsidRPr="00150CD2">
        <w:rPr>
          <w:rFonts w:cs="Arial"/>
          <w:b/>
        </w:rPr>
        <w:t>Assessed potential outcome indicators against the criteria</w:t>
      </w:r>
      <w:r w:rsidRPr="00150CD2">
        <w:rPr>
          <w:rFonts w:cs="Arial"/>
        </w:rPr>
        <w:t xml:space="preserve">, and identified areas where information is limited or not available for consideration for future data collection. Worksteps </w:t>
      </w:r>
      <w:r w:rsidRPr="00150CD2">
        <w:rPr>
          <w:rFonts w:cs="Arial"/>
          <w:color w:val="000000"/>
        </w:rPr>
        <w:t>included</w:t>
      </w:r>
      <w:r w:rsidRPr="00150CD2">
        <w:rPr>
          <w:rFonts w:cs="Arial"/>
        </w:rPr>
        <w:t>:</w:t>
      </w:r>
    </w:p>
    <w:p w14:paraId="277CD638" w14:textId="46DEFDCF" w:rsidR="00037510" w:rsidRPr="00150CD2" w:rsidRDefault="00037510" w:rsidP="001B7515">
      <w:pPr>
        <w:pStyle w:val="EYBulletedText2"/>
        <w:numPr>
          <w:ilvl w:val="1"/>
          <w:numId w:val="7"/>
        </w:numPr>
        <w:rPr>
          <w:rFonts w:cs="Arial"/>
          <w:lang w:eastAsia="en-AU"/>
        </w:rPr>
      </w:pPr>
      <w:r w:rsidRPr="00150CD2">
        <w:rPr>
          <w:rFonts w:cs="Arial"/>
          <w:lang w:eastAsia="en-AU"/>
        </w:rPr>
        <w:t>Identifying gaps between definition of indicators and outcomes, constraints around time lags, date ranges or other coverage issues</w:t>
      </w:r>
      <w:r w:rsidR="001F2ABA" w:rsidRPr="00150CD2">
        <w:rPr>
          <w:rFonts w:cs="Arial"/>
          <w:lang w:eastAsia="en-AU"/>
        </w:rPr>
        <w:t>.</w:t>
      </w:r>
    </w:p>
    <w:p w14:paraId="7B32E853" w14:textId="219C2CD4" w:rsidR="00037510" w:rsidRPr="00150CD2" w:rsidRDefault="00037510" w:rsidP="001B7515">
      <w:pPr>
        <w:pStyle w:val="EYBulletedText2"/>
        <w:numPr>
          <w:ilvl w:val="1"/>
          <w:numId w:val="7"/>
        </w:numPr>
        <w:rPr>
          <w:rFonts w:cs="Arial"/>
          <w:lang w:eastAsia="en-AU"/>
        </w:rPr>
      </w:pPr>
      <w:r w:rsidRPr="00150CD2">
        <w:rPr>
          <w:rFonts w:cs="Arial"/>
          <w:lang w:eastAsia="en-AU"/>
        </w:rPr>
        <w:t>Descriptive analysis of the proposed indicators, including identifying variations by year, across gender, age groups, ethnicity groups, region, socioeconomic decile and (where applicable) family type, and observations counts for those with SOCRATES records and/or in MidCentral</w:t>
      </w:r>
      <w:r w:rsidR="001F2ABA" w:rsidRPr="00150CD2">
        <w:rPr>
          <w:rFonts w:cs="Arial"/>
          <w:lang w:eastAsia="en-AU"/>
        </w:rPr>
        <w:t>.</w:t>
      </w:r>
      <w:r w:rsidR="00C82E49" w:rsidRPr="00150CD2">
        <w:rPr>
          <w:rFonts w:cs="Arial"/>
          <w:lang w:eastAsia="en-AU"/>
        </w:rPr>
        <w:t xml:space="preserve"> For national level population surveys, changes to data collection in future survey rounds, sample sizes and relatively high sampling errors are also important considerations.</w:t>
      </w:r>
    </w:p>
    <w:p w14:paraId="6B07AB04" w14:textId="17F671D8" w:rsidR="00037510" w:rsidRPr="00150CD2" w:rsidRDefault="00037510" w:rsidP="001B7515">
      <w:pPr>
        <w:pStyle w:val="EYBulletedText2"/>
        <w:numPr>
          <w:ilvl w:val="1"/>
          <w:numId w:val="7"/>
        </w:numPr>
        <w:rPr>
          <w:rFonts w:cs="Arial"/>
          <w:lang w:eastAsia="en-AU"/>
        </w:rPr>
      </w:pPr>
      <w:r w:rsidRPr="00150CD2">
        <w:rPr>
          <w:rFonts w:cs="Arial"/>
          <w:lang w:eastAsia="en-AU"/>
        </w:rPr>
        <w:t>Scan of IDI data dictionaries and research studies which developed findings from these sources or validated these sources against other measures. In addition to the studies examined as part of our data and research scan, we referred to several Statistics NZ studies comparing Census and other survey information with administrative data sources as part of their Census Transformation project.</w:t>
      </w:r>
      <w:r w:rsidR="00B775B9" w:rsidRPr="00150CD2">
        <w:rPr>
          <w:rFonts w:cs="Arial"/>
          <w:lang w:eastAsia="en-AU"/>
        </w:rPr>
        <w:t xml:space="preserve"> </w:t>
      </w:r>
      <w:r w:rsidRPr="00150CD2">
        <w:rPr>
          <w:rFonts w:cs="Arial"/>
        </w:rPr>
        <w:t>These are listed in the Reference section.</w:t>
      </w:r>
    </w:p>
    <w:p w14:paraId="2038A3D4" w14:textId="1CA80838" w:rsidR="00037510" w:rsidRPr="00150CD2" w:rsidRDefault="00037510" w:rsidP="001B7515">
      <w:pPr>
        <w:pStyle w:val="EYBulletedText2"/>
        <w:numPr>
          <w:ilvl w:val="1"/>
          <w:numId w:val="7"/>
        </w:numPr>
        <w:rPr>
          <w:rFonts w:cs="Arial"/>
          <w:lang w:eastAsia="en-AU"/>
        </w:rPr>
      </w:pPr>
      <w:r w:rsidRPr="00150CD2">
        <w:rPr>
          <w:rFonts w:cs="Arial"/>
          <w:lang w:eastAsia="en-AU"/>
        </w:rPr>
        <w:t xml:space="preserve">Drawing on our experience interpreting and testing findings drawn from these administrative datasets with agency representatives; for example, knowledge of policy, practice and recording variations underlying </w:t>
      </w:r>
      <w:r w:rsidR="00A52C97" w:rsidRPr="00150CD2">
        <w:rPr>
          <w:rFonts w:cs="Arial"/>
          <w:lang w:eastAsia="en-AU"/>
        </w:rPr>
        <w:t>c</w:t>
      </w:r>
      <w:r w:rsidRPr="00150CD2">
        <w:rPr>
          <w:rFonts w:cs="Arial"/>
          <w:lang w:eastAsia="en-AU"/>
        </w:rPr>
        <w:t xml:space="preserve">hild </w:t>
      </w:r>
      <w:r w:rsidR="00BB075C" w:rsidRPr="00150CD2">
        <w:rPr>
          <w:rFonts w:cs="Arial"/>
          <w:lang w:eastAsia="en-AU"/>
        </w:rPr>
        <w:t xml:space="preserve">Care and </w:t>
      </w:r>
      <w:r w:rsidRPr="00150CD2">
        <w:rPr>
          <w:rFonts w:cs="Arial"/>
          <w:lang w:eastAsia="en-AU"/>
        </w:rPr>
        <w:t>Protection, Police and Education intervention datasets</w:t>
      </w:r>
      <w:r w:rsidR="00F47A10" w:rsidRPr="00150CD2">
        <w:rPr>
          <w:rFonts w:cs="Arial"/>
          <w:lang w:eastAsia="en-AU"/>
        </w:rPr>
        <w:t>.</w:t>
      </w:r>
    </w:p>
    <w:bookmarkEnd w:id="197"/>
    <w:p w14:paraId="37F1BABB" w14:textId="77777777" w:rsidR="00037510" w:rsidRPr="00150CD2" w:rsidRDefault="00037510" w:rsidP="00D1176D">
      <w:pPr>
        <w:pStyle w:val="EYBodytextwithparaspace"/>
        <w:ind w:left="425"/>
        <w:rPr>
          <w:rFonts w:cs="Arial"/>
          <w:color w:val="000000"/>
          <w:lang w:eastAsia="en-AU"/>
        </w:rPr>
      </w:pPr>
      <w:r w:rsidRPr="00150CD2">
        <w:rPr>
          <w:rFonts w:cs="Arial"/>
          <w:color w:val="000000"/>
          <w:lang w:eastAsia="en-AU"/>
        </w:rPr>
        <w:t>Advisory Group feedback was sought to help inform answers for two criteria in particular, acceptance and equity.</w:t>
      </w:r>
    </w:p>
    <w:p w14:paraId="170B049A" w14:textId="78933CDF" w:rsidR="00F47A10" w:rsidRPr="00150CD2" w:rsidRDefault="00F47A10" w:rsidP="001F2ABA">
      <w:pPr>
        <w:pStyle w:val="EYBodytextwithparaspace"/>
        <w:rPr>
          <w:rFonts w:cs="Arial"/>
        </w:rPr>
      </w:pPr>
      <w:r w:rsidRPr="00150CD2">
        <w:rPr>
          <w:rFonts w:cs="Arial"/>
        </w:rPr>
        <w:br w:type="page"/>
      </w:r>
    </w:p>
    <w:p w14:paraId="16058710" w14:textId="2F51CDCA" w:rsidR="001F2ABA" w:rsidRPr="00150CD2" w:rsidRDefault="00F47A10" w:rsidP="00DF715E">
      <w:pPr>
        <w:pStyle w:val="EYAppendix"/>
        <w:rPr>
          <w:rFonts w:cs="Arial"/>
        </w:rPr>
      </w:pPr>
      <w:bookmarkStart w:id="198" w:name="_Ref34090912"/>
      <w:bookmarkStart w:id="199" w:name="_Toc46365156"/>
      <w:bookmarkStart w:id="200" w:name="_Toc48752374"/>
      <w:r w:rsidRPr="00150CD2">
        <w:rPr>
          <w:rFonts w:cs="Arial"/>
        </w:rPr>
        <w:t>Further information on approach</w:t>
      </w:r>
      <w:r w:rsidR="001F2ABA" w:rsidRPr="00150CD2">
        <w:rPr>
          <w:rFonts w:cs="Arial"/>
        </w:rPr>
        <w:t xml:space="preserve"> for baseline </w:t>
      </w:r>
      <w:r w:rsidRPr="00150CD2">
        <w:rPr>
          <w:rFonts w:cs="Arial"/>
        </w:rPr>
        <w:t>indicator analysis</w:t>
      </w:r>
      <w:bookmarkEnd w:id="198"/>
      <w:bookmarkEnd w:id="199"/>
      <w:bookmarkEnd w:id="200"/>
    </w:p>
    <w:p w14:paraId="6D1B2077" w14:textId="4C36E76B" w:rsidR="001F2ABA" w:rsidRPr="00150CD2" w:rsidRDefault="001F2ABA" w:rsidP="001F2ABA">
      <w:pPr>
        <w:pStyle w:val="EYBodytextwithparaspace"/>
        <w:rPr>
          <w:rFonts w:cs="Arial"/>
        </w:rPr>
      </w:pPr>
      <w:r w:rsidRPr="00150CD2">
        <w:rPr>
          <w:rFonts w:cs="Arial"/>
        </w:rPr>
        <w:t xml:space="preserve">This </w:t>
      </w:r>
      <w:r w:rsidR="00F47A10" w:rsidRPr="00150CD2">
        <w:rPr>
          <w:rFonts w:cs="Arial"/>
        </w:rPr>
        <w:t>appendix</w:t>
      </w:r>
      <w:r w:rsidRPr="00150CD2">
        <w:rPr>
          <w:rFonts w:cs="Arial"/>
        </w:rPr>
        <w:t xml:space="preserve"> sets out the approach used to calculate baseline outcome and service contact indicators described in this report. </w:t>
      </w:r>
    </w:p>
    <w:p w14:paraId="44B96326" w14:textId="77777777" w:rsidR="001F2ABA" w:rsidRPr="00150CD2" w:rsidRDefault="001F2ABA" w:rsidP="00DF715E">
      <w:pPr>
        <w:pStyle w:val="EYSubheading"/>
        <w:rPr>
          <w:rFonts w:cs="Arial"/>
        </w:rPr>
      </w:pPr>
      <w:r w:rsidRPr="00150CD2">
        <w:rPr>
          <w:rFonts w:cs="Arial"/>
        </w:rPr>
        <w:t>Data sources</w:t>
      </w:r>
    </w:p>
    <w:p w14:paraId="64DBA693" w14:textId="094A873A" w:rsidR="001F2ABA" w:rsidRPr="00150CD2" w:rsidRDefault="001F2ABA" w:rsidP="001F2ABA">
      <w:pPr>
        <w:pStyle w:val="EYBodytextwithparaspace"/>
        <w:rPr>
          <w:rFonts w:cs="Arial"/>
        </w:rPr>
      </w:pPr>
      <w:r w:rsidRPr="00150CD2">
        <w:rPr>
          <w:rFonts w:cs="Arial"/>
        </w:rPr>
        <w:t xml:space="preserve">Data presented in this report for people allocated Ministry of Health disability support services is sourced from the Ministry’s Socrates database.  The Socrates database includes all clients who have ever been assessed by Needs Assessment Service Coordination organisations </w:t>
      </w:r>
      <w:r w:rsidR="002C6A49" w:rsidRPr="00150CD2">
        <w:rPr>
          <w:rFonts w:cs="Arial"/>
        </w:rPr>
        <w:t xml:space="preserve">(NASCs) </w:t>
      </w:r>
      <w:r w:rsidRPr="00150CD2">
        <w:rPr>
          <w:rFonts w:cs="Arial"/>
        </w:rPr>
        <w:t xml:space="preserve">for eligibility to access Ministry-funded disability support services. There are 15 NASCs across New Zealand and National Intellectual Disability Care Agencies (NIDCA). </w:t>
      </w:r>
    </w:p>
    <w:p w14:paraId="5992372F" w14:textId="77777777" w:rsidR="001F2ABA" w:rsidRPr="00150CD2" w:rsidRDefault="001F2ABA" w:rsidP="001F2ABA">
      <w:pPr>
        <w:pStyle w:val="EYBodytextwithparaspace"/>
        <w:rPr>
          <w:rFonts w:cs="Arial"/>
        </w:rPr>
      </w:pPr>
      <w:r w:rsidRPr="00150CD2">
        <w:rPr>
          <w:rFonts w:cs="Arial"/>
        </w:rPr>
        <w:t xml:space="preserve">For the analysis of outcomes and service contact indicators based on administrative data, people were categorised as DSS clients if they were allocated DSS funding over the year to 30 June 2018. </w:t>
      </w:r>
    </w:p>
    <w:p w14:paraId="11B9810E" w14:textId="532A62B5" w:rsidR="006E0AD7" w:rsidRPr="00150CD2" w:rsidRDefault="006E0AD7" w:rsidP="001F2ABA">
      <w:pPr>
        <w:pStyle w:val="EYBodytextwithparaspace"/>
        <w:rPr>
          <w:rFonts w:cs="Arial"/>
        </w:rPr>
      </w:pPr>
      <w:r w:rsidRPr="00150CD2">
        <w:rPr>
          <w:rFonts w:cs="Arial"/>
        </w:rPr>
        <w:t xml:space="preserve">The counts of DSS people by prioritised disability and NASC allocated disability support service type were provided by the Ministry </w:t>
      </w:r>
      <w:r w:rsidR="004B7DCD" w:rsidRPr="00150CD2">
        <w:rPr>
          <w:rFonts w:cs="Arial"/>
        </w:rPr>
        <w:t>using</w:t>
      </w:r>
      <w:r w:rsidRPr="00150CD2">
        <w:rPr>
          <w:rFonts w:cs="Arial"/>
        </w:rPr>
        <w:t xml:space="preserve"> updated </w:t>
      </w:r>
      <w:r w:rsidR="004B7DCD" w:rsidRPr="00150CD2">
        <w:rPr>
          <w:rFonts w:cs="Arial"/>
        </w:rPr>
        <w:t>Socrates</w:t>
      </w:r>
      <w:r w:rsidRPr="00150CD2">
        <w:rPr>
          <w:rFonts w:cs="Arial"/>
        </w:rPr>
        <w:t xml:space="preserve"> datasets </w:t>
      </w:r>
      <w:r w:rsidR="004B7DCD" w:rsidRPr="00150CD2">
        <w:rPr>
          <w:rFonts w:cs="Arial"/>
        </w:rPr>
        <w:t xml:space="preserve">and definitions </w:t>
      </w:r>
      <w:r w:rsidRPr="00150CD2">
        <w:rPr>
          <w:rFonts w:cs="Arial"/>
        </w:rPr>
        <w:t>outside the IDI, and have not been subject to Statistics NZ’s confidentialisation process.</w:t>
      </w:r>
    </w:p>
    <w:p w14:paraId="7C7BD8F1" w14:textId="1C199A44" w:rsidR="004B7DCD" w:rsidRPr="00150CD2" w:rsidRDefault="004B7DCD" w:rsidP="001F2ABA">
      <w:pPr>
        <w:pStyle w:val="EYBodytextwithparaspace"/>
        <w:rPr>
          <w:rFonts w:cs="Arial"/>
        </w:rPr>
      </w:pPr>
      <w:r w:rsidRPr="00150CD2">
        <w:rPr>
          <w:rFonts w:cs="Arial"/>
        </w:rPr>
        <w:t>All other figures in the analysis of administrative data were sourced from the IDI and have been subject to Statistics NZ’s confidentialisation process.</w:t>
      </w:r>
    </w:p>
    <w:p w14:paraId="00A3CD4F" w14:textId="77777777" w:rsidR="001F2ABA" w:rsidRPr="00150CD2" w:rsidRDefault="001F2ABA" w:rsidP="00DF715E">
      <w:pPr>
        <w:pStyle w:val="EYSubheading"/>
        <w:rPr>
          <w:rFonts w:cs="Arial"/>
        </w:rPr>
      </w:pPr>
      <w:r w:rsidRPr="00150CD2">
        <w:rPr>
          <w:rFonts w:cs="Arial"/>
        </w:rPr>
        <w:t>Time periods</w:t>
      </w:r>
    </w:p>
    <w:p w14:paraId="78DEED7C" w14:textId="77777777" w:rsidR="001F2ABA" w:rsidRPr="00150CD2" w:rsidRDefault="001F2ABA" w:rsidP="001F2ABA">
      <w:pPr>
        <w:pStyle w:val="EYBodytextwithparaspace"/>
        <w:rPr>
          <w:rFonts w:cs="Arial"/>
        </w:rPr>
      </w:pPr>
      <w:r w:rsidRPr="00150CD2">
        <w:rPr>
          <w:rFonts w:cs="Arial"/>
        </w:rPr>
        <w:t>Outcomes and service contact indicators are summarised:</w:t>
      </w:r>
    </w:p>
    <w:p w14:paraId="1B49A12D" w14:textId="4973C571" w:rsidR="001F2ABA" w:rsidRPr="00150CD2" w:rsidRDefault="001F2ABA" w:rsidP="00DF715E">
      <w:pPr>
        <w:pStyle w:val="EYBodytextwithparaspace"/>
        <w:numPr>
          <w:ilvl w:val="0"/>
          <w:numId w:val="31"/>
        </w:numPr>
        <w:rPr>
          <w:rFonts w:cs="Arial"/>
        </w:rPr>
      </w:pPr>
      <w:r w:rsidRPr="00150CD2">
        <w:rPr>
          <w:rFonts w:cs="Arial"/>
        </w:rPr>
        <w:t>over the 3 year time period 1 July 2015 to 30 June 2018 (for activities / events that take place over a period of time, such as hospitalisations) or</w:t>
      </w:r>
    </w:p>
    <w:p w14:paraId="72B90599" w14:textId="264123DC" w:rsidR="001F2ABA" w:rsidRPr="00150CD2" w:rsidRDefault="001F2ABA" w:rsidP="00DF715E">
      <w:pPr>
        <w:pStyle w:val="EYBodytextwithparaspace"/>
        <w:numPr>
          <w:ilvl w:val="0"/>
          <w:numId w:val="31"/>
        </w:numPr>
        <w:rPr>
          <w:rFonts w:cs="Arial"/>
        </w:rPr>
      </w:pPr>
      <w:r w:rsidRPr="00150CD2">
        <w:rPr>
          <w:rFonts w:cs="Arial"/>
        </w:rPr>
        <w:t>as at 30 June 2018 (for indicators that describe a person’s status at a point in time, e.g. household profile)</w:t>
      </w:r>
    </w:p>
    <w:p w14:paraId="3F18BF02" w14:textId="77777777" w:rsidR="001F2ABA" w:rsidRPr="00150CD2" w:rsidRDefault="001F2ABA" w:rsidP="001F2ABA">
      <w:pPr>
        <w:pStyle w:val="EYBodytextwithparaspace"/>
        <w:rPr>
          <w:rFonts w:cs="Arial"/>
        </w:rPr>
      </w:pPr>
      <w:r w:rsidRPr="00150CD2">
        <w:rPr>
          <w:rFonts w:cs="Arial"/>
        </w:rPr>
        <w:t>The following exceptions apply:</w:t>
      </w:r>
    </w:p>
    <w:p w14:paraId="33649674" w14:textId="77777777" w:rsidR="001F2ABA" w:rsidRPr="00150CD2" w:rsidRDefault="001F2ABA" w:rsidP="00DF715E">
      <w:pPr>
        <w:pStyle w:val="EYBulletedText1"/>
        <w:rPr>
          <w:rFonts w:cs="Arial"/>
        </w:rPr>
      </w:pPr>
      <w:r w:rsidRPr="00150CD2">
        <w:rPr>
          <w:rFonts w:cs="Arial"/>
        </w:rPr>
        <w:t>Hospital, health community provider, pharmaceutical and tertiary education indicators are summarised over the 3 year time period 1 July 2014 to 30 June 2017 or as at 30 June 2017, due to limited data being available for the 2017-18 year at the time of analysis.</w:t>
      </w:r>
    </w:p>
    <w:p w14:paraId="34ECBB1B" w14:textId="77777777" w:rsidR="001F2ABA" w:rsidRPr="00150CD2" w:rsidRDefault="001F2ABA" w:rsidP="00DF715E">
      <w:pPr>
        <w:pStyle w:val="EYBulletedText1"/>
        <w:rPr>
          <w:rFonts w:cs="Arial"/>
        </w:rPr>
      </w:pPr>
      <w:r w:rsidRPr="00150CD2">
        <w:rPr>
          <w:rFonts w:cs="Arial"/>
        </w:rPr>
        <w:t>Polypharmaceutical indicators are summarised over the year to 30 June 2017, as these indicators are defined on an annual basis.</w:t>
      </w:r>
    </w:p>
    <w:p w14:paraId="0F72A88C" w14:textId="536AC1EA" w:rsidR="001F2ABA" w:rsidRPr="00150CD2" w:rsidRDefault="00CE7586" w:rsidP="00DF715E">
      <w:pPr>
        <w:pStyle w:val="EYSubheading"/>
        <w:rPr>
          <w:rFonts w:cs="Arial"/>
        </w:rPr>
      </w:pPr>
      <w:r w:rsidRPr="00150CD2">
        <w:rPr>
          <w:rFonts w:cs="Arial"/>
        </w:rPr>
        <w:t>Client and population count</w:t>
      </w:r>
    </w:p>
    <w:p w14:paraId="314C0C99" w14:textId="6F3B2F78" w:rsidR="00E04DEC" w:rsidRPr="00150CD2" w:rsidRDefault="001F2ABA" w:rsidP="001F2ABA">
      <w:pPr>
        <w:pStyle w:val="EYBodytextwithparaspace"/>
        <w:rPr>
          <w:rFonts w:cs="Arial"/>
        </w:rPr>
      </w:pPr>
      <w:r w:rsidRPr="00150CD2">
        <w:rPr>
          <w:rFonts w:cs="Arial"/>
        </w:rPr>
        <w:t>Each client</w:t>
      </w:r>
      <w:r w:rsidR="00CE7586" w:rsidRPr="00150CD2">
        <w:rPr>
          <w:rFonts w:cs="Arial"/>
        </w:rPr>
        <w:t xml:space="preserve"> or person</w:t>
      </w:r>
      <w:r w:rsidRPr="00150CD2">
        <w:rPr>
          <w:rFonts w:cs="Arial"/>
        </w:rPr>
        <w:t xml:space="preserve"> is counted once during the time period covered by the indicator.</w:t>
      </w:r>
      <w:r w:rsidR="00F47A10" w:rsidRPr="00150CD2">
        <w:rPr>
          <w:rFonts w:cs="Arial"/>
        </w:rPr>
        <w:t xml:space="preserve"> </w:t>
      </w:r>
      <w:r w:rsidR="00CE7586" w:rsidRPr="00150CD2">
        <w:rPr>
          <w:rFonts w:cs="Arial"/>
        </w:rPr>
        <w:t>People who were not considered resident in New Zealand for at least one of the years in the time period have been excluded.</w:t>
      </w:r>
    </w:p>
    <w:p w14:paraId="3CB8C027" w14:textId="3785EDB1" w:rsidR="001F2ABA" w:rsidRPr="00150CD2" w:rsidRDefault="00E04DEC" w:rsidP="001F2ABA">
      <w:pPr>
        <w:pStyle w:val="EYBodytextwithparaspace"/>
        <w:rPr>
          <w:rFonts w:cs="Arial"/>
        </w:rPr>
      </w:pPr>
      <w:r w:rsidRPr="00150CD2">
        <w:rPr>
          <w:rFonts w:cs="Arial"/>
        </w:rPr>
        <w:t>The residential status for each person is an estimate based on the approach developed by Statistics NZ with some minor adjustments. This approach estimates residential status for each year using a number of point-in-time observations from administrative data (e.g. Primary Health Organisation enrolments or Inland Revenue records) and a tolerance range over which this is taken to indicate residency.</w:t>
      </w:r>
      <w:r w:rsidR="00124C64" w:rsidRPr="00150CD2">
        <w:rPr>
          <w:rFonts w:cs="Arial"/>
        </w:rPr>
        <w:t xml:space="preserve"> Note that as a result, </w:t>
      </w:r>
      <w:r w:rsidRPr="00150CD2">
        <w:rPr>
          <w:rFonts w:cs="Arial"/>
        </w:rPr>
        <w:t xml:space="preserve">our analysis may include some time periods for which some </w:t>
      </w:r>
      <w:r w:rsidR="00124C64" w:rsidRPr="00150CD2">
        <w:rPr>
          <w:rFonts w:cs="Arial"/>
        </w:rPr>
        <w:t xml:space="preserve">people </w:t>
      </w:r>
      <w:r w:rsidRPr="00150CD2">
        <w:rPr>
          <w:rFonts w:cs="Arial"/>
        </w:rPr>
        <w:t xml:space="preserve">were not resident in NZ and/or exclude some time periods for which other </w:t>
      </w:r>
      <w:r w:rsidR="00124C64" w:rsidRPr="00150CD2">
        <w:rPr>
          <w:rFonts w:cs="Arial"/>
        </w:rPr>
        <w:t>people</w:t>
      </w:r>
      <w:r w:rsidRPr="00150CD2">
        <w:rPr>
          <w:rFonts w:cs="Arial"/>
        </w:rPr>
        <w:t xml:space="preserve"> were resident in NZ but not present in the data.</w:t>
      </w:r>
    </w:p>
    <w:p w14:paraId="07AB6414" w14:textId="77777777" w:rsidR="001F2ABA" w:rsidRPr="00150CD2" w:rsidRDefault="001F2ABA" w:rsidP="00DF715E">
      <w:pPr>
        <w:pStyle w:val="EYSubheading"/>
        <w:rPr>
          <w:rFonts w:cs="Arial"/>
        </w:rPr>
      </w:pPr>
      <w:r w:rsidRPr="00150CD2">
        <w:rPr>
          <w:rFonts w:cs="Arial"/>
        </w:rPr>
        <w:t>Ethnicity</w:t>
      </w:r>
    </w:p>
    <w:p w14:paraId="6E8BFA3F" w14:textId="77777777" w:rsidR="001F2ABA" w:rsidRPr="00150CD2" w:rsidRDefault="001F2ABA" w:rsidP="001F2ABA">
      <w:pPr>
        <w:pStyle w:val="EYBodytextwithparaspace"/>
        <w:rPr>
          <w:rFonts w:cs="Arial"/>
        </w:rPr>
      </w:pPr>
      <w:r w:rsidRPr="00150CD2">
        <w:rPr>
          <w:rFonts w:cs="Arial"/>
        </w:rPr>
        <w:t>All people identified as having Māori ethnicity are classified as Māori. Ethnicity information for analysis of IDI administrative data is sourced from Statistics NZ’s IDI source ranked ethnicity dataset, which is derived from multiple agency datasets and prioritises sources according to reliability. Further information can be found on Statistics NZ’s website.</w:t>
      </w:r>
    </w:p>
    <w:p w14:paraId="2F640942" w14:textId="7FCC9E7D" w:rsidR="001F2ABA" w:rsidRPr="00150CD2" w:rsidRDefault="001F2ABA" w:rsidP="00DF715E">
      <w:pPr>
        <w:pStyle w:val="EYSubheading"/>
        <w:rPr>
          <w:rFonts w:cs="Arial"/>
        </w:rPr>
      </w:pPr>
      <w:r w:rsidRPr="00150CD2">
        <w:rPr>
          <w:rFonts w:cs="Arial"/>
        </w:rPr>
        <w:t>Location</w:t>
      </w:r>
    </w:p>
    <w:p w14:paraId="5D8192C7" w14:textId="0BD43302" w:rsidR="00745474" w:rsidRPr="00150CD2" w:rsidRDefault="00745474" w:rsidP="00745474">
      <w:pPr>
        <w:pStyle w:val="EYBodytextwithparaspace"/>
        <w:rPr>
          <w:rFonts w:cs="Arial"/>
          <w:lang w:eastAsia="en-AU"/>
        </w:rPr>
      </w:pPr>
      <w:r w:rsidRPr="00150CD2">
        <w:rPr>
          <w:rFonts w:cs="Arial"/>
          <w:lang w:eastAsia="en-AU"/>
        </w:rPr>
        <w:t>DSS clients in MidCentral are defined</w:t>
      </w:r>
      <w:r w:rsidR="0071232C" w:rsidRPr="00150CD2">
        <w:rPr>
          <w:rFonts w:cs="Arial"/>
          <w:lang w:eastAsia="en-AU"/>
        </w:rPr>
        <w:t xml:space="preserve"> as clients who were allocated </w:t>
      </w:r>
      <w:r w:rsidR="00126BC1" w:rsidRPr="00150CD2">
        <w:rPr>
          <w:rFonts w:cs="Arial"/>
          <w:lang w:eastAsia="en-AU"/>
        </w:rPr>
        <w:t xml:space="preserve">disability support </w:t>
      </w:r>
      <w:r w:rsidR="0071232C" w:rsidRPr="00150CD2">
        <w:rPr>
          <w:rFonts w:cs="Arial"/>
          <w:lang w:eastAsia="en-AU"/>
        </w:rPr>
        <w:t>services by Enable New Zealand NASC.</w:t>
      </w:r>
      <w:r w:rsidR="00D00D39" w:rsidRPr="00150CD2">
        <w:rPr>
          <w:rFonts w:cs="Arial"/>
          <w:lang w:eastAsia="en-AU"/>
        </w:rPr>
        <w:t xml:space="preserve"> </w:t>
      </w:r>
      <w:r w:rsidR="0071232C" w:rsidRPr="00150CD2">
        <w:rPr>
          <w:rFonts w:cs="Arial"/>
          <w:lang w:eastAsia="en-AU"/>
        </w:rPr>
        <w:t>Enable New Zealand was the NASC in the area before Mana Whaikaha</w:t>
      </w:r>
      <w:r w:rsidR="00D00D39" w:rsidRPr="00150CD2">
        <w:rPr>
          <w:rFonts w:cs="Arial"/>
          <w:lang w:eastAsia="en-AU"/>
        </w:rPr>
        <w:t xml:space="preserve"> was implemented</w:t>
      </w:r>
      <w:r w:rsidR="0071232C" w:rsidRPr="00150CD2">
        <w:rPr>
          <w:rFonts w:cs="Arial"/>
          <w:lang w:eastAsia="en-AU"/>
        </w:rPr>
        <w:t xml:space="preserve">. </w:t>
      </w:r>
    </w:p>
    <w:p w14:paraId="2BC401EB" w14:textId="4EE8C489" w:rsidR="001F2ABA" w:rsidRPr="00150CD2" w:rsidRDefault="001F2ABA" w:rsidP="001F2ABA">
      <w:pPr>
        <w:pStyle w:val="EYBodytextwithparaspace"/>
        <w:rPr>
          <w:rFonts w:cs="Arial"/>
        </w:rPr>
      </w:pPr>
      <w:r w:rsidRPr="00150CD2">
        <w:rPr>
          <w:rFonts w:cs="Arial"/>
        </w:rPr>
        <w:t xml:space="preserve">MidCentral location flags for each </w:t>
      </w:r>
      <w:r w:rsidR="00A339B2" w:rsidRPr="00150CD2">
        <w:rPr>
          <w:rFonts w:cs="Arial"/>
        </w:rPr>
        <w:t>non-DSS person</w:t>
      </w:r>
      <w:r w:rsidRPr="00150CD2">
        <w:rPr>
          <w:rFonts w:cs="Arial"/>
        </w:rPr>
        <w:t xml:space="preserve"> </w:t>
      </w:r>
      <w:r w:rsidR="00745474" w:rsidRPr="00150CD2">
        <w:rPr>
          <w:rFonts w:cs="Arial"/>
        </w:rPr>
        <w:t>in that region</w:t>
      </w:r>
      <w:r w:rsidRPr="00150CD2">
        <w:rPr>
          <w:rFonts w:cs="Arial"/>
        </w:rPr>
        <w:t xml:space="preserve"> have been derived from the most recent </w:t>
      </w:r>
      <w:r w:rsidR="00FF642F" w:rsidRPr="00150CD2">
        <w:rPr>
          <w:rFonts w:cs="Arial"/>
        </w:rPr>
        <w:t xml:space="preserve">residential </w:t>
      </w:r>
      <w:r w:rsidRPr="00150CD2">
        <w:rPr>
          <w:rFonts w:cs="Arial"/>
        </w:rPr>
        <w:t xml:space="preserve">address information available at 30 June 2018. Address information is sourced from Statistics NZ’s IDI address notifications dataset, which is derived from multiple agency datasets and prioritises sources based on a set of business rules. Statistics NZ’s meshblock to DHB region concordance tables are used to identify addresses within the MidCentral DHB region. </w:t>
      </w:r>
    </w:p>
    <w:p w14:paraId="6C711948" w14:textId="77777777" w:rsidR="001F2ABA" w:rsidRPr="00150CD2" w:rsidRDefault="001F2ABA" w:rsidP="00DF715E">
      <w:pPr>
        <w:pStyle w:val="EYSubheading"/>
        <w:rPr>
          <w:rFonts w:cs="Arial"/>
        </w:rPr>
      </w:pPr>
      <w:r w:rsidRPr="00150CD2">
        <w:rPr>
          <w:rFonts w:cs="Arial"/>
        </w:rPr>
        <w:t>Age</w:t>
      </w:r>
    </w:p>
    <w:p w14:paraId="6A26E99D" w14:textId="558B5E1D" w:rsidR="001F2ABA" w:rsidRPr="00150CD2" w:rsidRDefault="001F2ABA" w:rsidP="001F2ABA">
      <w:pPr>
        <w:pStyle w:val="EYBodytextwithparaspace"/>
        <w:rPr>
          <w:rFonts w:cs="Arial"/>
        </w:rPr>
      </w:pPr>
      <w:r w:rsidRPr="00150CD2">
        <w:rPr>
          <w:rFonts w:cs="Arial"/>
        </w:rPr>
        <w:t>For outcomes and service contact indicators summarised over a 3 year time period, people have been grouped according to their age at the start of the period.</w:t>
      </w:r>
    </w:p>
    <w:p w14:paraId="71DD1CCD" w14:textId="77777777" w:rsidR="001F2ABA" w:rsidRPr="00150CD2" w:rsidRDefault="001F2ABA" w:rsidP="001F2ABA">
      <w:pPr>
        <w:pStyle w:val="EYBodytextwithparaspace"/>
        <w:rPr>
          <w:rFonts w:cs="Arial"/>
        </w:rPr>
      </w:pPr>
      <w:r w:rsidRPr="00150CD2">
        <w:rPr>
          <w:rFonts w:cs="Arial"/>
        </w:rPr>
        <w:t xml:space="preserve">For outcome and service contact indicators summarised as at 30 June 2018, people have been grouped according to their age at 30 June 2018. </w:t>
      </w:r>
    </w:p>
    <w:p w14:paraId="7BFF1C4A" w14:textId="52C895E8" w:rsidR="001F2ABA" w:rsidRPr="00150CD2" w:rsidRDefault="001F2ABA" w:rsidP="00DF715E">
      <w:pPr>
        <w:pStyle w:val="EYSubheading"/>
        <w:rPr>
          <w:rFonts w:cs="Arial"/>
        </w:rPr>
      </w:pPr>
      <w:r w:rsidRPr="00150CD2">
        <w:rPr>
          <w:rFonts w:cs="Arial"/>
        </w:rPr>
        <w:t>Disability type</w:t>
      </w:r>
      <w:r w:rsidR="0036459A" w:rsidRPr="00150CD2">
        <w:rPr>
          <w:rFonts w:cs="Arial"/>
        </w:rPr>
        <w:t>,</w:t>
      </w:r>
      <w:r w:rsidRPr="00150CD2">
        <w:rPr>
          <w:rFonts w:cs="Arial"/>
        </w:rPr>
        <w:t xml:space="preserve"> SPA level</w:t>
      </w:r>
      <w:r w:rsidR="0036459A" w:rsidRPr="00150CD2">
        <w:rPr>
          <w:rFonts w:cs="Arial"/>
        </w:rPr>
        <w:t xml:space="preserve"> and services allocated</w:t>
      </w:r>
    </w:p>
    <w:p w14:paraId="4F95730C" w14:textId="742BD2D3" w:rsidR="00037510" w:rsidRPr="00150CD2" w:rsidRDefault="001F2ABA" w:rsidP="001F2ABA">
      <w:pPr>
        <w:pStyle w:val="EYBodytextwithparaspace"/>
        <w:rPr>
          <w:rFonts w:cs="Arial"/>
        </w:rPr>
      </w:pPr>
      <w:r w:rsidRPr="00150CD2">
        <w:rPr>
          <w:rFonts w:cs="Arial"/>
        </w:rPr>
        <w:t>Disability type</w:t>
      </w:r>
      <w:r w:rsidR="0036459A" w:rsidRPr="00150CD2">
        <w:rPr>
          <w:rFonts w:cs="Arial"/>
        </w:rPr>
        <w:t>,</w:t>
      </w:r>
      <w:r w:rsidRPr="00150CD2">
        <w:rPr>
          <w:rFonts w:cs="Arial"/>
        </w:rPr>
        <w:t xml:space="preserve"> SPA level and </w:t>
      </w:r>
      <w:r w:rsidR="0036459A" w:rsidRPr="00150CD2">
        <w:rPr>
          <w:rFonts w:cs="Arial"/>
        </w:rPr>
        <w:t>allocated service</w:t>
      </w:r>
      <w:r w:rsidRPr="00150CD2">
        <w:rPr>
          <w:rFonts w:cs="Arial"/>
        </w:rPr>
        <w:t xml:space="preserve"> categories are based on information from each DSS client’s most recent NASC assessment as at 30 June 2018.</w:t>
      </w:r>
    </w:p>
    <w:p w14:paraId="0F46810F" w14:textId="5C49D1DD" w:rsidR="00B963AF" w:rsidRPr="00150CD2" w:rsidRDefault="00B963AF" w:rsidP="00B963AF">
      <w:pPr>
        <w:pStyle w:val="EYSubheading"/>
        <w:rPr>
          <w:rFonts w:cs="Arial"/>
        </w:rPr>
      </w:pPr>
      <w:r w:rsidRPr="00150CD2">
        <w:rPr>
          <w:rFonts w:cs="Arial"/>
        </w:rPr>
        <w:t>Child to parent/caregiver and partner relationships</w:t>
      </w:r>
    </w:p>
    <w:p w14:paraId="363CEA20" w14:textId="7CC5A19D" w:rsidR="00F87976" w:rsidRPr="00150CD2" w:rsidRDefault="00B963AF" w:rsidP="00B963AF">
      <w:pPr>
        <w:pStyle w:val="EYBodytextwithparaspace"/>
        <w:rPr>
          <w:rFonts w:cs="Arial"/>
        </w:rPr>
      </w:pPr>
      <w:r w:rsidRPr="00150CD2">
        <w:rPr>
          <w:rFonts w:cs="Arial"/>
        </w:rPr>
        <w:t xml:space="preserve">Children </w:t>
      </w:r>
      <w:r w:rsidR="00D075A6" w:rsidRPr="00150CD2">
        <w:rPr>
          <w:rFonts w:cs="Arial"/>
        </w:rPr>
        <w:t>are</w:t>
      </w:r>
      <w:r w:rsidRPr="00150CD2">
        <w:rPr>
          <w:rFonts w:cs="Arial"/>
        </w:rPr>
        <w:t xml:space="preserve"> linked to parents/caregivers </w:t>
      </w:r>
      <w:r w:rsidR="003F1B58" w:rsidRPr="00150CD2">
        <w:rPr>
          <w:rFonts w:cs="Arial"/>
        </w:rPr>
        <w:t xml:space="preserve">over each analysis year </w:t>
      </w:r>
      <w:r w:rsidR="00D075A6" w:rsidRPr="00150CD2">
        <w:rPr>
          <w:rFonts w:cs="Arial"/>
        </w:rPr>
        <w:t>using</w:t>
      </w:r>
      <w:r w:rsidRPr="00150CD2">
        <w:rPr>
          <w:rFonts w:cs="Arial"/>
        </w:rPr>
        <w:t xml:space="preserve"> births, immigration, Census 2013 and benefits data</w:t>
      </w:r>
      <w:r w:rsidR="00D075A6" w:rsidRPr="00150CD2">
        <w:rPr>
          <w:rFonts w:cs="Arial"/>
        </w:rPr>
        <w:t xml:space="preserve"> (including where the parent/caregiver is a partner of the main benefit recipient).</w:t>
      </w:r>
    </w:p>
    <w:p w14:paraId="51E13FC5" w14:textId="1A9A8DC1" w:rsidR="00D075A6" w:rsidRPr="00150CD2" w:rsidRDefault="00D075A6" w:rsidP="00B963AF">
      <w:pPr>
        <w:pStyle w:val="EYBodytextwithparaspace"/>
        <w:rPr>
          <w:rFonts w:cs="Arial"/>
        </w:rPr>
      </w:pPr>
      <w:r w:rsidRPr="00150CD2">
        <w:rPr>
          <w:rFonts w:cs="Arial"/>
        </w:rPr>
        <w:t xml:space="preserve">Adults are identified as having a formal partner relationship </w:t>
      </w:r>
      <w:r w:rsidR="003F1B58" w:rsidRPr="00150CD2">
        <w:rPr>
          <w:rFonts w:cs="Arial"/>
        </w:rPr>
        <w:t xml:space="preserve">over each analysis year </w:t>
      </w:r>
      <w:r w:rsidRPr="00150CD2">
        <w:rPr>
          <w:rFonts w:cs="Arial"/>
        </w:rPr>
        <w:t xml:space="preserve">using marriages, civil unions, </w:t>
      </w:r>
      <w:r w:rsidR="00F87976" w:rsidRPr="00150CD2">
        <w:rPr>
          <w:rFonts w:cs="Arial"/>
        </w:rPr>
        <w:t xml:space="preserve">immigration, </w:t>
      </w:r>
      <w:r w:rsidRPr="00150CD2">
        <w:rPr>
          <w:rFonts w:cs="Arial"/>
        </w:rPr>
        <w:t>Census 2013 and benefits data.</w:t>
      </w:r>
    </w:p>
    <w:p w14:paraId="2D1DF302" w14:textId="308203CA" w:rsidR="00B963AF" w:rsidRPr="00150CD2" w:rsidRDefault="003F1B58" w:rsidP="001F2ABA">
      <w:pPr>
        <w:pStyle w:val="EYBodytextwithparaspace"/>
        <w:rPr>
          <w:rFonts w:cs="Arial"/>
        </w:rPr>
      </w:pPr>
      <w:r w:rsidRPr="00150CD2">
        <w:rPr>
          <w:rFonts w:cs="Arial"/>
        </w:rPr>
        <w:t>Where relationships have changed over time, the most recent observation up to the analysis year has been used.</w:t>
      </w:r>
    </w:p>
    <w:p w14:paraId="06D8315B" w14:textId="1AD01E12" w:rsidR="00F87976" w:rsidRPr="00150CD2" w:rsidRDefault="00F87976" w:rsidP="001F2ABA">
      <w:pPr>
        <w:pStyle w:val="EYBodytextwithparaspace"/>
        <w:rPr>
          <w:rFonts w:cs="Arial"/>
        </w:rPr>
      </w:pPr>
      <w:r w:rsidRPr="00150CD2">
        <w:rPr>
          <w:rFonts w:cs="Arial"/>
        </w:rPr>
        <w:t xml:space="preserve">Observations around family units and partner relationships should be treated as estimates and care taken in interpretation, as there are known limitations around their coverage in administrative data. Refer to </w:t>
      </w:r>
      <w:r w:rsidR="008F6A81" w:rsidRPr="00150CD2">
        <w:rPr>
          <w:rFonts w:cs="Arial"/>
        </w:rPr>
        <w:fldChar w:fldCharType="begin"/>
      </w:r>
      <w:r w:rsidR="008F6A81" w:rsidRPr="00150CD2">
        <w:rPr>
          <w:rFonts w:cs="Arial"/>
        </w:rPr>
        <w:instrText xml:space="preserve"> REF _Ref44353373 \r \h </w:instrText>
      </w:r>
      <w:r w:rsidR="00150CD2">
        <w:rPr>
          <w:rFonts w:cs="Arial"/>
        </w:rPr>
        <w:instrText xml:space="preserve"> \* MERGEFORMAT </w:instrText>
      </w:r>
      <w:r w:rsidR="008F6A81" w:rsidRPr="00150CD2">
        <w:rPr>
          <w:rFonts w:cs="Arial"/>
        </w:rPr>
      </w:r>
      <w:r w:rsidR="008F6A81" w:rsidRPr="00150CD2">
        <w:rPr>
          <w:rFonts w:cs="Arial"/>
        </w:rPr>
        <w:fldChar w:fldCharType="separate"/>
      </w:r>
      <w:r w:rsidR="00053D9A" w:rsidRPr="00150CD2">
        <w:rPr>
          <w:rFonts w:cs="Arial"/>
        </w:rPr>
        <w:t>Appendix D</w:t>
      </w:r>
      <w:r w:rsidR="008F6A81" w:rsidRPr="00150CD2">
        <w:rPr>
          <w:rFonts w:cs="Arial"/>
        </w:rPr>
        <w:fldChar w:fldCharType="end"/>
      </w:r>
      <w:r w:rsidR="008F6A81" w:rsidRPr="00150CD2">
        <w:rPr>
          <w:rFonts w:cs="Arial"/>
        </w:rPr>
        <w:t xml:space="preserve"> for further information.</w:t>
      </w:r>
    </w:p>
    <w:p w14:paraId="6EA8437A" w14:textId="5B4FC9FD" w:rsidR="00A64109" w:rsidRPr="00150CD2" w:rsidRDefault="00A64109" w:rsidP="005069BF">
      <w:pPr>
        <w:pStyle w:val="EYSubheading"/>
        <w:rPr>
          <w:rFonts w:cs="Arial"/>
        </w:rPr>
      </w:pPr>
      <w:r w:rsidRPr="00150CD2">
        <w:rPr>
          <w:rFonts w:cs="Arial"/>
        </w:rPr>
        <w:t>Indicator rates</w:t>
      </w:r>
    </w:p>
    <w:p w14:paraId="14675D24" w14:textId="12E871E9" w:rsidR="006439DC" w:rsidRPr="00150CD2" w:rsidRDefault="00A64109" w:rsidP="001F2ABA">
      <w:pPr>
        <w:pStyle w:val="EYBodytextwithparaspace"/>
        <w:rPr>
          <w:rFonts w:cs="Arial"/>
        </w:rPr>
      </w:pPr>
      <w:r w:rsidRPr="00150CD2">
        <w:rPr>
          <w:rFonts w:cs="Arial"/>
        </w:rPr>
        <w:t xml:space="preserve">Outcomes and service contact indicators have been </w:t>
      </w:r>
      <w:r w:rsidR="006439DC" w:rsidRPr="00150CD2">
        <w:rPr>
          <w:rFonts w:cs="Arial"/>
        </w:rPr>
        <w:t xml:space="preserve">calculated as </w:t>
      </w:r>
      <w:r w:rsidRPr="00150CD2">
        <w:rPr>
          <w:rFonts w:cs="Arial"/>
        </w:rPr>
        <w:t>crude rates. Crude rates are</w:t>
      </w:r>
      <w:r w:rsidR="006439DC" w:rsidRPr="00150CD2">
        <w:rPr>
          <w:rFonts w:cs="Arial"/>
        </w:rPr>
        <w:t>:</w:t>
      </w:r>
    </w:p>
    <w:p w14:paraId="1F04E4B3" w14:textId="62D5EFCE" w:rsidR="00A64109" w:rsidRPr="00150CD2" w:rsidRDefault="00A64109" w:rsidP="005069BF">
      <w:pPr>
        <w:pStyle w:val="EYBulletedText1"/>
        <w:rPr>
          <w:rFonts w:cs="Arial"/>
        </w:rPr>
      </w:pPr>
      <w:r w:rsidRPr="00150CD2">
        <w:rPr>
          <w:rFonts w:cs="Arial"/>
        </w:rPr>
        <w:t>the number of people</w:t>
      </w:r>
      <w:r w:rsidR="006439DC" w:rsidRPr="00150CD2">
        <w:rPr>
          <w:rFonts w:cs="Arial"/>
        </w:rPr>
        <w:t xml:space="preserve"> in the population group of interest who</w:t>
      </w:r>
      <w:r w:rsidRPr="00150CD2">
        <w:rPr>
          <w:rFonts w:cs="Arial"/>
        </w:rPr>
        <w:t xml:space="preserve"> </w:t>
      </w:r>
      <w:r w:rsidR="006439DC" w:rsidRPr="00150CD2">
        <w:rPr>
          <w:rFonts w:cs="Arial"/>
        </w:rPr>
        <w:t>experienced the outcome or had at least one service contact over the analysis period</w:t>
      </w:r>
    </w:p>
    <w:p w14:paraId="2078357A" w14:textId="0E66A47C" w:rsidR="006439DC" w:rsidRPr="00150CD2" w:rsidRDefault="006439DC">
      <w:pPr>
        <w:pStyle w:val="EYBodytextwithparaspace"/>
        <w:rPr>
          <w:rFonts w:cs="Arial"/>
        </w:rPr>
      </w:pPr>
      <w:r w:rsidRPr="00150CD2">
        <w:rPr>
          <w:rFonts w:cs="Arial"/>
        </w:rPr>
        <w:t>divided by</w:t>
      </w:r>
    </w:p>
    <w:p w14:paraId="12C0D4CF" w14:textId="76AE0AD6" w:rsidR="006439DC" w:rsidRPr="00150CD2" w:rsidRDefault="006439DC" w:rsidP="005069BF">
      <w:pPr>
        <w:pStyle w:val="EYBulletedText1"/>
        <w:rPr>
          <w:rFonts w:cs="Arial"/>
        </w:rPr>
      </w:pPr>
      <w:r w:rsidRPr="00150CD2">
        <w:rPr>
          <w:rFonts w:cs="Arial"/>
        </w:rPr>
        <w:t>the number of people in the population group of interest</w:t>
      </w:r>
    </w:p>
    <w:p w14:paraId="0DE2BD04" w14:textId="50F48DF7" w:rsidR="006439DC" w:rsidRPr="00150CD2" w:rsidRDefault="006439DC" w:rsidP="001F2ABA">
      <w:pPr>
        <w:pStyle w:val="EYBodytextwithparaspace"/>
        <w:rPr>
          <w:rFonts w:cs="Arial"/>
        </w:rPr>
      </w:pPr>
      <w:r w:rsidRPr="00150CD2">
        <w:rPr>
          <w:rFonts w:cs="Arial"/>
        </w:rPr>
        <w:t xml:space="preserve">For example, if </w:t>
      </w:r>
      <w:r w:rsidR="00A7082E" w:rsidRPr="00150CD2">
        <w:rPr>
          <w:rFonts w:cs="Arial"/>
        </w:rPr>
        <w:t>there are 100 people in a population group defined by age and disability type, and 40 people had at least one emergency department contact over a 3 year period, then 40% of this group has had emergency department contact over the analysis period.</w:t>
      </w:r>
    </w:p>
    <w:p w14:paraId="6D58EB1D" w14:textId="319ED9B3" w:rsidR="00A7082E" w:rsidRPr="00150CD2" w:rsidRDefault="00A7082E" w:rsidP="001F2ABA">
      <w:pPr>
        <w:pStyle w:val="EYBodytextwithparaspace"/>
        <w:rPr>
          <w:rFonts w:cs="Arial"/>
        </w:rPr>
      </w:pPr>
      <w:r w:rsidRPr="00150CD2">
        <w:rPr>
          <w:rFonts w:cs="Arial"/>
        </w:rPr>
        <w:t>Crude rates accurately describe the observations for each population</w:t>
      </w:r>
      <w:r w:rsidR="004A316D" w:rsidRPr="00150CD2">
        <w:rPr>
          <w:rFonts w:cs="Arial"/>
        </w:rPr>
        <w:t xml:space="preserve">. However, crude rates do not take into account differences in the distribution of age, gender, </w:t>
      </w:r>
      <w:r w:rsidR="000B0A18" w:rsidRPr="00150CD2">
        <w:rPr>
          <w:rFonts w:cs="Arial"/>
        </w:rPr>
        <w:t xml:space="preserve">socioeconomic status </w:t>
      </w:r>
      <w:r w:rsidR="004A316D" w:rsidRPr="00150CD2">
        <w:rPr>
          <w:rFonts w:cs="Arial"/>
        </w:rPr>
        <w:t xml:space="preserve">or other </w:t>
      </w:r>
      <w:r w:rsidR="000B0A18" w:rsidRPr="00150CD2">
        <w:rPr>
          <w:rFonts w:cs="Arial"/>
        </w:rPr>
        <w:t>characteristics</w:t>
      </w:r>
      <w:r w:rsidR="004A316D" w:rsidRPr="00150CD2">
        <w:rPr>
          <w:rFonts w:cs="Arial"/>
        </w:rPr>
        <w:t xml:space="preserve"> between two comparison groups. The majority of the rates presented in this report are split by age group and an additional characteristic (such as disability type) which addresses some of the potential differences. When comparing rates between two groups, consideration should be taken as to whether there are other differences in the population groups that may contribute to variation in outcomes and service contact. </w:t>
      </w:r>
    </w:p>
    <w:p w14:paraId="361285B0" w14:textId="524239FD" w:rsidR="00363BEF" w:rsidRPr="00150CD2" w:rsidRDefault="00363BEF" w:rsidP="001F2ABA">
      <w:pPr>
        <w:pStyle w:val="EYBodytextwithparaspace"/>
        <w:rPr>
          <w:rFonts w:cs="Arial"/>
        </w:rPr>
      </w:pPr>
      <w:r w:rsidRPr="00150CD2">
        <w:rPr>
          <w:rFonts w:cs="Arial"/>
        </w:rPr>
        <w:t xml:space="preserve">In general, differences in </w:t>
      </w:r>
      <w:r w:rsidR="00D6220B" w:rsidRPr="00150CD2">
        <w:rPr>
          <w:rFonts w:cs="Arial"/>
        </w:rPr>
        <w:t xml:space="preserve">outcome and service contact </w:t>
      </w:r>
      <w:r w:rsidRPr="00150CD2">
        <w:rPr>
          <w:rFonts w:cs="Arial"/>
        </w:rPr>
        <w:t xml:space="preserve">rates that are highlighted as being ‘higher’, ‘lower’ or ‘significant’ in Section </w:t>
      </w:r>
      <w:r w:rsidRPr="00150CD2">
        <w:rPr>
          <w:rFonts w:cs="Arial"/>
        </w:rPr>
        <w:fldChar w:fldCharType="begin"/>
      </w:r>
      <w:r w:rsidRPr="00150CD2">
        <w:rPr>
          <w:rFonts w:cs="Arial"/>
        </w:rPr>
        <w:instrText xml:space="preserve"> REF _Ref26027250 \r \h </w:instrText>
      </w:r>
      <w:r w:rsidR="00150CD2">
        <w:rPr>
          <w:rFonts w:cs="Arial"/>
        </w:rPr>
        <w:instrText xml:space="preserve"> \* MERGEFORMAT </w:instrText>
      </w:r>
      <w:r w:rsidRPr="00150CD2">
        <w:rPr>
          <w:rFonts w:cs="Arial"/>
        </w:rPr>
      </w:r>
      <w:r w:rsidRPr="00150CD2">
        <w:rPr>
          <w:rFonts w:cs="Arial"/>
        </w:rPr>
        <w:fldChar w:fldCharType="separate"/>
      </w:r>
      <w:r w:rsidR="00053D9A" w:rsidRPr="00150CD2">
        <w:rPr>
          <w:rFonts w:cs="Arial"/>
        </w:rPr>
        <w:t>5</w:t>
      </w:r>
      <w:r w:rsidRPr="00150CD2">
        <w:rPr>
          <w:rFonts w:cs="Arial"/>
        </w:rPr>
        <w:fldChar w:fldCharType="end"/>
      </w:r>
      <w:r w:rsidRPr="00150CD2">
        <w:rPr>
          <w:rFonts w:cs="Arial"/>
        </w:rPr>
        <w:t xml:space="preserve"> and </w:t>
      </w:r>
      <w:r w:rsidRPr="00150CD2">
        <w:rPr>
          <w:rFonts w:cs="Arial"/>
        </w:rPr>
        <w:fldChar w:fldCharType="begin"/>
      </w:r>
      <w:r w:rsidRPr="00150CD2">
        <w:rPr>
          <w:rFonts w:cs="Arial"/>
        </w:rPr>
        <w:instrText xml:space="preserve"> REF _Ref34055366 \r \h </w:instrText>
      </w:r>
      <w:r w:rsidR="00150CD2">
        <w:rPr>
          <w:rFonts w:cs="Arial"/>
        </w:rPr>
        <w:instrText xml:space="preserve"> \* MERGEFORMAT </w:instrText>
      </w:r>
      <w:r w:rsidRPr="00150CD2">
        <w:rPr>
          <w:rFonts w:cs="Arial"/>
        </w:rPr>
      </w:r>
      <w:r w:rsidRPr="00150CD2">
        <w:rPr>
          <w:rFonts w:cs="Arial"/>
        </w:rPr>
        <w:fldChar w:fldCharType="separate"/>
      </w:r>
      <w:r w:rsidR="00053D9A" w:rsidRPr="00150CD2">
        <w:rPr>
          <w:rFonts w:cs="Arial"/>
        </w:rPr>
        <w:t>Appendix H</w:t>
      </w:r>
      <w:r w:rsidRPr="00150CD2">
        <w:rPr>
          <w:rFonts w:cs="Arial"/>
        </w:rPr>
        <w:fldChar w:fldCharType="end"/>
      </w:r>
      <w:r w:rsidRPr="00150CD2">
        <w:rPr>
          <w:rFonts w:cs="Arial"/>
        </w:rPr>
        <w:t xml:space="preserve"> are statistically significant at the 95</w:t>
      </w:r>
      <w:r w:rsidRPr="00150CD2">
        <w:rPr>
          <w:rFonts w:cs="Arial"/>
          <w:vertAlign w:val="superscript"/>
        </w:rPr>
        <w:t>th</w:t>
      </w:r>
      <w:r w:rsidRPr="00150CD2">
        <w:rPr>
          <w:rFonts w:cs="Arial"/>
        </w:rPr>
        <w:t xml:space="preserve"> percentile level. (That is, there is a 95% probability that the difference between the two groups is greater than zero).</w:t>
      </w:r>
    </w:p>
    <w:p w14:paraId="68370A03" w14:textId="6EF0E82D" w:rsidR="00E24DAA" w:rsidRPr="00150CD2" w:rsidRDefault="00E24DAA" w:rsidP="005069BF">
      <w:pPr>
        <w:pStyle w:val="EYSubheading"/>
        <w:rPr>
          <w:rFonts w:cs="Arial"/>
        </w:rPr>
      </w:pPr>
      <w:r w:rsidRPr="00150CD2">
        <w:rPr>
          <w:rFonts w:cs="Arial"/>
        </w:rPr>
        <w:t>Confidence intervals</w:t>
      </w:r>
    </w:p>
    <w:p w14:paraId="1D245B21" w14:textId="4570213F" w:rsidR="00E24DAA" w:rsidRPr="00150CD2" w:rsidRDefault="00E24DAA" w:rsidP="00E24DAA">
      <w:pPr>
        <w:pStyle w:val="EYBodytextwithparaspace"/>
        <w:rPr>
          <w:rFonts w:cs="Arial"/>
        </w:rPr>
      </w:pPr>
      <w:r w:rsidRPr="00150CD2">
        <w:rPr>
          <w:rFonts w:cs="Arial"/>
        </w:rPr>
        <w:t>A confidence interval gives an indication of uncertainty around an outcome or service contact rate. The confidence intervals presented in the graphs are calculated at the 95</w:t>
      </w:r>
      <w:r w:rsidRPr="00150CD2">
        <w:rPr>
          <w:rFonts w:cs="Arial"/>
          <w:vertAlign w:val="superscript"/>
        </w:rPr>
        <w:t>th</w:t>
      </w:r>
      <w:r w:rsidRPr="00150CD2">
        <w:rPr>
          <w:rFonts w:cs="Arial"/>
        </w:rPr>
        <w:t xml:space="preserve"> percentile level (</w:t>
      </w:r>
      <w:r w:rsidR="00991070" w:rsidRPr="00150CD2">
        <w:rPr>
          <w:rFonts w:cs="Arial"/>
        </w:rPr>
        <w:t>that is,</w:t>
      </w:r>
      <w:r w:rsidRPr="00150CD2">
        <w:rPr>
          <w:rFonts w:cs="Arial"/>
        </w:rPr>
        <w:t xml:space="preserve"> each </w:t>
      </w:r>
      <w:r w:rsidR="00991070" w:rsidRPr="00150CD2">
        <w:rPr>
          <w:rFonts w:cs="Arial"/>
        </w:rPr>
        <w:t xml:space="preserve">confidence interval </w:t>
      </w:r>
      <w:r w:rsidRPr="00150CD2">
        <w:rPr>
          <w:rFonts w:cs="Arial"/>
        </w:rPr>
        <w:t xml:space="preserve">has a 95% probability of enclosing the true </w:t>
      </w:r>
      <w:r w:rsidR="00991070" w:rsidRPr="00150CD2">
        <w:rPr>
          <w:rFonts w:cs="Arial"/>
        </w:rPr>
        <w:t>rate</w:t>
      </w:r>
      <w:r w:rsidRPr="00150CD2">
        <w:rPr>
          <w:rFonts w:cs="Arial"/>
        </w:rPr>
        <w:t>).</w:t>
      </w:r>
    </w:p>
    <w:p w14:paraId="2B07E788" w14:textId="40659EDC" w:rsidR="00E24DAA" w:rsidRPr="00150CD2" w:rsidRDefault="00E24DAA" w:rsidP="00E24DAA">
      <w:pPr>
        <w:pStyle w:val="EYBodytextwithparaspace"/>
        <w:rPr>
          <w:rFonts w:cs="Arial"/>
        </w:rPr>
      </w:pPr>
      <w:r w:rsidRPr="00150CD2">
        <w:rPr>
          <w:rFonts w:cs="Arial"/>
        </w:rPr>
        <w:t xml:space="preserve">The </w:t>
      </w:r>
      <w:r w:rsidR="00991070" w:rsidRPr="00150CD2">
        <w:rPr>
          <w:rFonts w:cs="Arial"/>
        </w:rPr>
        <w:t xml:space="preserve">confidence interval </w:t>
      </w:r>
      <w:r w:rsidRPr="00150CD2">
        <w:rPr>
          <w:rFonts w:cs="Arial"/>
        </w:rPr>
        <w:t xml:space="preserve">is influenced by the size of </w:t>
      </w:r>
      <w:r w:rsidR="00991070" w:rsidRPr="00150CD2">
        <w:rPr>
          <w:rFonts w:cs="Arial"/>
        </w:rPr>
        <w:t>each population</w:t>
      </w:r>
      <w:r w:rsidRPr="00150CD2">
        <w:rPr>
          <w:rFonts w:cs="Arial"/>
        </w:rPr>
        <w:t xml:space="preserve"> group. </w:t>
      </w:r>
      <w:r w:rsidR="00991070" w:rsidRPr="00150CD2">
        <w:rPr>
          <w:rFonts w:cs="Arial"/>
        </w:rPr>
        <w:t>Smaller population groups have fewer observations and so there is less certainty about the rate. As a result, MidCentral DSS population groups have wider confidence intervals when compared to the equivalent national DSS population group.</w:t>
      </w:r>
    </w:p>
    <w:p w14:paraId="158C3E6F" w14:textId="1432DA73" w:rsidR="00A154F3" w:rsidRPr="00150CD2" w:rsidRDefault="00A154F3">
      <w:pPr>
        <w:autoSpaceDE/>
        <w:autoSpaceDN/>
        <w:adjustRightInd/>
        <w:rPr>
          <w:rFonts w:cs="Arial"/>
        </w:rPr>
      </w:pPr>
      <w:r w:rsidRPr="00150CD2">
        <w:rPr>
          <w:rFonts w:cs="Arial"/>
        </w:rPr>
        <w:br w:type="page"/>
      </w:r>
    </w:p>
    <w:p w14:paraId="601A6C3A" w14:textId="7938BE35" w:rsidR="00A154F3" w:rsidRPr="00150CD2" w:rsidRDefault="00A154F3" w:rsidP="00233D93">
      <w:pPr>
        <w:pStyle w:val="EYAppendix"/>
        <w:rPr>
          <w:rFonts w:cs="Arial"/>
        </w:rPr>
      </w:pPr>
      <w:bookmarkStart w:id="201" w:name="_Ref45109750"/>
      <w:bookmarkStart w:id="202" w:name="_Toc46365157"/>
      <w:bookmarkStart w:id="203" w:name="_Toc48752375"/>
      <w:r w:rsidRPr="00150CD2">
        <w:rPr>
          <w:rFonts w:cs="Arial"/>
        </w:rPr>
        <w:t>Further information on approach for population survey analysis</w:t>
      </w:r>
      <w:bookmarkEnd w:id="201"/>
      <w:bookmarkEnd w:id="202"/>
      <w:bookmarkEnd w:id="203"/>
    </w:p>
    <w:p w14:paraId="21C4625F" w14:textId="567E4FBF" w:rsidR="00A154F3" w:rsidRPr="00150CD2" w:rsidRDefault="00A154F3" w:rsidP="00E24DAA">
      <w:pPr>
        <w:pStyle w:val="EYBodytextwithparaspace"/>
        <w:rPr>
          <w:rFonts w:cs="Arial"/>
        </w:rPr>
      </w:pPr>
      <w:r w:rsidRPr="00150CD2">
        <w:rPr>
          <w:rFonts w:cs="Arial"/>
        </w:rPr>
        <w:t xml:space="preserve">This appendix sets out the approach used to </w:t>
      </w:r>
      <w:r w:rsidR="0032654A" w:rsidRPr="00150CD2">
        <w:rPr>
          <w:rFonts w:cs="Arial"/>
        </w:rPr>
        <w:t>analyse</w:t>
      </w:r>
      <w:r w:rsidRPr="00150CD2">
        <w:rPr>
          <w:rFonts w:cs="Arial"/>
        </w:rPr>
        <w:t xml:space="preserve"> </w:t>
      </w:r>
      <w:r w:rsidR="0032654A" w:rsidRPr="00150CD2">
        <w:rPr>
          <w:rFonts w:cs="Arial"/>
        </w:rPr>
        <w:t xml:space="preserve">2013 Disability Survey, 2014 and 2016 General Social Survey responses for the DSS and non-DSS population </w:t>
      </w:r>
      <w:r w:rsidRPr="00150CD2">
        <w:rPr>
          <w:rFonts w:cs="Arial"/>
        </w:rPr>
        <w:t>in this report.</w:t>
      </w:r>
    </w:p>
    <w:p w14:paraId="758D34B3" w14:textId="5D7D4B15" w:rsidR="0032654A" w:rsidRPr="00150CD2" w:rsidRDefault="0032654A" w:rsidP="0032654A">
      <w:pPr>
        <w:pStyle w:val="EYSubheading"/>
        <w:rPr>
          <w:rFonts w:cs="Arial"/>
        </w:rPr>
      </w:pPr>
      <w:r w:rsidRPr="00150CD2">
        <w:rPr>
          <w:rFonts w:cs="Arial"/>
        </w:rPr>
        <w:t>Data sources</w:t>
      </w:r>
    </w:p>
    <w:p w14:paraId="6EC15B82" w14:textId="78BEB426" w:rsidR="0032654A" w:rsidRPr="00150CD2" w:rsidRDefault="0032654A" w:rsidP="0032654A">
      <w:pPr>
        <w:pStyle w:val="EYBodytextwithparaspace"/>
        <w:rPr>
          <w:rFonts w:cs="Arial"/>
        </w:rPr>
      </w:pPr>
      <w:r w:rsidRPr="00150CD2">
        <w:rPr>
          <w:rFonts w:cs="Arial"/>
        </w:rPr>
        <w:t>For the analysis of population survey data, people have been categorised as DSS clients if they were ever allocated DSS funding over the years 1 January 2010 to 30 June 2018. (This broader definition of ‘DSS client’ was applied to maximise the size of the group with survey responses. Funding allocation prior to 2010 was excluded for data quality reasons.)</w:t>
      </w:r>
    </w:p>
    <w:p w14:paraId="2FDBD341" w14:textId="36BF805C" w:rsidR="0032654A" w:rsidRPr="00150CD2" w:rsidRDefault="0032654A" w:rsidP="0032654A">
      <w:pPr>
        <w:pStyle w:val="EYBodytextwithparaspace"/>
        <w:rPr>
          <w:rFonts w:cs="Arial"/>
        </w:rPr>
      </w:pPr>
      <w:r w:rsidRPr="00150CD2">
        <w:rPr>
          <w:rFonts w:cs="Arial"/>
        </w:rPr>
        <w:t xml:space="preserve">Survey respondents who had ever been allocated DSS funding were identified through Statistics NZ’s IDI, which links the 2013 Disability Survey, 2014 and 2016 General Social Survey datasets with Ministry of Health DSS datasets. </w:t>
      </w:r>
    </w:p>
    <w:p w14:paraId="378077D6" w14:textId="44541D9F" w:rsidR="0032654A" w:rsidRPr="00150CD2" w:rsidRDefault="0032654A" w:rsidP="0032654A">
      <w:pPr>
        <w:pStyle w:val="EYSubheading"/>
        <w:rPr>
          <w:rFonts w:cs="Arial"/>
        </w:rPr>
      </w:pPr>
      <w:r w:rsidRPr="00150CD2">
        <w:rPr>
          <w:rFonts w:cs="Arial"/>
        </w:rPr>
        <w:t>Age</w:t>
      </w:r>
    </w:p>
    <w:p w14:paraId="6BAC0763" w14:textId="19B323AA" w:rsidR="0032654A" w:rsidRPr="00150CD2" w:rsidRDefault="00C4611E" w:rsidP="0032654A">
      <w:pPr>
        <w:pStyle w:val="EYBodytextwithparaspace"/>
        <w:rPr>
          <w:rFonts w:cs="Arial"/>
        </w:rPr>
      </w:pPr>
      <w:r w:rsidRPr="00150CD2">
        <w:rPr>
          <w:rFonts w:cs="Arial"/>
        </w:rPr>
        <w:t xml:space="preserve">Age is determined based on the </w:t>
      </w:r>
      <w:r w:rsidR="00EE60D5" w:rsidRPr="00150CD2">
        <w:rPr>
          <w:rFonts w:cs="Arial"/>
        </w:rPr>
        <w:t>period</w:t>
      </w:r>
      <w:r w:rsidRPr="00150CD2">
        <w:rPr>
          <w:rFonts w:cs="Arial"/>
        </w:rPr>
        <w:t xml:space="preserve"> </w:t>
      </w:r>
      <w:r w:rsidR="00EE60D5" w:rsidRPr="00150CD2">
        <w:rPr>
          <w:rFonts w:cs="Arial"/>
        </w:rPr>
        <w:t xml:space="preserve">over which </w:t>
      </w:r>
      <w:r w:rsidRPr="00150CD2">
        <w:rPr>
          <w:rFonts w:cs="Arial"/>
        </w:rPr>
        <w:t>the survey was completed.</w:t>
      </w:r>
    </w:p>
    <w:p w14:paraId="052AA7C5" w14:textId="77777777" w:rsidR="0032654A" w:rsidRPr="00150CD2" w:rsidRDefault="0032654A" w:rsidP="0032654A">
      <w:pPr>
        <w:pStyle w:val="EYSubheading"/>
        <w:rPr>
          <w:rFonts w:cs="Arial"/>
        </w:rPr>
      </w:pPr>
      <w:r w:rsidRPr="00150CD2">
        <w:rPr>
          <w:rFonts w:cs="Arial"/>
        </w:rPr>
        <w:t>Disability type and SPA level</w:t>
      </w:r>
    </w:p>
    <w:p w14:paraId="5072DD86" w14:textId="4D844B04" w:rsidR="0032654A" w:rsidRPr="00150CD2" w:rsidRDefault="0032654A" w:rsidP="0032654A">
      <w:pPr>
        <w:pStyle w:val="EYBodytextwithparaspace"/>
        <w:rPr>
          <w:rFonts w:cs="Arial"/>
        </w:rPr>
      </w:pPr>
      <w:r w:rsidRPr="00150CD2">
        <w:rPr>
          <w:rFonts w:cs="Arial"/>
        </w:rPr>
        <w:t xml:space="preserve">Disability type and SPA level categories are based on information from each DSS client’s most recent NASC assessment </w:t>
      </w:r>
      <w:r w:rsidR="005069BF" w:rsidRPr="00150CD2">
        <w:rPr>
          <w:rFonts w:cs="Arial"/>
        </w:rPr>
        <w:t>prior to</w:t>
      </w:r>
      <w:r w:rsidRPr="00150CD2">
        <w:rPr>
          <w:rFonts w:cs="Arial"/>
        </w:rPr>
        <w:t xml:space="preserve"> 30 June 2018.</w:t>
      </w:r>
    </w:p>
    <w:p w14:paraId="61A936EB" w14:textId="77777777" w:rsidR="0032654A" w:rsidRPr="00150CD2" w:rsidRDefault="0032654A" w:rsidP="0032654A">
      <w:pPr>
        <w:pStyle w:val="EYSubheading"/>
        <w:rPr>
          <w:rFonts w:cs="Arial"/>
        </w:rPr>
      </w:pPr>
      <w:r w:rsidRPr="00150CD2">
        <w:rPr>
          <w:rFonts w:cs="Arial"/>
        </w:rPr>
        <w:t>Child to parent/caregiver and partner relationships</w:t>
      </w:r>
    </w:p>
    <w:p w14:paraId="1B8D80CF" w14:textId="674C877E" w:rsidR="00C4611E" w:rsidRPr="00150CD2" w:rsidRDefault="00C4611E" w:rsidP="0032654A">
      <w:pPr>
        <w:pStyle w:val="EYBodytextwithparaspace"/>
        <w:rPr>
          <w:rFonts w:cs="Arial"/>
        </w:rPr>
      </w:pPr>
      <w:r w:rsidRPr="00150CD2">
        <w:rPr>
          <w:rFonts w:cs="Arial"/>
        </w:rPr>
        <w:t xml:space="preserve">The 2013 Disability Survey contains responses provided by parents/carers on behalf of their child. Data on links between children and parents/carers is included in the dataset. </w:t>
      </w:r>
    </w:p>
    <w:p w14:paraId="66EA6A53" w14:textId="51B78BDB" w:rsidR="0032654A" w:rsidRPr="00150CD2" w:rsidRDefault="00C4611E" w:rsidP="00EE60D5">
      <w:pPr>
        <w:pStyle w:val="EYBodytextwithparaspace"/>
        <w:rPr>
          <w:rFonts w:cs="Arial"/>
        </w:rPr>
      </w:pPr>
      <w:r w:rsidRPr="00150CD2">
        <w:rPr>
          <w:rFonts w:cs="Arial"/>
        </w:rPr>
        <w:t>The 2014 and 2016 General Social Survey contains responses provided by adults aged 15 and over. Children linked to parents/caregivers who responded to the survey</w:t>
      </w:r>
      <w:r w:rsidR="00D96114" w:rsidRPr="00150CD2">
        <w:rPr>
          <w:rFonts w:cs="Arial"/>
        </w:rPr>
        <w:t>, and adults in a formal relationship with people with responded to the survey,</w:t>
      </w:r>
      <w:r w:rsidR="00EE60D5" w:rsidRPr="00150CD2">
        <w:rPr>
          <w:rFonts w:cs="Arial"/>
        </w:rPr>
        <w:t xml:space="preserve"> </w:t>
      </w:r>
      <w:r w:rsidRPr="00150CD2">
        <w:rPr>
          <w:rFonts w:cs="Arial"/>
        </w:rPr>
        <w:t xml:space="preserve">were identified using </w:t>
      </w:r>
      <w:r w:rsidR="00EE60D5" w:rsidRPr="00150CD2">
        <w:rPr>
          <w:rFonts w:cs="Arial"/>
        </w:rPr>
        <w:t xml:space="preserve">administrative and Census data. Refer to </w:t>
      </w:r>
      <w:r w:rsidRPr="00150CD2">
        <w:rPr>
          <w:rFonts w:cs="Arial"/>
        </w:rPr>
        <w:fldChar w:fldCharType="begin"/>
      </w:r>
      <w:r w:rsidRPr="00150CD2">
        <w:rPr>
          <w:rFonts w:cs="Arial"/>
        </w:rPr>
        <w:instrText xml:space="preserve"> REF _Ref34090912 \r \h </w:instrText>
      </w:r>
      <w:r w:rsidR="00150CD2">
        <w:rPr>
          <w:rFonts w:cs="Arial"/>
        </w:rPr>
        <w:instrText xml:space="preserve"> \* MERGEFORMAT </w:instrText>
      </w:r>
      <w:r w:rsidRPr="00150CD2">
        <w:rPr>
          <w:rFonts w:cs="Arial"/>
        </w:rPr>
      </w:r>
      <w:r w:rsidRPr="00150CD2">
        <w:rPr>
          <w:rFonts w:cs="Arial"/>
        </w:rPr>
        <w:fldChar w:fldCharType="separate"/>
      </w:r>
      <w:r w:rsidR="00053D9A" w:rsidRPr="00150CD2">
        <w:rPr>
          <w:rFonts w:cs="Arial"/>
        </w:rPr>
        <w:t>Appendix F</w:t>
      </w:r>
      <w:r w:rsidRPr="00150CD2">
        <w:rPr>
          <w:rFonts w:cs="Arial"/>
        </w:rPr>
        <w:fldChar w:fldCharType="end"/>
      </w:r>
      <w:r w:rsidR="00EE60D5" w:rsidRPr="00150CD2">
        <w:rPr>
          <w:rFonts w:cs="Arial"/>
        </w:rPr>
        <w:t xml:space="preserve"> for a description of the approach used to identify these relationships.</w:t>
      </w:r>
    </w:p>
    <w:p w14:paraId="02FD4619" w14:textId="77777777" w:rsidR="00756881" w:rsidRPr="00150CD2" w:rsidRDefault="00756881" w:rsidP="00756881">
      <w:pPr>
        <w:pStyle w:val="EYSubheading"/>
        <w:rPr>
          <w:rFonts w:cs="Arial"/>
        </w:rPr>
      </w:pPr>
      <w:r w:rsidRPr="00150CD2">
        <w:rPr>
          <w:rFonts w:cs="Arial"/>
        </w:rPr>
        <w:t>Survey subgroups and non-responses</w:t>
      </w:r>
    </w:p>
    <w:p w14:paraId="4976CC67" w14:textId="77777777" w:rsidR="00756881" w:rsidRPr="00150CD2" w:rsidRDefault="00756881" w:rsidP="00756881">
      <w:pPr>
        <w:pStyle w:val="EYBodytextwithparaspace"/>
        <w:rPr>
          <w:rFonts w:cs="Arial"/>
        </w:rPr>
      </w:pPr>
      <w:r w:rsidRPr="00150CD2">
        <w:rPr>
          <w:rFonts w:cs="Arial"/>
        </w:rPr>
        <w:t>A relatively small number of DSS clients responded to the surveys. Some questions were only applicable to a subset of respondents (for example, by age or impairment type). Individual questions were also subject to varying response rates (i.e. the proportion of people who responded to the question and who did not select answers such as ‘don’t know’, ‘not available’ or ‘not applicable’).</w:t>
      </w:r>
    </w:p>
    <w:p w14:paraId="7F2C6FE3" w14:textId="774A48D1" w:rsidR="00842C9F" w:rsidRPr="00150CD2" w:rsidRDefault="00971DA8" w:rsidP="00842C9F">
      <w:pPr>
        <w:pStyle w:val="EYSubheading"/>
        <w:rPr>
          <w:rFonts w:cs="Arial"/>
        </w:rPr>
      </w:pPr>
      <w:r w:rsidRPr="00150CD2">
        <w:rPr>
          <w:rFonts w:cs="Arial"/>
        </w:rPr>
        <w:t>Calculation approach</w:t>
      </w:r>
    </w:p>
    <w:p w14:paraId="24050113" w14:textId="08FC64FA" w:rsidR="00842C9F" w:rsidRPr="00150CD2" w:rsidRDefault="00842C9F" w:rsidP="00842C9F">
      <w:pPr>
        <w:pStyle w:val="EYBodytextwithparaspace"/>
        <w:rPr>
          <w:rFonts w:cs="Arial"/>
        </w:rPr>
      </w:pPr>
      <w:r w:rsidRPr="00150CD2">
        <w:rPr>
          <w:rFonts w:cs="Arial"/>
        </w:rPr>
        <w:t>All proportions have been calculated as:</w:t>
      </w:r>
    </w:p>
    <w:p w14:paraId="6F06F7E9" w14:textId="29813A4C" w:rsidR="00842C9F" w:rsidRPr="00150CD2" w:rsidRDefault="00842C9F" w:rsidP="00842C9F">
      <w:pPr>
        <w:pStyle w:val="EYBulletedText1"/>
        <w:rPr>
          <w:rFonts w:cs="Arial"/>
        </w:rPr>
      </w:pPr>
      <w:r w:rsidRPr="00150CD2">
        <w:rPr>
          <w:rFonts w:cs="Arial"/>
        </w:rPr>
        <w:t>the number of people in each population group who provided a specific response</w:t>
      </w:r>
    </w:p>
    <w:p w14:paraId="7961A6D1" w14:textId="77777777" w:rsidR="00842C9F" w:rsidRPr="00150CD2" w:rsidRDefault="00842C9F" w:rsidP="00842C9F">
      <w:pPr>
        <w:pStyle w:val="EYBodytextwithparaspace"/>
        <w:rPr>
          <w:rFonts w:cs="Arial"/>
        </w:rPr>
      </w:pPr>
      <w:r w:rsidRPr="00150CD2">
        <w:rPr>
          <w:rFonts w:cs="Arial"/>
        </w:rPr>
        <w:t>divided by</w:t>
      </w:r>
    </w:p>
    <w:p w14:paraId="3249A5D3" w14:textId="55BF4888" w:rsidR="00842C9F" w:rsidRPr="00150CD2" w:rsidRDefault="00842C9F" w:rsidP="00842C9F">
      <w:pPr>
        <w:pStyle w:val="EYBulletedText1"/>
        <w:rPr>
          <w:rFonts w:cs="Arial"/>
        </w:rPr>
      </w:pPr>
      <w:r w:rsidRPr="00150CD2">
        <w:rPr>
          <w:rFonts w:cs="Arial"/>
        </w:rPr>
        <w:t>the number of people in each population group who provided a valid response (i.e. excluding responses such as ‘don’t know’, ‘not available’</w:t>
      </w:r>
      <w:r w:rsidR="005C6F99" w:rsidRPr="00150CD2">
        <w:rPr>
          <w:rFonts w:cs="Arial"/>
        </w:rPr>
        <w:t>, ‘not applicable’ and people who did not respond to the question</w:t>
      </w:r>
      <w:r w:rsidRPr="00150CD2">
        <w:rPr>
          <w:rFonts w:cs="Arial"/>
        </w:rPr>
        <w:t>)</w:t>
      </w:r>
    </w:p>
    <w:p w14:paraId="5BA88479" w14:textId="7EBFE0F0" w:rsidR="00971DA8" w:rsidRPr="00150CD2" w:rsidRDefault="000B1A14" w:rsidP="00971DA8">
      <w:pPr>
        <w:pStyle w:val="EYBodytextwithparaspace"/>
        <w:rPr>
          <w:rFonts w:cs="Arial"/>
        </w:rPr>
      </w:pPr>
      <w:r w:rsidRPr="00150CD2">
        <w:rPr>
          <w:rFonts w:cs="Arial"/>
          <w:b/>
          <w:bCs/>
          <w:iCs/>
        </w:rPr>
        <w:t>The proportions set out in this report are</w:t>
      </w:r>
      <w:r w:rsidR="00971DA8" w:rsidRPr="00150CD2">
        <w:rPr>
          <w:rFonts w:cs="Arial"/>
          <w:b/>
          <w:bCs/>
          <w:iCs/>
        </w:rPr>
        <w:t xml:space="preserve"> </w:t>
      </w:r>
      <w:r w:rsidRPr="00150CD2">
        <w:rPr>
          <w:rFonts w:cs="Arial"/>
          <w:b/>
          <w:bCs/>
          <w:iCs/>
        </w:rPr>
        <w:t xml:space="preserve">based on survey data without weights applied. </w:t>
      </w:r>
      <w:r w:rsidRPr="00150CD2">
        <w:rPr>
          <w:rFonts w:cs="Arial"/>
          <w:iCs/>
        </w:rPr>
        <w:t xml:space="preserve">Survey weighting is an approach </w:t>
      </w:r>
      <w:r w:rsidR="00971DA8" w:rsidRPr="00150CD2">
        <w:rPr>
          <w:rFonts w:cs="Arial"/>
          <w:iCs/>
        </w:rPr>
        <w:t>often</w:t>
      </w:r>
      <w:r w:rsidRPr="00150CD2">
        <w:rPr>
          <w:rFonts w:cs="Arial"/>
          <w:iCs/>
        </w:rPr>
        <w:t xml:space="preserve"> </w:t>
      </w:r>
      <w:r w:rsidR="00971DA8" w:rsidRPr="00150CD2">
        <w:rPr>
          <w:rFonts w:cs="Arial"/>
          <w:iCs/>
        </w:rPr>
        <w:t xml:space="preserve">used </w:t>
      </w:r>
      <w:r w:rsidRPr="00150CD2">
        <w:rPr>
          <w:rFonts w:cs="Arial"/>
          <w:iCs/>
        </w:rPr>
        <w:t xml:space="preserve">to adjust responses so that they </w:t>
      </w:r>
      <w:r w:rsidR="00971DA8" w:rsidRPr="00150CD2">
        <w:rPr>
          <w:rFonts w:cs="Arial"/>
          <w:iCs/>
        </w:rPr>
        <w:t>more closely describe the whole population.</w:t>
      </w:r>
      <w:r w:rsidR="00971DA8" w:rsidRPr="00150CD2">
        <w:rPr>
          <w:rFonts w:cs="Arial"/>
          <w:b/>
          <w:bCs/>
          <w:iCs/>
        </w:rPr>
        <w:t xml:space="preserve"> </w:t>
      </w:r>
      <w:r w:rsidR="00971DA8" w:rsidRPr="00150CD2">
        <w:rPr>
          <w:rFonts w:cs="Arial"/>
        </w:rPr>
        <w:t xml:space="preserve">Response weighting for the DSS population was not feasible due to the low number of response counts once stratified by key demographic characteristics (such as age, ethnicity, disability type and SPA level). These characteristics are associated with differences across areas such as health, education and income support (refer to Section </w:t>
      </w:r>
      <w:r w:rsidR="00971DA8" w:rsidRPr="00150CD2">
        <w:rPr>
          <w:rFonts w:cs="Arial"/>
        </w:rPr>
        <w:fldChar w:fldCharType="begin"/>
      </w:r>
      <w:r w:rsidR="00971DA8" w:rsidRPr="00150CD2">
        <w:rPr>
          <w:rFonts w:cs="Arial"/>
        </w:rPr>
        <w:instrText xml:space="preserve"> REF _Ref26027250 \r \h  \* MERGEFORMAT </w:instrText>
      </w:r>
      <w:r w:rsidR="00971DA8" w:rsidRPr="00150CD2">
        <w:rPr>
          <w:rFonts w:cs="Arial"/>
        </w:rPr>
      </w:r>
      <w:r w:rsidR="00971DA8" w:rsidRPr="00150CD2">
        <w:rPr>
          <w:rFonts w:cs="Arial"/>
        </w:rPr>
        <w:fldChar w:fldCharType="separate"/>
      </w:r>
      <w:r w:rsidR="00053D9A" w:rsidRPr="00150CD2">
        <w:rPr>
          <w:rFonts w:cs="Arial"/>
        </w:rPr>
        <w:t>5</w:t>
      </w:r>
      <w:r w:rsidR="00971DA8" w:rsidRPr="00150CD2">
        <w:rPr>
          <w:rFonts w:cs="Arial"/>
        </w:rPr>
        <w:fldChar w:fldCharType="end"/>
      </w:r>
      <w:r w:rsidR="00971DA8" w:rsidRPr="00150CD2">
        <w:rPr>
          <w:rFonts w:cs="Arial"/>
        </w:rPr>
        <w:t xml:space="preserve"> and </w:t>
      </w:r>
      <w:r w:rsidR="00971DA8" w:rsidRPr="00150CD2">
        <w:rPr>
          <w:rFonts w:cs="Arial"/>
        </w:rPr>
        <w:fldChar w:fldCharType="begin"/>
      </w:r>
      <w:r w:rsidR="00971DA8" w:rsidRPr="00150CD2">
        <w:rPr>
          <w:rFonts w:cs="Arial"/>
        </w:rPr>
        <w:instrText xml:space="preserve"> REF _Ref34055366 \r \h  \* MERGEFORMAT </w:instrText>
      </w:r>
      <w:r w:rsidR="00971DA8" w:rsidRPr="00150CD2">
        <w:rPr>
          <w:rFonts w:cs="Arial"/>
        </w:rPr>
      </w:r>
      <w:r w:rsidR="00971DA8" w:rsidRPr="00150CD2">
        <w:rPr>
          <w:rFonts w:cs="Arial"/>
        </w:rPr>
        <w:fldChar w:fldCharType="separate"/>
      </w:r>
      <w:r w:rsidR="00053D9A" w:rsidRPr="00150CD2">
        <w:rPr>
          <w:rFonts w:cs="Arial"/>
        </w:rPr>
        <w:t>Appendix H</w:t>
      </w:r>
      <w:r w:rsidR="00971DA8" w:rsidRPr="00150CD2">
        <w:rPr>
          <w:rFonts w:cs="Arial"/>
        </w:rPr>
        <w:fldChar w:fldCharType="end"/>
      </w:r>
      <w:r w:rsidR="00971DA8" w:rsidRPr="00150CD2">
        <w:rPr>
          <w:rFonts w:cs="Arial"/>
        </w:rPr>
        <w:t xml:space="preserve">). As a result, the DSS survey response observations may not be </w:t>
      </w:r>
      <w:r w:rsidR="00BE3FF5" w:rsidRPr="00150CD2">
        <w:rPr>
          <w:rFonts w:cs="Arial"/>
        </w:rPr>
        <w:t xml:space="preserve">fully </w:t>
      </w:r>
      <w:r w:rsidR="00971DA8" w:rsidRPr="00150CD2">
        <w:rPr>
          <w:rFonts w:cs="Arial"/>
        </w:rPr>
        <w:t xml:space="preserve">representative of the overall DSS population. </w:t>
      </w:r>
    </w:p>
    <w:p w14:paraId="222DAB2D" w14:textId="77777777" w:rsidR="00BE0EEE" w:rsidRPr="00150CD2" w:rsidRDefault="00BE0EEE" w:rsidP="00BE0EEE">
      <w:pPr>
        <w:pStyle w:val="EYBodytextwithparaspace"/>
        <w:rPr>
          <w:rFonts w:cs="Arial"/>
        </w:rPr>
      </w:pPr>
      <w:r w:rsidRPr="00150CD2">
        <w:rPr>
          <w:rFonts w:cs="Arial"/>
        </w:rPr>
        <w:t>Key variations between the profile of those who responded or were in households that responded to the surveys versus the broader DSS population, include a lower proportion with high/very high SPA levels and a higher proportion with physical disability compared to intellectual disability or ASD.</w:t>
      </w:r>
    </w:p>
    <w:p w14:paraId="14EE04EC" w14:textId="1FAC56D5" w:rsidR="00971DA8" w:rsidRPr="00150CD2" w:rsidRDefault="00BE3FF5" w:rsidP="00971DA8">
      <w:pPr>
        <w:pStyle w:val="EYBodytextwithparaspace"/>
        <w:rPr>
          <w:rFonts w:cs="Arial"/>
        </w:rPr>
      </w:pPr>
      <w:r w:rsidRPr="00150CD2">
        <w:rPr>
          <w:rFonts w:cs="Arial"/>
        </w:rPr>
        <w:t xml:space="preserve">The proportions shown for non-DSS comparison groups are also based on unweighted data, so as to be consistent with the approach used for the DSS population. </w:t>
      </w:r>
      <w:r w:rsidR="004B1E70" w:rsidRPr="00150CD2">
        <w:rPr>
          <w:rFonts w:cs="Arial"/>
        </w:rPr>
        <w:t>These figures</w:t>
      </w:r>
      <w:r w:rsidR="00D01C74" w:rsidRPr="00150CD2">
        <w:rPr>
          <w:rFonts w:cs="Arial"/>
        </w:rPr>
        <w:t xml:space="preserve"> may </w:t>
      </w:r>
      <w:r w:rsidR="00BE0EEE" w:rsidRPr="00150CD2">
        <w:rPr>
          <w:rFonts w:cs="Arial"/>
        </w:rPr>
        <w:t xml:space="preserve">be different </w:t>
      </w:r>
      <w:r w:rsidR="00D01C74" w:rsidRPr="00150CD2">
        <w:rPr>
          <w:rFonts w:cs="Arial"/>
        </w:rPr>
        <w:t xml:space="preserve">to figures reported by other research studies using weighted Disability Survey or General Social Survey data, although </w:t>
      </w:r>
      <w:r w:rsidR="007914D1" w:rsidRPr="00150CD2">
        <w:rPr>
          <w:rFonts w:cs="Arial"/>
        </w:rPr>
        <w:t>the</w:t>
      </w:r>
      <w:r w:rsidR="00BE0EEE" w:rsidRPr="00150CD2">
        <w:rPr>
          <w:rFonts w:cs="Arial"/>
        </w:rPr>
        <w:t xml:space="preserve"> difference between weighted and unweighted rates</w:t>
      </w:r>
      <w:r w:rsidR="007914D1" w:rsidRPr="00150CD2">
        <w:rPr>
          <w:rFonts w:cs="Arial"/>
        </w:rPr>
        <w:t xml:space="preserve"> is not large </w:t>
      </w:r>
      <w:r w:rsidR="004B1E70" w:rsidRPr="00150CD2">
        <w:rPr>
          <w:rFonts w:cs="Arial"/>
        </w:rPr>
        <w:t xml:space="preserve">for the questions covered in this report </w:t>
      </w:r>
      <w:r w:rsidR="007914D1" w:rsidRPr="00150CD2">
        <w:rPr>
          <w:rFonts w:cs="Arial"/>
        </w:rPr>
        <w:t>(less than 5 percentage points)</w:t>
      </w:r>
      <w:r w:rsidR="00BE0EEE" w:rsidRPr="00150CD2">
        <w:rPr>
          <w:rFonts w:cs="Arial"/>
        </w:rPr>
        <w:t>.</w:t>
      </w:r>
    </w:p>
    <w:p w14:paraId="02BD9484" w14:textId="77777777" w:rsidR="00C0231C" w:rsidRPr="00150CD2" w:rsidRDefault="00C0231C" w:rsidP="00C0231C">
      <w:pPr>
        <w:pStyle w:val="EYSubheading"/>
        <w:rPr>
          <w:rFonts w:cs="Arial"/>
        </w:rPr>
      </w:pPr>
      <w:r w:rsidRPr="00150CD2">
        <w:rPr>
          <w:rFonts w:cs="Arial"/>
        </w:rPr>
        <w:t>Confidence intervals</w:t>
      </w:r>
    </w:p>
    <w:p w14:paraId="0ABFF6C8" w14:textId="097D2E73" w:rsidR="00233D93" w:rsidRPr="00150CD2" w:rsidRDefault="00233D93" w:rsidP="00E65F51">
      <w:pPr>
        <w:pStyle w:val="EYBodytextwithparaspace"/>
        <w:rPr>
          <w:rFonts w:cs="Arial"/>
        </w:rPr>
      </w:pPr>
      <w:r w:rsidRPr="00150CD2">
        <w:rPr>
          <w:rFonts w:cs="Arial"/>
        </w:rPr>
        <w:t xml:space="preserve">In general, differences between DSS and non-DSS respondent groups are highlighted in section </w:t>
      </w:r>
      <w:r w:rsidRPr="00150CD2">
        <w:rPr>
          <w:rFonts w:cs="Arial"/>
        </w:rPr>
        <w:fldChar w:fldCharType="begin"/>
      </w:r>
      <w:r w:rsidRPr="00150CD2">
        <w:rPr>
          <w:rFonts w:cs="Arial"/>
        </w:rPr>
        <w:instrText xml:space="preserve"> REF _Ref34056683 \r \h </w:instrText>
      </w:r>
      <w:r w:rsidR="00150CD2">
        <w:rPr>
          <w:rFonts w:cs="Arial"/>
        </w:rPr>
        <w:instrText xml:space="preserve"> \* MERGEFORMAT </w:instrText>
      </w:r>
      <w:r w:rsidRPr="00150CD2">
        <w:rPr>
          <w:rFonts w:cs="Arial"/>
        </w:rPr>
      </w:r>
      <w:r w:rsidRPr="00150CD2">
        <w:rPr>
          <w:rFonts w:cs="Arial"/>
        </w:rPr>
        <w:fldChar w:fldCharType="separate"/>
      </w:r>
      <w:r w:rsidR="00053D9A" w:rsidRPr="00150CD2">
        <w:rPr>
          <w:rFonts w:cs="Arial"/>
        </w:rPr>
        <w:t>6</w:t>
      </w:r>
      <w:r w:rsidRPr="00150CD2">
        <w:rPr>
          <w:rFonts w:cs="Arial"/>
        </w:rPr>
        <w:fldChar w:fldCharType="end"/>
      </w:r>
      <w:r w:rsidRPr="00150CD2">
        <w:rPr>
          <w:rFonts w:cs="Arial"/>
        </w:rPr>
        <w:t xml:space="preserve"> as being ‘higher’ or ‘lower’ where estimated to be statistically significant at the 95</w:t>
      </w:r>
      <w:r w:rsidRPr="00150CD2">
        <w:rPr>
          <w:rFonts w:cs="Arial"/>
          <w:vertAlign w:val="superscript"/>
        </w:rPr>
        <w:t>th</w:t>
      </w:r>
      <w:r w:rsidRPr="00150CD2">
        <w:rPr>
          <w:rFonts w:cs="Arial"/>
        </w:rPr>
        <w:t xml:space="preserve"> percentile level, unless otherwise noted. </w:t>
      </w:r>
    </w:p>
    <w:p w14:paraId="6083F435" w14:textId="5A65B43A" w:rsidR="00D718C8" w:rsidRPr="00150CD2" w:rsidRDefault="00D718C8" w:rsidP="00E65F51">
      <w:pPr>
        <w:pStyle w:val="EYBodytextwithparaspace"/>
        <w:rPr>
          <w:rFonts w:cs="Arial"/>
        </w:rPr>
      </w:pPr>
      <w:r w:rsidRPr="00150CD2">
        <w:rPr>
          <w:rFonts w:cs="Arial"/>
        </w:rPr>
        <w:t xml:space="preserve">For the purpose of significance testing, weighted proportions for DSS and non-DSS groups were calculated using </w:t>
      </w:r>
      <w:r w:rsidR="00830DBD" w:rsidRPr="00150CD2">
        <w:rPr>
          <w:rFonts w:cs="Arial"/>
        </w:rPr>
        <w:t>Statistics NZ</w:t>
      </w:r>
      <w:r w:rsidRPr="00150CD2">
        <w:rPr>
          <w:rFonts w:cs="Arial"/>
        </w:rPr>
        <w:t>’s</w:t>
      </w:r>
      <w:r w:rsidR="00830DBD" w:rsidRPr="00150CD2">
        <w:rPr>
          <w:rFonts w:cs="Arial"/>
        </w:rPr>
        <w:t xml:space="preserve"> individual (person) weights</w:t>
      </w:r>
      <w:r w:rsidRPr="00150CD2">
        <w:rPr>
          <w:rFonts w:cs="Arial"/>
        </w:rPr>
        <w:t xml:space="preserve"> and s</w:t>
      </w:r>
      <w:r w:rsidR="00B12073" w:rsidRPr="00150CD2">
        <w:rPr>
          <w:rFonts w:cs="Arial"/>
        </w:rPr>
        <w:t xml:space="preserve">ampling errors were estimated using Statistics NZ’s replicate weights for individuals in each survey. </w:t>
      </w:r>
    </w:p>
    <w:p w14:paraId="583EA1BA" w14:textId="511FAE68" w:rsidR="00E65F51" w:rsidRPr="00150CD2" w:rsidRDefault="00D718C8" w:rsidP="00E65F51">
      <w:pPr>
        <w:pStyle w:val="EYBodytextwithparaspace"/>
        <w:rPr>
          <w:rFonts w:cs="Arial"/>
        </w:rPr>
      </w:pPr>
      <w:r w:rsidRPr="00150CD2">
        <w:rPr>
          <w:rFonts w:cs="Arial"/>
        </w:rPr>
        <w:t xml:space="preserve">It is important to note that individual and replicate weights are based on the profile of the overall New Zealand population, rather than the DSS population. Findings around statistical significance should be interpreted with </w:t>
      </w:r>
      <w:r w:rsidR="000F773B" w:rsidRPr="00150CD2">
        <w:rPr>
          <w:rFonts w:cs="Arial"/>
        </w:rPr>
        <w:t>care</w:t>
      </w:r>
      <w:r w:rsidRPr="00150CD2">
        <w:rPr>
          <w:rFonts w:cs="Arial"/>
        </w:rPr>
        <w:t>.</w:t>
      </w:r>
    </w:p>
    <w:p w14:paraId="68A54C4F" w14:textId="16F04918" w:rsidR="00EE60D5" w:rsidRPr="00150CD2" w:rsidRDefault="00EE60D5" w:rsidP="004E71B5">
      <w:pPr>
        <w:pStyle w:val="EYBodytextwithparaspace"/>
        <w:rPr>
          <w:rFonts w:cs="Arial"/>
        </w:rPr>
      </w:pPr>
      <w:r w:rsidRPr="00150CD2">
        <w:rPr>
          <w:rFonts w:cs="Arial"/>
        </w:rPr>
        <w:t>In most cases the size of the DSS response group is not large enough to identify differences between subgroups</w:t>
      </w:r>
      <w:r w:rsidR="005069BF" w:rsidRPr="00150CD2">
        <w:rPr>
          <w:rFonts w:cs="Arial"/>
        </w:rPr>
        <w:t xml:space="preserve"> within the DSS population</w:t>
      </w:r>
      <w:r w:rsidRPr="00150CD2">
        <w:rPr>
          <w:rFonts w:cs="Arial"/>
        </w:rPr>
        <w:t xml:space="preserve"> (e.g. by age) with statistical significance at the 95th percentile level. We have commented on some comparison areas where the difference is 10 percentage points or more in size and the number of responses for each subgroup is at least 40.</w:t>
      </w:r>
    </w:p>
    <w:p w14:paraId="336B6867" w14:textId="167AE517" w:rsidR="00037510" w:rsidRPr="00150CD2" w:rsidRDefault="00037510" w:rsidP="00037510">
      <w:pPr>
        <w:rPr>
          <w:rFonts w:cs="Arial"/>
          <w:b/>
          <w:color w:val="000000"/>
          <w:lang w:eastAsia="en-AU"/>
        </w:rPr>
      </w:pPr>
    </w:p>
    <w:p w14:paraId="6232B473" w14:textId="77777777" w:rsidR="00310848" w:rsidRPr="00150CD2" w:rsidRDefault="00310848" w:rsidP="00037510">
      <w:pPr>
        <w:rPr>
          <w:rFonts w:cs="Arial"/>
          <w:b/>
          <w:color w:val="000000"/>
          <w:szCs w:val="24"/>
          <w:lang w:val="en-NZ" w:eastAsia="en-AU"/>
        </w:rPr>
        <w:sectPr w:rsidR="00310848" w:rsidRPr="00150CD2" w:rsidSect="004579B3">
          <w:footerReference w:type="default" r:id="rId32"/>
          <w:pgSz w:w="11909" w:h="16834" w:code="9"/>
          <w:pgMar w:top="1440" w:right="1440" w:bottom="1440" w:left="1440" w:header="720" w:footer="720" w:gutter="0"/>
          <w:cols w:space="720"/>
          <w:docGrid w:linePitch="360"/>
        </w:sectPr>
      </w:pPr>
    </w:p>
    <w:p w14:paraId="0DAE471B" w14:textId="13A423B5" w:rsidR="00310848" w:rsidRPr="00150CD2" w:rsidRDefault="00310848" w:rsidP="00E03375">
      <w:pPr>
        <w:pStyle w:val="EYAppendix"/>
        <w:rPr>
          <w:rFonts w:cs="Arial"/>
        </w:rPr>
      </w:pPr>
      <w:bookmarkStart w:id="204" w:name="_Ref34055366"/>
      <w:bookmarkStart w:id="205" w:name="_Toc46365158"/>
      <w:bookmarkStart w:id="206" w:name="_Toc48752376"/>
      <w:r w:rsidRPr="00150CD2">
        <w:rPr>
          <w:rFonts w:cs="Arial"/>
        </w:rPr>
        <w:t>National DSS clients – baseline outcomes and service contact</w:t>
      </w:r>
      <w:bookmarkEnd w:id="204"/>
      <w:bookmarkEnd w:id="205"/>
      <w:bookmarkEnd w:id="206"/>
    </w:p>
    <w:p w14:paraId="71EA7ED1" w14:textId="585FD1B7" w:rsidR="00310848" w:rsidRPr="00150CD2" w:rsidRDefault="00310848" w:rsidP="00310848">
      <w:pPr>
        <w:pStyle w:val="EYBodytextwithparaspace"/>
        <w:rPr>
          <w:rFonts w:cs="Arial"/>
        </w:rPr>
      </w:pPr>
      <w:r w:rsidRPr="00150CD2">
        <w:rPr>
          <w:rFonts w:cs="Arial"/>
        </w:rPr>
        <w:t xml:space="preserve">This section summarises key observations around lifecourse outcomes and service contact for DSS clients living across New Zealand over the period </w:t>
      </w:r>
      <w:r w:rsidR="00FD1580" w:rsidRPr="00150CD2">
        <w:rPr>
          <w:rFonts w:cs="Arial"/>
        </w:rPr>
        <w:t xml:space="preserve">1 </w:t>
      </w:r>
      <w:r w:rsidRPr="00150CD2">
        <w:rPr>
          <w:rFonts w:cs="Arial"/>
        </w:rPr>
        <w:t>July 2015 to 30 June 2018</w:t>
      </w:r>
      <w:r w:rsidR="00F91A55" w:rsidRPr="00150CD2">
        <w:rPr>
          <w:rFonts w:cs="Arial"/>
        </w:rPr>
        <w:t xml:space="preserve"> who were allocated DSS funding over the year to 30 June 2018</w:t>
      </w:r>
      <w:r w:rsidRPr="00150CD2">
        <w:rPr>
          <w:rFonts w:cs="Arial"/>
        </w:rPr>
        <w:t>.</w:t>
      </w:r>
      <w:r w:rsidR="00CE7586" w:rsidRPr="00150CD2">
        <w:rPr>
          <w:rFonts w:cs="Arial"/>
        </w:rPr>
        <w:t xml:space="preserve"> </w:t>
      </w:r>
    </w:p>
    <w:tbl>
      <w:tblPr>
        <w:tblStyle w:val="TableGrid"/>
        <w:tblW w:w="5000" w:type="pct"/>
        <w:tblBorders>
          <w:top w:val="single" w:sz="24" w:space="0" w:color="FFE600" w:themeColor="text2"/>
          <w:left w:val="single" w:sz="24" w:space="0" w:color="FFE600" w:themeColor="text2"/>
          <w:bottom w:val="single" w:sz="24" w:space="0" w:color="FFE600" w:themeColor="text2"/>
          <w:right w:val="single" w:sz="24" w:space="0" w:color="FFE600" w:themeColor="text2"/>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3894"/>
      </w:tblGrid>
      <w:tr w:rsidR="00454B95" w:rsidRPr="00150CD2" w14:paraId="46C53F81" w14:textId="77777777" w:rsidTr="00DC0A63">
        <w:tc>
          <w:tcPr>
            <w:tcW w:w="5000" w:type="pct"/>
            <w:shd w:val="clear" w:color="auto" w:fill="auto"/>
          </w:tcPr>
          <w:p w14:paraId="77D974F0" w14:textId="60D33FBC" w:rsidR="00454B95" w:rsidRPr="00150CD2" w:rsidRDefault="00454B95" w:rsidP="00863250">
            <w:pPr>
              <w:pStyle w:val="EYSubheading"/>
              <w:rPr>
                <w:rFonts w:cs="Arial"/>
              </w:rPr>
            </w:pPr>
            <w:r w:rsidRPr="00150CD2">
              <w:rPr>
                <w:rFonts w:cs="Arial"/>
              </w:rPr>
              <w:t>Overall demographics for national DSS clients</w:t>
            </w:r>
          </w:p>
          <w:p w14:paraId="7EAEE894" w14:textId="77777777" w:rsidR="00F91A55" w:rsidRPr="00150CD2" w:rsidRDefault="00F91A55" w:rsidP="00863250">
            <w:pPr>
              <w:pStyle w:val="EYTablebullet1"/>
              <w:spacing w:before="0" w:after="120"/>
              <w:ind w:left="288" w:hanging="288"/>
              <w:rPr>
                <w:rFonts w:cs="Arial"/>
                <w:sz w:val="24"/>
              </w:rPr>
            </w:pPr>
            <w:r w:rsidRPr="00150CD2">
              <w:rPr>
                <w:rFonts w:cs="Arial"/>
                <w:sz w:val="24"/>
              </w:rPr>
              <w:t xml:space="preserve">Around 38,500 disabled people in New Zealand were allocated one or more Ministry-funded disability support services at 30 June 2018. This represents around 0.8% of the total New Zealand population. </w:t>
            </w:r>
          </w:p>
          <w:p w14:paraId="00F63557" w14:textId="77777777" w:rsidR="00F91A55" w:rsidRPr="00150CD2" w:rsidRDefault="00454B95" w:rsidP="00F91A55">
            <w:pPr>
              <w:pStyle w:val="EYTablebullet1"/>
              <w:spacing w:before="0" w:after="120"/>
              <w:ind w:left="288" w:hanging="288"/>
              <w:rPr>
                <w:rFonts w:cs="Arial"/>
                <w:sz w:val="24"/>
              </w:rPr>
            </w:pPr>
            <w:r w:rsidRPr="00150CD2">
              <w:rPr>
                <w:rFonts w:cs="Arial"/>
                <w:sz w:val="24"/>
              </w:rPr>
              <w:t>People with intellectual disability make up more than half of those people allocated disability support services. Many also have a physical disability.</w:t>
            </w:r>
            <w:r w:rsidRPr="00150CD2">
              <w:rPr>
                <w:rFonts w:cs="Arial"/>
                <w:sz w:val="24"/>
              </w:rPr>
              <w:br/>
              <w:t>Around half of the children and young people allocated DSS have autism spectrum disorder as a principal disability.</w:t>
            </w:r>
          </w:p>
          <w:p w14:paraId="67B285D6" w14:textId="08172578" w:rsidR="00454B95" w:rsidRPr="00150CD2" w:rsidRDefault="00F91A55" w:rsidP="00DC0A63">
            <w:pPr>
              <w:pStyle w:val="EYTablebullet1"/>
              <w:spacing w:before="0" w:after="120"/>
              <w:ind w:left="288" w:hanging="288"/>
              <w:rPr>
                <w:rFonts w:cs="Arial"/>
                <w:sz w:val="24"/>
              </w:rPr>
            </w:pPr>
            <w:r w:rsidRPr="00150CD2">
              <w:rPr>
                <w:rFonts w:cs="Arial"/>
                <w:sz w:val="24"/>
              </w:rPr>
              <w:t>P</w:t>
            </w:r>
            <w:r w:rsidR="00454B95" w:rsidRPr="00150CD2">
              <w:rPr>
                <w:rFonts w:cs="Arial"/>
                <w:sz w:val="24"/>
              </w:rPr>
              <w:t>eople allocated DSS funding are more likely to live in areas with deprivation compared to other people</w:t>
            </w:r>
            <w:r w:rsidRPr="00150CD2">
              <w:rPr>
                <w:rFonts w:cs="Arial"/>
                <w:sz w:val="24"/>
              </w:rPr>
              <w:t xml:space="preserve"> across New Zealand</w:t>
            </w:r>
            <w:r w:rsidR="00454B95" w:rsidRPr="00150CD2">
              <w:rPr>
                <w:rFonts w:cs="Arial"/>
                <w:sz w:val="24"/>
              </w:rPr>
              <w:t xml:space="preserve">: </w:t>
            </w:r>
            <w:r w:rsidRPr="00150CD2">
              <w:rPr>
                <w:rFonts w:cs="Arial"/>
                <w:sz w:val="24"/>
              </w:rPr>
              <w:t>15</w:t>
            </w:r>
            <w:r w:rsidR="00454B95" w:rsidRPr="00150CD2">
              <w:rPr>
                <w:rFonts w:cs="Arial"/>
                <w:sz w:val="24"/>
              </w:rPr>
              <w:t xml:space="preserve">% of </w:t>
            </w:r>
            <w:r w:rsidRPr="00150CD2">
              <w:rPr>
                <w:rFonts w:cs="Arial"/>
                <w:sz w:val="24"/>
              </w:rPr>
              <w:t xml:space="preserve">DSS clients </w:t>
            </w:r>
            <w:r w:rsidR="00454B95" w:rsidRPr="00150CD2">
              <w:rPr>
                <w:rFonts w:cs="Arial"/>
                <w:sz w:val="24"/>
              </w:rPr>
              <w:t xml:space="preserve">live in the 20% least deprived areas while </w:t>
            </w:r>
            <w:r w:rsidRPr="00150CD2">
              <w:rPr>
                <w:rFonts w:cs="Arial"/>
                <w:sz w:val="24"/>
              </w:rPr>
              <w:t>27</w:t>
            </w:r>
            <w:r w:rsidR="00454B95" w:rsidRPr="00150CD2">
              <w:rPr>
                <w:rFonts w:cs="Arial"/>
                <w:sz w:val="24"/>
              </w:rPr>
              <w:t>% live in the 20% most deprived areas</w:t>
            </w:r>
            <w:r w:rsidR="005F5623" w:rsidRPr="00150CD2">
              <w:rPr>
                <w:rStyle w:val="FootnoteReference"/>
                <w:rFonts w:ascii="Arial" w:hAnsi="Arial" w:cs="Arial"/>
                <w:sz w:val="24"/>
                <w:szCs w:val="24"/>
              </w:rPr>
              <w:footnoteReference w:id="40"/>
            </w:r>
            <w:r w:rsidR="00454B95" w:rsidRPr="00150CD2">
              <w:rPr>
                <w:rFonts w:cs="Arial"/>
                <w:sz w:val="24"/>
              </w:rPr>
              <w:t xml:space="preserve">. </w:t>
            </w:r>
            <w:r w:rsidR="00805CBA" w:rsidRPr="00150CD2">
              <w:rPr>
                <w:rFonts w:cs="Arial"/>
                <w:sz w:val="24"/>
              </w:rPr>
              <w:br/>
              <w:t>This varies by age group. DSS children and young people have broadly similar socioeconomic profiles to other children and young people, while DSS adults are more likely to live in areas with deprivation when compared to non-DSS adults in the same age group.</w:t>
            </w:r>
          </w:p>
        </w:tc>
      </w:tr>
    </w:tbl>
    <w:p w14:paraId="46975BA5" w14:textId="324E92C1" w:rsidR="005F5623" w:rsidRPr="00150CD2" w:rsidRDefault="00F91A55" w:rsidP="00310848">
      <w:pPr>
        <w:pStyle w:val="EYBodytextwithparaspace"/>
        <w:rPr>
          <w:rFonts w:cs="Arial"/>
        </w:rPr>
      </w:pPr>
      <w:r w:rsidRPr="00150CD2">
        <w:rPr>
          <w:rFonts w:cs="Arial"/>
        </w:rPr>
        <w:br/>
      </w:r>
      <w:r w:rsidR="00124C64" w:rsidRPr="00150CD2">
        <w:rPr>
          <w:rFonts w:cs="Arial"/>
        </w:rPr>
        <w:t>Some demographic and socioeconomic characteristics are presented for each age group; refer to the Ministry’s ‘Demographic Report for Clients Allocated the Ministry of Health’s Disability Support Services: 2018 update’ for a more detailed demographic description by region and relating to specific service types and by specific disability types.</w:t>
      </w:r>
      <w:r w:rsidR="00124C64" w:rsidRPr="00150CD2">
        <w:rPr>
          <w:rStyle w:val="FootnoteReference"/>
          <w:rFonts w:ascii="Arial" w:hAnsi="Arial" w:cs="Arial"/>
        </w:rPr>
        <w:footnoteReference w:id="41"/>
      </w:r>
    </w:p>
    <w:p w14:paraId="6212D852" w14:textId="6135E1D1" w:rsidR="005F5623" w:rsidRPr="00150CD2" w:rsidRDefault="00C51BBE" w:rsidP="00184038">
      <w:pPr>
        <w:pStyle w:val="EYBodytextwithparaspace"/>
        <w:rPr>
          <w:rFonts w:cs="Arial"/>
        </w:rPr>
      </w:pPr>
      <w:r w:rsidRPr="00150CD2">
        <w:rPr>
          <w:rFonts w:cs="Arial"/>
        </w:rPr>
        <w:t>In general, differences in outcome and service contact rates that are highlighted as being ‘higher’, ‘lower’ or ‘significant’ in this section are statistically significant at the 95</w:t>
      </w:r>
      <w:r w:rsidRPr="00150CD2">
        <w:rPr>
          <w:rFonts w:cs="Arial"/>
          <w:vertAlign w:val="superscript"/>
        </w:rPr>
        <w:t>th</w:t>
      </w:r>
      <w:r w:rsidRPr="00150CD2">
        <w:rPr>
          <w:rFonts w:cs="Arial"/>
        </w:rPr>
        <w:t xml:space="preserve"> percentile level. (That is, there is a 95% probability that the difference between the two groups is greater than zero). Further information on the approach to calculating these results is set out in </w:t>
      </w:r>
      <w:r w:rsidRPr="00150CD2">
        <w:rPr>
          <w:rFonts w:cs="Arial"/>
        </w:rPr>
        <w:fldChar w:fldCharType="begin"/>
      </w:r>
      <w:r w:rsidRPr="00150CD2">
        <w:rPr>
          <w:rFonts w:cs="Arial"/>
        </w:rPr>
        <w:instrText xml:space="preserve"> REF _Ref34090912 \r \h </w:instrText>
      </w:r>
      <w:r w:rsidR="00150CD2">
        <w:rPr>
          <w:rFonts w:cs="Arial"/>
        </w:rPr>
        <w:instrText xml:space="preserve"> \* MERGEFORMAT </w:instrText>
      </w:r>
      <w:r w:rsidRPr="00150CD2">
        <w:rPr>
          <w:rFonts w:cs="Arial"/>
        </w:rPr>
      </w:r>
      <w:r w:rsidRPr="00150CD2">
        <w:rPr>
          <w:rFonts w:cs="Arial"/>
        </w:rPr>
        <w:fldChar w:fldCharType="separate"/>
      </w:r>
      <w:r w:rsidR="00053D9A" w:rsidRPr="00150CD2">
        <w:rPr>
          <w:rFonts w:cs="Arial"/>
        </w:rPr>
        <w:t>Appendix F</w:t>
      </w:r>
      <w:r w:rsidRPr="00150CD2">
        <w:rPr>
          <w:rFonts w:cs="Arial"/>
        </w:rPr>
        <w:fldChar w:fldCharType="end"/>
      </w:r>
      <w:r w:rsidRPr="00150CD2">
        <w:rPr>
          <w:rFonts w:cs="Arial"/>
        </w:rPr>
        <w:t>.</w:t>
      </w:r>
      <w:r w:rsidR="005F5623" w:rsidRPr="00150CD2">
        <w:rPr>
          <w:rFonts w:cs="Arial"/>
        </w:rPr>
        <w:br w:type="page"/>
      </w:r>
    </w:p>
    <w:p w14:paraId="4C1017FA" w14:textId="2F2EA1AB" w:rsidR="00310848" w:rsidRPr="00150CD2" w:rsidRDefault="00310848" w:rsidP="0035354B">
      <w:pPr>
        <w:pStyle w:val="EYAppendixHeading2"/>
        <w:numPr>
          <w:ilvl w:val="0"/>
          <w:numId w:val="62"/>
        </w:numPr>
        <w:rPr>
          <w:rFonts w:cs="Arial"/>
        </w:rPr>
      </w:pPr>
      <w:r w:rsidRPr="00150CD2">
        <w:rPr>
          <w:rFonts w:cs="Arial"/>
        </w:rPr>
        <w:t>Children aged 0-4 years</w:t>
      </w:r>
    </w:p>
    <w:p w14:paraId="2074BBFF" w14:textId="48C61463" w:rsidR="00310848" w:rsidRPr="00150CD2" w:rsidRDefault="00310848" w:rsidP="00310848">
      <w:pPr>
        <w:pStyle w:val="EYSubheading"/>
        <w:rPr>
          <w:rFonts w:cs="Arial"/>
        </w:rPr>
      </w:pPr>
      <w:r w:rsidRPr="00150CD2">
        <w:rPr>
          <w:rFonts w:cs="Arial"/>
        </w:rPr>
        <w:t>Key transitions: The disabled child has a condition that is newly acquired or diagnosed. Parents and family/whānau are support</w:t>
      </w:r>
      <w:r w:rsidR="00A42F44" w:rsidRPr="00150CD2">
        <w:rPr>
          <w:rFonts w:cs="Arial"/>
        </w:rPr>
        <w:t xml:space="preserve">ing </w:t>
      </w:r>
      <w:r w:rsidRPr="00150CD2">
        <w:rPr>
          <w:rFonts w:cs="Arial"/>
        </w:rPr>
        <w:t xml:space="preserve"> the child. This life stage encompasses early childhood development leading up to the start of school.</w:t>
      </w:r>
    </w:p>
    <w:p w14:paraId="395CE7E0" w14:textId="53747B0D" w:rsidR="00310848" w:rsidRPr="00150CD2" w:rsidRDefault="00310848" w:rsidP="00310848">
      <w:pPr>
        <w:pStyle w:val="EYBodytextwithparaspace"/>
        <w:rPr>
          <w:rFonts w:cs="Arial"/>
          <w:lang w:eastAsia="en-AU"/>
        </w:rPr>
      </w:pPr>
      <w:r w:rsidRPr="00150CD2">
        <w:rPr>
          <w:rFonts w:cs="Arial"/>
          <w:lang w:eastAsia="en-AU"/>
        </w:rPr>
        <w:t xml:space="preserve">At 30 June 2018 there were </w:t>
      </w:r>
      <w:r w:rsidR="00972B50" w:rsidRPr="00150CD2">
        <w:rPr>
          <w:rFonts w:cs="Arial"/>
          <w:lang w:eastAsia="en-AU"/>
        </w:rPr>
        <w:t>around 1,260</w:t>
      </w:r>
      <w:r w:rsidRPr="00150CD2">
        <w:rPr>
          <w:rFonts w:cs="Arial"/>
          <w:lang w:eastAsia="en-AU"/>
        </w:rPr>
        <w:t xml:space="preserve"> children aged 0-4 across New Zealand who were allocated DSS funding over the year to 30 June 2018. Key demographic and socioeconomic characteristics are summarised below.</w:t>
      </w:r>
    </w:p>
    <w:p w14:paraId="3C3845BB" w14:textId="7B2EF6C3" w:rsidR="00310848" w:rsidRPr="00150CD2" w:rsidRDefault="00310848" w:rsidP="00310848">
      <w:pPr>
        <w:pStyle w:val="EYBulletnoparaspace"/>
        <w:rPr>
          <w:rFonts w:cs="Arial"/>
          <w:lang w:eastAsia="en-AU"/>
        </w:rPr>
      </w:pPr>
      <w:r w:rsidRPr="00150CD2">
        <w:rPr>
          <w:rFonts w:cs="Arial"/>
          <w:lang w:eastAsia="en-AU"/>
        </w:rPr>
        <w:t>The majority have Intellectual (4</w:t>
      </w:r>
      <w:r w:rsidR="00972B50" w:rsidRPr="00150CD2">
        <w:rPr>
          <w:rFonts w:cs="Arial"/>
          <w:lang w:eastAsia="en-AU"/>
        </w:rPr>
        <w:t>6</w:t>
      </w:r>
      <w:r w:rsidRPr="00150CD2">
        <w:rPr>
          <w:rFonts w:cs="Arial"/>
          <w:lang w:eastAsia="en-AU"/>
        </w:rPr>
        <w:t>%) or Autism Spectrum Disorder (4</w:t>
      </w:r>
      <w:r w:rsidR="00972B50" w:rsidRPr="00150CD2">
        <w:rPr>
          <w:rFonts w:cs="Arial"/>
          <w:lang w:eastAsia="en-AU"/>
        </w:rPr>
        <w:t>2</w:t>
      </w:r>
      <w:r w:rsidRPr="00150CD2">
        <w:rPr>
          <w:rFonts w:cs="Arial"/>
          <w:lang w:eastAsia="en-AU"/>
        </w:rPr>
        <w:t xml:space="preserve">%) as their </w:t>
      </w:r>
      <w:r w:rsidR="009E4F58" w:rsidRPr="00150CD2">
        <w:rPr>
          <w:rFonts w:cs="Arial"/>
          <w:lang w:eastAsia="en-AU"/>
        </w:rPr>
        <w:t>prioritised</w:t>
      </w:r>
      <w:r w:rsidRPr="00150CD2">
        <w:rPr>
          <w:rFonts w:cs="Arial"/>
          <w:lang w:eastAsia="en-AU"/>
        </w:rPr>
        <w:t xml:space="preserve"> disability, followed by Physical (</w:t>
      </w:r>
      <w:r w:rsidR="00972B50" w:rsidRPr="00150CD2">
        <w:rPr>
          <w:rFonts w:cs="Arial"/>
          <w:lang w:eastAsia="en-AU"/>
        </w:rPr>
        <w:t>7</w:t>
      </w:r>
      <w:r w:rsidRPr="00150CD2">
        <w:rPr>
          <w:rFonts w:cs="Arial"/>
          <w:lang w:eastAsia="en-AU"/>
        </w:rPr>
        <w:t xml:space="preserve">%). </w:t>
      </w:r>
      <w:r w:rsidRPr="00150CD2">
        <w:rPr>
          <w:rFonts w:cs="Arial"/>
          <w:lang w:eastAsia="en-AU"/>
        </w:rPr>
        <w:br/>
        <w:t>Respite (9</w:t>
      </w:r>
      <w:r w:rsidR="00AE4EC3" w:rsidRPr="00150CD2">
        <w:rPr>
          <w:rFonts w:cs="Arial"/>
          <w:lang w:eastAsia="en-AU"/>
        </w:rPr>
        <w:t>3</w:t>
      </w:r>
      <w:r w:rsidRPr="00150CD2">
        <w:rPr>
          <w:rFonts w:cs="Arial"/>
          <w:lang w:eastAsia="en-AU"/>
        </w:rPr>
        <w:t>%), behavioural (</w:t>
      </w:r>
      <w:r w:rsidR="00AE4EC3" w:rsidRPr="00150CD2">
        <w:rPr>
          <w:rFonts w:cs="Arial"/>
          <w:lang w:eastAsia="en-AU"/>
        </w:rPr>
        <w:t>25</w:t>
      </w:r>
      <w:r w:rsidRPr="00150CD2">
        <w:rPr>
          <w:rFonts w:cs="Arial"/>
          <w:lang w:eastAsia="en-AU"/>
        </w:rPr>
        <w:t>%) and home and community (</w:t>
      </w:r>
      <w:r w:rsidR="00AE4EC3" w:rsidRPr="00150CD2">
        <w:rPr>
          <w:rFonts w:cs="Arial"/>
          <w:lang w:eastAsia="en-AU"/>
        </w:rPr>
        <w:t>20</w:t>
      </w:r>
      <w:r w:rsidRPr="00150CD2">
        <w:rPr>
          <w:rFonts w:cs="Arial"/>
          <w:lang w:eastAsia="en-AU"/>
        </w:rPr>
        <w:t>%) support services are the main service types allocated through the NASC.</w:t>
      </w:r>
    </w:p>
    <w:p w14:paraId="55D7EA1A" w14:textId="77777777" w:rsidR="00310848" w:rsidRPr="00150CD2" w:rsidRDefault="00310848" w:rsidP="00310848">
      <w:pPr>
        <w:pStyle w:val="EYBulletnoparaspace"/>
        <w:rPr>
          <w:rFonts w:cs="Arial"/>
          <w:lang w:eastAsia="en-AU"/>
        </w:rPr>
      </w:pPr>
      <w:r w:rsidRPr="00150CD2">
        <w:rPr>
          <w:rFonts w:cs="Arial"/>
        </w:rPr>
        <w:t>Around 1 in 3 (32%) live with sole parents with the remaining 67% linked to two parents/caregivers.</w:t>
      </w:r>
    </w:p>
    <w:p w14:paraId="573CD91C" w14:textId="5ED3E527" w:rsidR="00310848" w:rsidRPr="00150CD2" w:rsidRDefault="00310848" w:rsidP="00310848">
      <w:pPr>
        <w:pStyle w:val="EYBulletnoparaspace"/>
        <w:rPr>
          <w:rFonts w:cs="Arial"/>
          <w:lang w:eastAsia="en-AU"/>
        </w:rPr>
      </w:pPr>
      <w:r w:rsidRPr="00150CD2">
        <w:rPr>
          <w:rFonts w:cs="Arial"/>
          <w:lang w:eastAsia="en-AU"/>
        </w:rPr>
        <w:t>15% live in the 20% least deprived areas of NZ while 27% live in the 20% most deprived areas.</w:t>
      </w:r>
      <w:r w:rsidR="00AC1E34" w:rsidRPr="00150CD2">
        <w:rPr>
          <w:rFonts w:cs="Arial"/>
          <w:lang w:eastAsia="en-AU"/>
        </w:rPr>
        <w:t xml:space="preserve"> This is a broadly similar socioeconomic profile to non-DSS children aged 0-4 (where 25% live in the 20% most deprived areas).</w:t>
      </w:r>
    </w:p>
    <w:p w14:paraId="5461F611" w14:textId="53872BA1" w:rsidR="00302B8D" w:rsidRPr="00150CD2" w:rsidRDefault="00310848" w:rsidP="00310848">
      <w:pPr>
        <w:pStyle w:val="EYBodytextwithparaspace"/>
        <w:rPr>
          <w:rFonts w:cs="Arial"/>
          <w:lang w:eastAsia="en-AU"/>
        </w:rPr>
      </w:pPr>
      <w:r w:rsidRPr="00150CD2">
        <w:rPr>
          <w:rFonts w:cs="Arial"/>
          <w:lang w:eastAsia="en-AU"/>
        </w:rPr>
        <w:br/>
        <w:t>This section summarises some of the lifecourse outcomes and service contact indicators observed over the 3 years to 30 June 2018</w:t>
      </w:r>
      <w:r w:rsidRPr="00150CD2">
        <w:rPr>
          <w:rStyle w:val="FootnoteReference"/>
          <w:rFonts w:ascii="Arial" w:hAnsi="Arial" w:cs="Arial"/>
          <w:lang w:eastAsia="en-AU"/>
        </w:rPr>
        <w:footnoteReference w:id="42"/>
      </w:r>
      <w:r w:rsidRPr="00150CD2">
        <w:rPr>
          <w:rFonts w:cs="Arial"/>
          <w:lang w:eastAsia="en-AU"/>
        </w:rPr>
        <w:t xml:space="preserve"> for children aged 0-4 at the start of the period who were allocated DSS funding over the year to June 2018. Note that for some children this will include periods prior to them receiving DSS funding.</w:t>
      </w:r>
    </w:p>
    <w:p w14:paraId="03A1A4CC" w14:textId="77777777" w:rsidR="00302B8D" w:rsidRPr="00150CD2" w:rsidRDefault="00302B8D">
      <w:pPr>
        <w:autoSpaceDE/>
        <w:autoSpaceDN/>
        <w:adjustRightInd/>
        <w:rPr>
          <w:rFonts w:cs="Arial"/>
          <w:sz w:val="24"/>
          <w:lang w:eastAsia="en-AU"/>
        </w:rPr>
      </w:pPr>
      <w:r w:rsidRPr="00150CD2">
        <w:rPr>
          <w:rFonts w:cs="Arial"/>
          <w:lang w:eastAsia="en-AU"/>
        </w:rPr>
        <w:br w:type="page"/>
      </w:r>
    </w:p>
    <w:tbl>
      <w:tblPr>
        <w:tblStyle w:val="TableGrid"/>
        <w:tblW w:w="13968" w:type="dxa"/>
        <w:tblLayout w:type="fixed"/>
        <w:tblCellMar>
          <w:top w:w="28" w:type="dxa"/>
          <w:bottom w:w="28" w:type="dxa"/>
        </w:tblCellMar>
        <w:tblLook w:val="04A0" w:firstRow="1" w:lastRow="0" w:firstColumn="1" w:lastColumn="0" w:noHBand="0" w:noVBand="1"/>
      </w:tblPr>
      <w:tblGrid>
        <w:gridCol w:w="1584"/>
        <w:gridCol w:w="2016"/>
        <w:gridCol w:w="10368"/>
      </w:tblGrid>
      <w:tr w:rsidR="00310848" w:rsidRPr="00150CD2" w14:paraId="16319DD6" w14:textId="77777777" w:rsidTr="00534711">
        <w:trPr>
          <w:tblHeader/>
        </w:trPr>
        <w:tc>
          <w:tcPr>
            <w:tcW w:w="1584" w:type="dxa"/>
            <w:tcBorders>
              <w:bottom w:val="single" w:sz="4" w:space="0" w:color="auto"/>
            </w:tcBorders>
            <w:shd w:val="clear" w:color="auto" w:fill="F2F2F2" w:themeFill="background1" w:themeFillShade="F2"/>
          </w:tcPr>
          <w:p w14:paraId="4D29BD6C" w14:textId="77777777" w:rsidR="00310848" w:rsidRPr="00150CD2" w:rsidRDefault="00310848" w:rsidP="0039393C">
            <w:pPr>
              <w:pStyle w:val="EYTableHeading"/>
              <w:rPr>
                <w:rFonts w:cs="Arial"/>
                <w:sz w:val="24"/>
              </w:rPr>
            </w:pPr>
            <w:r w:rsidRPr="00150CD2">
              <w:rPr>
                <w:rFonts w:cs="Arial"/>
                <w:sz w:val="24"/>
              </w:rPr>
              <w:t>Perspective</w:t>
            </w:r>
          </w:p>
        </w:tc>
        <w:tc>
          <w:tcPr>
            <w:tcW w:w="2016" w:type="dxa"/>
            <w:shd w:val="clear" w:color="auto" w:fill="F2F2F2" w:themeFill="background1" w:themeFillShade="F2"/>
          </w:tcPr>
          <w:p w14:paraId="5554AA81" w14:textId="77777777" w:rsidR="00310848" w:rsidRPr="00150CD2" w:rsidRDefault="00310848" w:rsidP="0039393C">
            <w:pPr>
              <w:pStyle w:val="EYTableHeading"/>
              <w:rPr>
                <w:rFonts w:cs="Arial"/>
                <w:sz w:val="24"/>
              </w:rPr>
            </w:pPr>
            <w:r w:rsidRPr="00150CD2">
              <w:rPr>
                <w:rFonts w:cs="Arial"/>
                <w:sz w:val="24"/>
              </w:rPr>
              <w:t>Indicators</w:t>
            </w:r>
          </w:p>
        </w:tc>
        <w:tc>
          <w:tcPr>
            <w:tcW w:w="10368" w:type="dxa"/>
            <w:shd w:val="clear" w:color="auto" w:fill="F2F2F2" w:themeFill="background1" w:themeFillShade="F2"/>
          </w:tcPr>
          <w:p w14:paraId="2C1E01A3" w14:textId="77777777" w:rsidR="00310848" w:rsidRPr="00150CD2" w:rsidRDefault="00310848" w:rsidP="0039393C">
            <w:pPr>
              <w:pStyle w:val="EYTableHeading"/>
              <w:rPr>
                <w:rFonts w:cs="Arial"/>
                <w:sz w:val="24"/>
              </w:rPr>
            </w:pPr>
            <w:r w:rsidRPr="00150CD2">
              <w:rPr>
                <w:rFonts w:cs="Arial"/>
                <w:sz w:val="24"/>
              </w:rPr>
              <w:t>Insights for children aged 0-4 across New Zealand allocated DSS over the year to June 2018, compared to other similarly aged children – outcome and service contact indicators over the 3 year period to 30 June 2018</w:t>
            </w:r>
          </w:p>
        </w:tc>
      </w:tr>
      <w:tr w:rsidR="00310848" w:rsidRPr="00150CD2" w14:paraId="6A770C80" w14:textId="77777777" w:rsidTr="00534711">
        <w:tc>
          <w:tcPr>
            <w:tcW w:w="1584" w:type="dxa"/>
            <w:tcBorders>
              <w:bottom w:val="nil"/>
            </w:tcBorders>
          </w:tcPr>
          <w:p w14:paraId="0880E97F" w14:textId="77777777" w:rsidR="00310848" w:rsidRPr="00150CD2" w:rsidRDefault="00310848" w:rsidP="0039393C">
            <w:pPr>
              <w:pStyle w:val="EYTableText"/>
              <w:rPr>
                <w:rFonts w:cs="Arial"/>
                <w:sz w:val="24"/>
              </w:rPr>
            </w:pPr>
            <w:r w:rsidRPr="00150CD2">
              <w:rPr>
                <w:rFonts w:cs="Arial"/>
                <w:sz w:val="24"/>
              </w:rPr>
              <w:t>Child</w:t>
            </w:r>
          </w:p>
        </w:tc>
        <w:tc>
          <w:tcPr>
            <w:tcW w:w="2016" w:type="dxa"/>
          </w:tcPr>
          <w:p w14:paraId="548A5CF1" w14:textId="77777777" w:rsidR="00310848" w:rsidRPr="00150CD2" w:rsidRDefault="00310848" w:rsidP="0039393C">
            <w:pPr>
              <w:pStyle w:val="EYTableText"/>
              <w:rPr>
                <w:rFonts w:cs="Arial"/>
                <w:sz w:val="24"/>
              </w:rPr>
            </w:pPr>
            <w:r w:rsidRPr="00150CD2">
              <w:rPr>
                <w:rFonts w:cs="Arial"/>
                <w:sz w:val="24"/>
              </w:rPr>
              <w:t>Early childhood education</w:t>
            </w:r>
          </w:p>
        </w:tc>
        <w:tc>
          <w:tcPr>
            <w:tcW w:w="10368" w:type="dxa"/>
          </w:tcPr>
          <w:p w14:paraId="5B1C5F0B" w14:textId="77777777" w:rsidR="00310848" w:rsidRPr="00150CD2" w:rsidRDefault="00310848" w:rsidP="0039393C">
            <w:pPr>
              <w:pStyle w:val="EYTablebullet1"/>
              <w:spacing w:before="0" w:after="120"/>
              <w:rPr>
                <w:rFonts w:cs="Arial"/>
                <w:sz w:val="24"/>
              </w:rPr>
            </w:pPr>
            <w:r w:rsidRPr="00150CD2">
              <w:rPr>
                <w:rFonts w:cs="Arial"/>
                <w:sz w:val="24"/>
              </w:rPr>
              <w:t>Around 97% of children were enrolled in some form of early childhood education prior to starting school</w:t>
            </w:r>
            <w:r w:rsidRPr="00150CD2">
              <w:rPr>
                <w:rStyle w:val="FootnoteReference"/>
                <w:rFonts w:ascii="Arial" w:hAnsi="Arial" w:cs="Arial"/>
                <w:sz w:val="24"/>
                <w:szCs w:val="24"/>
              </w:rPr>
              <w:footnoteReference w:id="43"/>
            </w:r>
            <w:r w:rsidRPr="00150CD2">
              <w:rPr>
                <w:rFonts w:cs="Arial"/>
                <w:sz w:val="24"/>
              </w:rPr>
              <w:t>, similar to enrolment rates for non-DSS children.</w:t>
            </w:r>
          </w:p>
        </w:tc>
      </w:tr>
      <w:tr w:rsidR="00310848" w:rsidRPr="00150CD2" w14:paraId="1698F078" w14:textId="77777777" w:rsidTr="00534711">
        <w:tc>
          <w:tcPr>
            <w:tcW w:w="1584" w:type="dxa"/>
            <w:tcBorders>
              <w:top w:val="nil"/>
              <w:bottom w:val="nil"/>
            </w:tcBorders>
          </w:tcPr>
          <w:p w14:paraId="6F2747FB" w14:textId="77777777" w:rsidR="00310848" w:rsidRPr="00150CD2" w:rsidRDefault="00310848" w:rsidP="0039393C">
            <w:pPr>
              <w:pStyle w:val="EYTableText"/>
              <w:rPr>
                <w:rFonts w:cs="Arial"/>
                <w:sz w:val="24"/>
              </w:rPr>
            </w:pPr>
          </w:p>
        </w:tc>
        <w:tc>
          <w:tcPr>
            <w:tcW w:w="2016" w:type="dxa"/>
          </w:tcPr>
          <w:p w14:paraId="51016337" w14:textId="77777777" w:rsidR="00310848" w:rsidRPr="00150CD2" w:rsidRDefault="00310848" w:rsidP="0039393C">
            <w:pPr>
              <w:pStyle w:val="EYTableText"/>
              <w:rPr>
                <w:rFonts w:cs="Arial"/>
                <w:sz w:val="24"/>
              </w:rPr>
            </w:pPr>
            <w:r w:rsidRPr="00150CD2">
              <w:rPr>
                <w:rFonts w:cs="Arial"/>
                <w:sz w:val="24"/>
              </w:rPr>
              <w:t>B4 School Checks</w:t>
            </w:r>
          </w:p>
        </w:tc>
        <w:tc>
          <w:tcPr>
            <w:tcW w:w="10368" w:type="dxa"/>
          </w:tcPr>
          <w:p w14:paraId="3D4818B6" w14:textId="1C48ABF3" w:rsidR="00310848" w:rsidRPr="00150CD2" w:rsidRDefault="00310848" w:rsidP="0039393C">
            <w:pPr>
              <w:pStyle w:val="EYTablebullet1"/>
              <w:spacing w:before="0" w:after="120"/>
              <w:ind w:left="288" w:hanging="288"/>
              <w:rPr>
                <w:rFonts w:cs="Arial"/>
                <w:sz w:val="24"/>
              </w:rPr>
            </w:pPr>
            <w:r w:rsidRPr="00150CD2">
              <w:rPr>
                <w:rFonts w:cs="Arial"/>
                <w:sz w:val="24"/>
              </w:rPr>
              <w:t>24% of</w:t>
            </w:r>
            <w:r w:rsidR="00A52C97" w:rsidRPr="00150CD2">
              <w:rPr>
                <w:rFonts w:cs="Arial"/>
                <w:sz w:val="24"/>
              </w:rPr>
              <w:t xml:space="preserve"> </w:t>
            </w:r>
            <w:r w:rsidR="003C46CF" w:rsidRPr="00150CD2">
              <w:rPr>
                <w:rFonts w:cs="Arial"/>
                <w:sz w:val="24"/>
              </w:rPr>
              <w:t>DSS</w:t>
            </w:r>
            <w:r w:rsidRPr="00150CD2">
              <w:rPr>
                <w:rFonts w:cs="Arial"/>
                <w:sz w:val="24"/>
              </w:rPr>
              <w:t xml:space="preserve"> children </w:t>
            </w:r>
            <w:r w:rsidR="00C82E49" w:rsidRPr="00150CD2">
              <w:rPr>
                <w:rFonts w:cs="Arial"/>
                <w:sz w:val="24"/>
              </w:rPr>
              <w:t xml:space="preserve">in New Zealand </w:t>
            </w:r>
            <w:r w:rsidRPr="00150CD2">
              <w:rPr>
                <w:rFonts w:cs="Arial"/>
                <w:sz w:val="24"/>
              </w:rPr>
              <w:t>with completed B4SC vision and/or hearing checks had referrals made</w:t>
            </w:r>
            <w:r w:rsidRPr="00150CD2">
              <w:rPr>
                <w:rStyle w:val="FootnoteReference"/>
                <w:rFonts w:ascii="Arial" w:hAnsi="Arial" w:cs="Arial"/>
                <w:sz w:val="24"/>
                <w:szCs w:val="24"/>
              </w:rPr>
              <w:footnoteReference w:id="44"/>
            </w:r>
            <w:r w:rsidRPr="00150CD2">
              <w:rPr>
                <w:rFonts w:cs="Arial"/>
                <w:sz w:val="24"/>
              </w:rPr>
              <w:t>, around 2</w:t>
            </w:r>
            <w:r w:rsidR="00CA4326" w:rsidRPr="00150CD2">
              <w:rPr>
                <w:rFonts w:cs="Arial"/>
                <w:sz w:val="24"/>
              </w:rPr>
              <w:t xml:space="preserve"> times </w:t>
            </w:r>
            <w:r w:rsidRPr="00150CD2">
              <w:rPr>
                <w:rFonts w:cs="Arial"/>
                <w:sz w:val="24"/>
              </w:rPr>
              <w:t xml:space="preserve">the referral rate for non-DSS children (12%). </w:t>
            </w:r>
          </w:p>
          <w:p w14:paraId="11E8CEE5" w14:textId="77777777" w:rsidR="00310848" w:rsidRPr="00150CD2" w:rsidRDefault="00310848" w:rsidP="0039393C">
            <w:pPr>
              <w:pStyle w:val="EYTablebullet1"/>
              <w:spacing w:before="0" w:after="120"/>
              <w:ind w:left="288" w:hanging="288"/>
              <w:rPr>
                <w:rFonts w:cs="Arial"/>
                <w:sz w:val="24"/>
              </w:rPr>
            </w:pPr>
            <w:r w:rsidRPr="00150CD2">
              <w:rPr>
                <w:rFonts w:cs="Arial"/>
                <w:sz w:val="24"/>
              </w:rPr>
              <w:t>Around 16% of children with completed B4SC dental checks received scores within referral range, slightly higher than the 14% of non-DSS children with referral range scores.</w:t>
            </w:r>
          </w:p>
          <w:p w14:paraId="2B55D353" w14:textId="707CC8C4" w:rsidR="00310848" w:rsidRPr="00150CD2" w:rsidRDefault="00310848" w:rsidP="0039393C">
            <w:pPr>
              <w:pStyle w:val="EYTablebullet1"/>
              <w:spacing w:before="0" w:after="120"/>
              <w:rPr>
                <w:rFonts w:cs="Arial"/>
                <w:sz w:val="24"/>
              </w:rPr>
            </w:pPr>
            <w:r w:rsidRPr="00150CD2">
              <w:rPr>
                <w:rFonts w:cs="Arial"/>
                <w:sz w:val="24"/>
              </w:rPr>
              <w:t>For</w:t>
            </w:r>
            <w:r w:rsidR="003408B5" w:rsidRPr="00150CD2">
              <w:rPr>
                <w:rFonts w:cs="Arial"/>
                <w:sz w:val="24"/>
              </w:rPr>
              <w:t xml:space="preserve"> </w:t>
            </w:r>
            <w:r w:rsidRPr="00150CD2">
              <w:rPr>
                <w:rFonts w:cs="Arial"/>
                <w:sz w:val="24"/>
              </w:rPr>
              <w:t xml:space="preserve">DSS children, rates of referral outcomes for vision and hearing checks were higher for those with intellectual disabilities and </w:t>
            </w:r>
            <w:r w:rsidR="00DF5F17" w:rsidRPr="00150CD2">
              <w:rPr>
                <w:rFonts w:cs="Arial"/>
                <w:sz w:val="24"/>
              </w:rPr>
              <w:t>high/very high SPA</w:t>
            </w:r>
            <w:r w:rsidRPr="00150CD2">
              <w:rPr>
                <w:rFonts w:cs="Arial"/>
                <w:sz w:val="24"/>
              </w:rPr>
              <w:t xml:space="preserve"> levels</w:t>
            </w:r>
            <w:r w:rsidR="00124C64" w:rsidRPr="00150CD2">
              <w:rPr>
                <w:rFonts w:cs="Arial"/>
                <w:sz w:val="24"/>
              </w:rPr>
              <w:t xml:space="preserve"> </w:t>
            </w:r>
            <w:r w:rsidRPr="00150CD2">
              <w:rPr>
                <w:rFonts w:cs="Arial"/>
                <w:sz w:val="24"/>
              </w:rPr>
              <w:t xml:space="preserve">and were similar across Māori and non-Māori children. </w:t>
            </w:r>
            <w:r w:rsidRPr="00150CD2">
              <w:rPr>
                <w:rFonts w:cs="Arial"/>
                <w:sz w:val="24"/>
              </w:rPr>
              <w:br/>
              <w:t>Māori children were almost twice as likely to receive dental scores within referral range as non-Māori children, reflecting differences in the broader Māori and non-Māori child population.</w:t>
            </w:r>
          </w:p>
        </w:tc>
      </w:tr>
      <w:tr w:rsidR="006E12E5" w:rsidRPr="00150CD2" w14:paraId="69C5C3CE" w14:textId="77777777" w:rsidTr="00534711">
        <w:tc>
          <w:tcPr>
            <w:tcW w:w="1584" w:type="dxa"/>
            <w:tcBorders>
              <w:top w:val="nil"/>
              <w:bottom w:val="nil"/>
            </w:tcBorders>
          </w:tcPr>
          <w:p w14:paraId="044DF2DB" w14:textId="77777777" w:rsidR="006E12E5" w:rsidRPr="00150CD2" w:rsidRDefault="006E12E5" w:rsidP="006E12E5">
            <w:pPr>
              <w:pStyle w:val="EYTableText"/>
              <w:rPr>
                <w:rFonts w:cs="Arial"/>
                <w:sz w:val="24"/>
              </w:rPr>
            </w:pPr>
          </w:p>
        </w:tc>
        <w:tc>
          <w:tcPr>
            <w:tcW w:w="2016" w:type="dxa"/>
          </w:tcPr>
          <w:p w14:paraId="3D6A6512" w14:textId="4A9A75FC" w:rsidR="006E12E5" w:rsidRPr="00150CD2" w:rsidRDefault="006E12E5" w:rsidP="006E12E5">
            <w:pPr>
              <w:pStyle w:val="EYTableText"/>
              <w:rPr>
                <w:rFonts w:cs="Arial"/>
                <w:sz w:val="24"/>
              </w:rPr>
            </w:pPr>
            <w:r w:rsidRPr="00150CD2">
              <w:rPr>
                <w:rFonts w:cs="Arial"/>
                <w:sz w:val="24"/>
              </w:rPr>
              <w:t>Ambulatory sensitive (avoidable) hospitalisations</w:t>
            </w:r>
          </w:p>
        </w:tc>
        <w:tc>
          <w:tcPr>
            <w:tcW w:w="10368" w:type="dxa"/>
          </w:tcPr>
          <w:p w14:paraId="35B42F25" w14:textId="19D906F7" w:rsidR="006E12E5" w:rsidRPr="00150CD2" w:rsidRDefault="006E12E5" w:rsidP="006E12E5">
            <w:pPr>
              <w:pStyle w:val="EYTablebullet1"/>
              <w:spacing w:before="0" w:after="120"/>
              <w:rPr>
                <w:rFonts w:cs="Arial"/>
                <w:sz w:val="24"/>
              </w:rPr>
            </w:pPr>
            <w:r w:rsidRPr="00150CD2">
              <w:rPr>
                <w:rFonts w:cs="Arial"/>
                <w:sz w:val="24"/>
              </w:rPr>
              <w:t>Around 1 in 4 children (26%) had ambulatory sensitive hospitalisations</w:t>
            </w:r>
            <w:r w:rsidR="00D2004A" w:rsidRPr="00150CD2">
              <w:rPr>
                <w:rFonts w:cs="Arial"/>
                <w:sz w:val="24"/>
              </w:rPr>
              <w:t xml:space="preserve"> (ASH)</w:t>
            </w:r>
            <w:r w:rsidRPr="00150CD2">
              <w:rPr>
                <w:rFonts w:cs="Arial"/>
                <w:sz w:val="24"/>
              </w:rPr>
              <w:t xml:space="preserve"> over </w:t>
            </w:r>
            <w:r w:rsidR="001433E8" w:rsidRPr="00150CD2">
              <w:rPr>
                <w:rFonts w:cs="Arial"/>
                <w:sz w:val="24"/>
              </w:rPr>
              <w:t xml:space="preserve">a </w:t>
            </w:r>
            <w:r w:rsidRPr="00150CD2">
              <w:rPr>
                <w:rFonts w:cs="Arial"/>
                <w:sz w:val="24"/>
              </w:rPr>
              <w:t>3 year period. This was around 2.6</w:t>
            </w:r>
            <w:r w:rsidR="00CA4326" w:rsidRPr="00150CD2">
              <w:rPr>
                <w:rFonts w:cs="Arial"/>
                <w:sz w:val="24"/>
              </w:rPr>
              <w:t xml:space="preserve"> times </w:t>
            </w:r>
            <w:r w:rsidRPr="00150CD2">
              <w:rPr>
                <w:rFonts w:cs="Arial"/>
                <w:sz w:val="24"/>
              </w:rPr>
              <w:t xml:space="preserve">the rate of the broader 0-4 year-old national child population </w:t>
            </w:r>
            <w:r w:rsidR="001433E8" w:rsidRPr="00150CD2">
              <w:rPr>
                <w:rFonts w:cs="Arial"/>
                <w:sz w:val="24"/>
              </w:rPr>
              <w:t>(10% had ASHs over the same 3 year period)</w:t>
            </w:r>
            <w:r w:rsidRPr="00150CD2">
              <w:rPr>
                <w:rFonts w:cs="Arial"/>
                <w:sz w:val="24"/>
              </w:rPr>
              <w:t>.</w:t>
            </w:r>
            <w:r w:rsidR="001433E8" w:rsidRPr="00150CD2">
              <w:rPr>
                <w:rFonts w:cs="Arial"/>
                <w:sz w:val="24"/>
              </w:rPr>
              <w:t>)</w:t>
            </w:r>
            <w:r w:rsidRPr="00150CD2">
              <w:rPr>
                <w:rFonts w:cs="Arial"/>
                <w:sz w:val="24"/>
              </w:rPr>
              <w:t xml:space="preserve"> </w:t>
            </w:r>
          </w:p>
          <w:p w14:paraId="5C815C7B" w14:textId="218489B9" w:rsidR="006E12E5" w:rsidRPr="00150CD2" w:rsidRDefault="006E12E5" w:rsidP="006E12E5">
            <w:pPr>
              <w:pStyle w:val="EYTablebullet1"/>
              <w:spacing w:before="0" w:after="120"/>
              <w:rPr>
                <w:rFonts w:cs="Arial"/>
                <w:sz w:val="24"/>
              </w:rPr>
            </w:pPr>
            <w:r w:rsidRPr="00150CD2">
              <w:rPr>
                <w:rFonts w:cs="Arial"/>
                <w:sz w:val="24"/>
              </w:rPr>
              <w:t xml:space="preserve">For DSS children, Māori children, those with an intellectual disability or with </w:t>
            </w:r>
            <w:r w:rsidR="00DF5F17" w:rsidRPr="00150CD2">
              <w:rPr>
                <w:rFonts w:cs="Arial"/>
                <w:sz w:val="24"/>
              </w:rPr>
              <w:t>high/very high SPA</w:t>
            </w:r>
            <w:r w:rsidRPr="00150CD2">
              <w:rPr>
                <w:rFonts w:cs="Arial"/>
                <w:sz w:val="24"/>
              </w:rPr>
              <w:t xml:space="preserve"> levels were more likely to have had 2 or more ambulatory sensitive hospitalisations over the period.</w:t>
            </w:r>
          </w:p>
        </w:tc>
      </w:tr>
      <w:tr w:rsidR="00310848" w:rsidRPr="00150CD2" w14:paraId="135B22B7" w14:textId="77777777" w:rsidTr="00534711">
        <w:tc>
          <w:tcPr>
            <w:tcW w:w="1584" w:type="dxa"/>
            <w:tcBorders>
              <w:top w:val="nil"/>
              <w:bottom w:val="nil"/>
            </w:tcBorders>
          </w:tcPr>
          <w:p w14:paraId="62F5AFF8" w14:textId="77777777" w:rsidR="00310848" w:rsidRPr="00150CD2" w:rsidRDefault="00310848" w:rsidP="0039393C">
            <w:pPr>
              <w:pStyle w:val="EYTableText"/>
              <w:rPr>
                <w:rFonts w:cs="Arial"/>
                <w:sz w:val="24"/>
              </w:rPr>
            </w:pPr>
          </w:p>
        </w:tc>
        <w:tc>
          <w:tcPr>
            <w:tcW w:w="2016" w:type="dxa"/>
          </w:tcPr>
          <w:p w14:paraId="066C99C9" w14:textId="77777777" w:rsidR="00310848" w:rsidRPr="00150CD2" w:rsidRDefault="00310848" w:rsidP="0039393C">
            <w:pPr>
              <w:pStyle w:val="EYTableText"/>
              <w:rPr>
                <w:rFonts w:cs="Arial"/>
                <w:sz w:val="24"/>
              </w:rPr>
            </w:pPr>
            <w:r w:rsidRPr="00150CD2">
              <w:rPr>
                <w:rFonts w:cs="Arial"/>
                <w:sz w:val="24"/>
              </w:rPr>
              <w:t>Emergency Department contacts and injury related hospitalisations</w:t>
            </w:r>
          </w:p>
        </w:tc>
        <w:tc>
          <w:tcPr>
            <w:tcW w:w="10368" w:type="dxa"/>
          </w:tcPr>
          <w:p w14:paraId="0F545B96" w14:textId="2D9045EC" w:rsidR="00310848" w:rsidRPr="00150CD2" w:rsidRDefault="006C1B0A" w:rsidP="0039393C">
            <w:pPr>
              <w:pStyle w:val="EYTablebullet1"/>
              <w:spacing w:before="0" w:after="120"/>
              <w:rPr>
                <w:rFonts w:cs="Arial"/>
                <w:sz w:val="24"/>
              </w:rPr>
            </w:pPr>
            <w:r w:rsidRPr="00150CD2">
              <w:rPr>
                <w:rFonts w:cs="Arial"/>
                <w:sz w:val="24"/>
              </w:rPr>
              <w:t>32</w:t>
            </w:r>
            <w:r w:rsidR="00310848" w:rsidRPr="00150CD2">
              <w:rPr>
                <w:rFonts w:cs="Arial"/>
                <w:sz w:val="24"/>
              </w:rPr>
              <w:t xml:space="preserve">% of </w:t>
            </w:r>
            <w:r w:rsidR="003C46CF" w:rsidRPr="00150CD2">
              <w:rPr>
                <w:rFonts w:cs="Arial"/>
                <w:sz w:val="24"/>
              </w:rPr>
              <w:t xml:space="preserve">DSS </w:t>
            </w:r>
            <w:r w:rsidR="00310848" w:rsidRPr="00150CD2">
              <w:rPr>
                <w:rFonts w:cs="Arial"/>
                <w:sz w:val="24"/>
              </w:rPr>
              <w:t xml:space="preserve">children aged 0-4 years had </w:t>
            </w:r>
            <w:r w:rsidRPr="00150CD2">
              <w:rPr>
                <w:rFonts w:cs="Arial"/>
                <w:sz w:val="24"/>
              </w:rPr>
              <w:t>2</w:t>
            </w:r>
            <w:r w:rsidR="00310848" w:rsidRPr="00150CD2">
              <w:rPr>
                <w:rFonts w:cs="Arial"/>
                <w:sz w:val="24"/>
              </w:rPr>
              <w:t xml:space="preserve"> or more ED </w:t>
            </w:r>
            <w:r w:rsidR="001433E8" w:rsidRPr="00150CD2">
              <w:rPr>
                <w:rFonts w:cs="Arial"/>
                <w:sz w:val="24"/>
              </w:rPr>
              <w:t xml:space="preserve">visits </w:t>
            </w:r>
            <w:r w:rsidR="00310848" w:rsidRPr="00150CD2">
              <w:rPr>
                <w:rFonts w:cs="Arial"/>
                <w:sz w:val="24"/>
              </w:rPr>
              <w:t xml:space="preserve">over the </w:t>
            </w:r>
            <w:r w:rsidRPr="00150CD2">
              <w:rPr>
                <w:rFonts w:cs="Arial"/>
                <w:sz w:val="24"/>
              </w:rPr>
              <w:t xml:space="preserve">3 year </w:t>
            </w:r>
            <w:r w:rsidR="00310848" w:rsidRPr="00150CD2">
              <w:rPr>
                <w:rFonts w:cs="Arial"/>
                <w:sz w:val="24"/>
              </w:rPr>
              <w:t xml:space="preserve">period, considerably higher than the </w:t>
            </w:r>
            <w:r w:rsidRPr="00150CD2">
              <w:rPr>
                <w:rFonts w:cs="Arial"/>
                <w:sz w:val="24"/>
              </w:rPr>
              <w:t xml:space="preserve">proportion </w:t>
            </w:r>
            <w:r w:rsidR="00310848" w:rsidRPr="00150CD2">
              <w:rPr>
                <w:rFonts w:cs="Arial"/>
                <w:sz w:val="24"/>
              </w:rPr>
              <w:t xml:space="preserve">of other 0-4 year-old children </w:t>
            </w:r>
            <w:r w:rsidRPr="00150CD2">
              <w:rPr>
                <w:rFonts w:cs="Arial"/>
                <w:sz w:val="24"/>
              </w:rPr>
              <w:t>who</w:t>
            </w:r>
            <w:r w:rsidR="00310848" w:rsidRPr="00150CD2">
              <w:rPr>
                <w:rFonts w:cs="Arial"/>
                <w:sz w:val="24"/>
              </w:rPr>
              <w:t xml:space="preserve"> had </w:t>
            </w:r>
            <w:r w:rsidRPr="00150CD2">
              <w:rPr>
                <w:rFonts w:cs="Arial"/>
                <w:sz w:val="24"/>
              </w:rPr>
              <w:t>2</w:t>
            </w:r>
            <w:r w:rsidR="00310848" w:rsidRPr="00150CD2">
              <w:rPr>
                <w:rFonts w:cs="Arial"/>
                <w:sz w:val="24"/>
              </w:rPr>
              <w:t xml:space="preserve"> or more ED </w:t>
            </w:r>
            <w:r w:rsidR="00E03375" w:rsidRPr="00150CD2">
              <w:rPr>
                <w:rFonts w:cs="Arial"/>
                <w:sz w:val="24"/>
              </w:rPr>
              <w:t>contacts</w:t>
            </w:r>
            <w:r w:rsidR="00310848" w:rsidRPr="00150CD2">
              <w:rPr>
                <w:rFonts w:cs="Arial"/>
                <w:sz w:val="24"/>
              </w:rPr>
              <w:t xml:space="preserve"> over the same period</w:t>
            </w:r>
            <w:r w:rsidRPr="00150CD2">
              <w:rPr>
                <w:rFonts w:cs="Arial"/>
                <w:sz w:val="24"/>
              </w:rPr>
              <w:t xml:space="preserve"> (19%</w:t>
            </w:r>
            <w:r w:rsidR="00310848" w:rsidRPr="00150CD2">
              <w:rPr>
                <w:rFonts w:cs="Arial"/>
                <w:sz w:val="24"/>
              </w:rPr>
              <w:t xml:space="preserve">). </w:t>
            </w:r>
          </w:p>
          <w:p w14:paraId="324A395F" w14:textId="70B6AF96" w:rsidR="00310848" w:rsidRPr="00150CD2" w:rsidRDefault="00310848" w:rsidP="00E03375">
            <w:pPr>
              <w:pStyle w:val="EYTablebullet1"/>
              <w:numPr>
                <w:ilvl w:val="0"/>
                <w:numId w:val="0"/>
              </w:numPr>
              <w:spacing w:before="0" w:after="120"/>
              <w:ind w:left="284"/>
              <w:rPr>
                <w:rFonts w:cs="Arial"/>
                <w:sz w:val="24"/>
              </w:rPr>
            </w:pPr>
            <w:r w:rsidRPr="00150CD2">
              <w:rPr>
                <w:rFonts w:cs="Arial"/>
                <w:sz w:val="24"/>
              </w:rPr>
              <w:t xml:space="preserve">Children aged 0-4 years with an intellectual disability and/or with high SPA levels were more likely to have had </w:t>
            </w:r>
            <w:r w:rsidR="00E03375" w:rsidRPr="00150CD2">
              <w:rPr>
                <w:rFonts w:cs="Arial"/>
                <w:sz w:val="24"/>
              </w:rPr>
              <w:t>2</w:t>
            </w:r>
            <w:r w:rsidRPr="00150CD2">
              <w:rPr>
                <w:rFonts w:cs="Arial"/>
                <w:sz w:val="24"/>
              </w:rPr>
              <w:t xml:space="preserve"> or more ED </w:t>
            </w:r>
            <w:r w:rsidR="001433E8" w:rsidRPr="00150CD2">
              <w:rPr>
                <w:rFonts w:cs="Arial"/>
                <w:sz w:val="24"/>
              </w:rPr>
              <w:t xml:space="preserve">visits </w:t>
            </w:r>
            <w:r w:rsidR="00E03375" w:rsidRPr="00150CD2">
              <w:rPr>
                <w:rFonts w:cs="Arial"/>
                <w:sz w:val="24"/>
              </w:rPr>
              <w:t xml:space="preserve">over the period </w:t>
            </w:r>
            <w:r w:rsidRPr="00150CD2">
              <w:rPr>
                <w:rFonts w:cs="Arial"/>
                <w:sz w:val="24"/>
              </w:rPr>
              <w:t xml:space="preserve">than children </w:t>
            </w:r>
            <w:r w:rsidR="00E03375" w:rsidRPr="00150CD2">
              <w:rPr>
                <w:rFonts w:cs="Arial"/>
                <w:sz w:val="24"/>
              </w:rPr>
              <w:t xml:space="preserve">with ASD or other disabilities </w:t>
            </w:r>
            <w:r w:rsidRPr="00150CD2">
              <w:rPr>
                <w:rFonts w:cs="Arial"/>
                <w:sz w:val="24"/>
              </w:rPr>
              <w:t>or with low</w:t>
            </w:r>
            <w:r w:rsidR="00E03375" w:rsidRPr="00150CD2">
              <w:rPr>
                <w:rFonts w:cs="Arial"/>
                <w:sz w:val="24"/>
              </w:rPr>
              <w:t>er</w:t>
            </w:r>
            <w:r w:rsidRPr="00150CD2">
              <w:rPr>
                <w:rFonts w:cs="Arial"/>
                <w:sz w:val="24"/>
              </w:rPr>
              <w:t xml:space="preserve"> SPA levels (</w:t>
            </w:r>
            <w:r w:rsidR="001433E8" w:rsidRPr="00150CD2">
              <w:rPr>
                <w:rFonts w:cs="Arial"/>
                <w:sz w:val="24"/>
              </w:rPr>
              <w:t xml:space="preserve">around </w:t>
            </w:r>
            <w:r w:rsidRPr="00150CD2">
              <w:rPr>
                <w:rFonts w:cs="Arial"/>
                <w:sz w:val="24"/>
              </w:rPr>
              <w:t>1.</w:t>
            </w:r>
            <w:r w:rsidR="00E03375" w:rsidRPr="00150CD2">
              <w:rPr>
                <w:rFonts w:cs="Arial"/>
                <w:sz w:val="24"/>
              </w:rPr>
              <w:t>6</w:t>
            </w:r>
            <w:r w:rsidRPr="00150CD2">
              <w:rPr>
                <w:rFonts w:cs="Arial"/>
                <w:sz w:val="24"/>
              </w:rPr>
              <w:t>-</w:t>
            </w:r>
            <w:r w:rsidR="00E03375" w:rsidRPr="00150CD2">
              <w:rPr>
                <w:rFonts w:cs="Arial"/>
                <w:sz w:val="24"/>
              </w:rPr>
              <w:t>1.8</w:t>
            </w:r>
            <w:r w:rsidR="001433E8" w:rsidRPr="00150CD2">
              <w:rPr>
                <w:rFonts w:cs="Arial"/>
                <w:sz w:val="24"/>
              </w:rPr>
              <w:t xml:space="preserve"> times</w:t>
            </w:r>
            <w:r w:rsidRPr="00150CD2">
              <w:rPr>
                <w:rFonts w:cs="Arial"/>
                <w:sz w:val="24"/>
              </w:rPr>
              <w:t xml:space="preserve"> more likely).</w:t>
            </w:r>
          </w:p>
          <w:p w14:paraId="6487CDF9" w14:textId="56ED4903" w:rsidR="00310848" w:rsidRPr="00150CD2" w:rsidRDefault="001433E8" w:rsidP="0039393C">
            <w:pPr>
              <w:pStyle w:val="EYTablebullet1"/>
              <w:spacing w:before="0" w:after="120"/>
              <w:rPr>
                <w:rFonts w:cs="Arial"/>
                <w:sz w:val="24"/>
              </w:rPr>
            </w:pPr>
            <w:r w:rsidRPr="00150CD2">
              <w:rPr>
                <w:rFonts w:cs="Arial"/>
                <w:sz w:val="24"/>
              </w:rPr>
              <w:t>Around</w:t>
            </w:r>
            <w:r w:rsidR="00CB024E" w:rsidRPr="00150CD2">
              <w:rPr>
                <w:rFonts w:cs="Arial"/>
                <w:sz w:val="24"/>
              </w:rPr>
              <w:t xml:space="preserve"> </w:t>
            </w:r>
            <w:r w:rsidR="00310848" w:rsidRPr="00150CD2">
              <w:rPr>
                <w:rFonts w:cs="Arial"/>
                <w:sz w:val="24"/>
              </w:rPr>
              <w:t xml:space="preserve">1 in 5 (22%) </w:t>
            </w:r>
            <w:r w:rsidRPr="00150CD2">
              <w:rPr>
                <w:rFonts w:cs="Arial"/>
                <w:sz w:val="24"/>
              </w:rPr>
              <w:t xml:space="preserve">DSS children aged 0-4 </w:t>
            </w:r>
            <w:r w:rsidR="00310848" w:rsidRPr="00150CD2">
              <w:rPr>
                <w:rFonts w:cs="Arial"/>
                <w:sz w:val="24"/>
              </w:rPr>
              <w:t>had an injury-related ED contact over the 3 year period, higher than rates of injury related ED contact by other N</w:t>
            </w:r>
            <w:r w:rsidR="00E03375" w:rsidRPr="00150CD2">
              <w:rPr>
                <w:rFonts w:cs="Arial"/>
                <w:sz w:val="24"/>
              </w:rPr>
              <w:t xml:space="preserve">ew </w:t>
            </w:r>
            <w:r w:rsidR="00310848" w:rsidRPr="00150CD2">
              <w:rPr>
                <w:rFonts w:cs="Arial"/>
                <w:sz w:val="24"/>
              </w:rPr>
              <w:t>Z</w:t>
            </w:r>
            <w:r w:rsidR="00E03375" w:rsidRPr="00150CD2">
              <w:rPr>
                <w:rFonts w:cs="Arial"/>
                <w:sz w:val="24"/>
              </w:rPr>
              <w:t>ealand</w:t>
            </w:r>
            <w:r w:rsidR="00310848" w:rsidRPr="00150CD2">
              <w:rPr>
                <w:rFonts w:cs="Arial"/>
                <w:sz w:val="24"/>
              </w:rPr>
              <w:t xml:space="preserve"> children aged 0-4 (18%).</w:t>
            </w:r>
          </w:p>
          <w:p w14:paraId="48F5A8D7" w14:textId="7D88ED45" w:rsidR="00310848" w:rsidRPr="00150CD2" w:rsidRDefault="00310848" w:rsidP="0039393C">
            <w:pPr>
              <w:pStyle w:val="EYTablebullet1"/>
              <w:spacing w:before="0" w:after="120"/>
              <w:rPr>
                <w:rFonts w:cs="Arial"/>
                <w:sz w:val="24"/>
              </w:rPr>
            </w:pPr>
            <w:r w:rsidRPr="00150CD2">
              <w:rPr>
                <w:rFonts w:cs="Arial"/>
                <w:sz w:val="24"/>
              </w:rPr>
              <w:t xml:space="preserve">A small proportion </w:t>
            </w:r>
            <w:r w:rsidR="001433E8" w:rsidRPr="00150CD2">
              <w:rPr>
                <w:rFonts w:cs="Arial"/>
                <w:sz w:val="24"/>
              </w:rPr>
              <w:t xml:space="preserve">of DSS children aged 0-4 </w:t>
            </w:r>
            <w:r w:rsidRPr="00150CD2">
              <w:rPr>
                <w:rFonts w:cs="Arial"/>
                <w:sz w:val="24"/>
              </w:rPr>
              <w:t>(8%) had an injury-related hospital treatment over a 3 year period</w:t>
            </w:r>
            <w:r w:rsidR="001433E8" w:rsidRPr="00150CD2">
              <w:rPr>
                <w:rFonts w:cs="Arial"/>
                <w:sz w:val="24"/>
              </w:rPr>
              <w:t>. This was a higher proportion</w:t>
            </w:r>
            <w:r w:rsidRPr="00150CD2">
              <w:rPr>
                <w:rFonts w:cs="Arial"/>
                <w:sz w:val="24"/>
              </w:rPr>
              <w:t xml:space="preserve"> than</w:t>
            </w:r>
            <w:r w:rsidR="00A52C97" w:rsidRPr="00150CD2">
              <w:rPr>
                <w:rFonts w:cs="Arial"/>
                <w:sz w:val="24"/>
              </w:rPr>
              <w:t xml:space="preserve"> </w:t>
            </w:r>
            <w:r w:rsidRPr="00150CD2">
              <w:rPr>
                <w:rFonts w:cs="Arial"/>
                <w:sz w:val="24"/>
              </w:rPr>
              <w:t>for non-DSS children</w:t>
            </w:r>
            <w:r w:rsidR="001433E8" w:rsidRPr="00150CD2">
              <w:rPr>
                <w:rFonts w:cs="Arial"/>
                <w:sz w:val="24"/>
              </w:rPr>
              <w:t xml:space="preserve"> (5% had injury related hospitalisations over the same period)</w:t>
            </w:r>
            <w:r w:rsidRPr="00150CD2">
              <w:rPr>
                <w:rFonts w:cs="Arial"/>
                <w:sz w:val="24"/>
              </w:rPr>
              <w:t>.</w:t>
            </w:r>
          </w:p>
        </w:tc>
      </w:tr>
      <w:tr w:rsidR="00310848" w:rsidRPr="00150CD2" w14:paraId="280302F4" w14:textId="77777777" w:rsidTr="00534711">
        <w:tc>
          <w:tcPr>
            <w:tcW w:w="1584" w:type="dxa"/>
            <w:tcBorders>
              <w:top w:val="nil"/>
              <w:bottom w:val="single" w:sz="4" w:space="0" w:color="auto"/>
            </w:tcBorders>
          </w:tcPr>
          <w:p w14:paraId="2A4F7B75" w14:textId="77777777" w:rsidR="00310848" w:rsidRPr="00150CD2" w:rsidRDefault="00310848" w:rsidP="0039393C">
            <w:pPr>
              <w:pStyle w:val="EYTableText"/>
              <w:rPr>
                <w:rFonts w:cs="Arial"/>
                <w:sz w:val="24"/>
              </w:rPr>
            </w:pPr>
          </w:p>
        </w:tc>
        <w:tc>
          <w:tcPr>
            <w:tcW w:w="2016" w:type="dxa"/>
          </w:tcPr>
          <w:p w14:paraId="463FFB17" w14:textId="0DA72869" w:rsidR="00310848" w:rsidRPr="00150CD2" w:rsidRDefault="00310848" w:rsidP="0039393C">
            <w:pPr>
              <w:pStyle w:val="EYTableText"/>
              <w:rPr>
                <w:rFonts w:cs="Arial"/>
                <w:sz w:val="24"/>
              </w:rPr>
            </w:pPr>
            <w:r w:rsidRPr="00150CD2">
              <w:rPr>
                <w:rFonts w:cs="Arial"/>
                <w:sz w:val="24"/>
              </w:rPr>
              <w:t>Oranga Tamariki  contact</w:t>
            </w:r>
          </w:p>
        </w:tc>
        <w:tc>
          <w:tcPr>
            <w:tcW w:w="10368" w:type="dxa"/>
          </w:tcPr>
          <w:p w14:paraId="1F90750D" w14:textId="6B4F179B" w:rsidR="00310848" w:rsidRPr="00150CD2" w:rsidRDefault="00310848" w:rsidP="0039393C">
            <w:pPr>
              <w:pStyle w:val="EYTablebullet1"/>
              <w:spacing w:before="0" w:after="120"/>
              <w:rPr>
                <w:rFonts w:cs="Arial"/>
                <w:sz w:val="24"/>
              </w:rPr>
            </w:pPr>
            <w:r w:rsidRPr="00150CD2">
              <w:rPr>
                <w:rFonts w:cs="Arial"/>
                <w:sz w:val="24"/>
              </w:rPr>
              <w:t xml:space="preserve">18% of </w:t>
            </w:r>
            <w:r w:rsidR="00CB024E" w:rsidRPr="00150CD2">
              <w:rPr>
                <w:rFonts w:cs="Arial"/>
                <w:sz w:val="24"/>
              </w:rPr>
              <w:t xml:space="preserve">DSS </w:t>
            </w:r>
            <w:r w:rsidRPr="00150CD2">
              <w:rPr>
                <w:rFonts w:cs="Arial"/>
                <w:sz w:val="24"/>
              </w:rPr>
              <w:t>children were involved in reports of concern to O</w:t>
            </w:r>
            <w:r w:rsidR="0068339E" w:rsidRPr="00150CD2">
              <w:rPr>
                <w:rFonts w:cs="Arial"/>
                <w:sz w:val="24"/>
              </w:rPr>
              <w:t xml:space="preserve">ranga </w:t>
            </w:r>
            <w:r w:rsidRPr="00150CD2">
              <w:rPr>
                <w:rFonts w:cs="Arial"/>
                <w:sz w:val="24"/>
              </w:rPr>
              <w:t>T</w:t>
            </w:r>
            <w:r w:rsidR="0068339E" w:rsidRPr="00150CD2">
              <w:rPr>
                <w:rFonts w:cs="Arial"/>
                <w:sz w:val="24"/>
              </w:rPr>
              <w:t>amariki</w:t>
            </w:r>
            <w:r w:rsidRPr="00150CD2">
              <w:rPr>
                <w:rFonts w:cs="Arial"/>
                <w:sz w:val="24"/>
              </w:rPr>
              <w:t xml:space="preserve"> over the </w:t>
            </w:r>
            <w:r w:rsidR="001433E8" w:rsidRPr="00150CD2">
              <w:rPr>
                <w:rFonts w:cs="Arial"/>
                <w:sz w:val="24"/>
              </w:rPr>
              <w:t xml:space="preserve">3 year </w:t>
            </w:r>
            <w:r w:rsidRPr="00150CD2">
              <w:rPr>
                <w:rFonts w:cs="Arial"/>
                <w:sz w:val="24"/>
              </w:rPr>
              <w:t>period. This reporting rate was considerably higher than the rate of the broader 0-4 year old child population (11%</w:t>
            </w:r>
            <w:r w:rsidR="001433E8" w:rsidRPr="00150CD2">
              <w:rPr>
                <w:rFonts w:cs="Arial"/>
                <w:sz w:val="24"/>
              </w:rPr>
              <w:t xml:space="preserve"> over the same 3 year period</w:t>
            </w:r>
            <w:r w:rsidRPr="00150CD2">
              <w:rPr>
                <w:rFonts w:cs="Arial"/>
                <w:sz w:val="24"/>
              </w:rPr>
              <w:t>).</w:t>
            </w:r>
            <w:r w:rsidRPr="00150CD2">
              <w:rPr>
                <w:rFonts w:cs="Arial"/>
                <w:sz w:val="24"/>
              </w:rPr>
              <w:br/>
              <w:t xml:space="preserve">Within the group of DSS children aged 0-4, reporting rates were significantly higher for Māori children (27% compared to 14% for other ethnicities), those with intellectual disabilities (23%) </w:t>
            </w:r>
            <w:r w:rsidR="001433E8" w:rsidRPr="00150CD2">
              <w:rPr>
                <w:rFonts w:cs="Arial"/>
                <w:sz w:val="24"/>
              </w:rPr>
              <w:t>and</w:t>
            </w:r>
            <w:r w:rsidRPr="00150CD2">
              <w:rPr>
                <w:rFonts w:cs="Arial"/>
                <w:sz w:val="24"/>
              </w:rPr>
              <w:t xml:space="preserve"> </w:t>
            </w:r>
            <w:r w:rsidR="00DF5F17" w:rsidRPr="00150CD2">
              <w:rPr>
                <w:rFonts w:cs="Arial"/>
                <w:sz w:val="24"/>
              </w:rPr>
              <w:t>high/very high SPA</w:t>
            </w:r>
            <w:r w:rsidRPr="00150CD2">
              <w:rPr>
                <w:rFonts w:cs="Arial"/>
                <w:sz w:val="24"/>
              </w:rPr>
              <w:t xml:space="preserve"> levels (21%).</w:t>
            </w:r>
          </w:p>
          <w:p w14:paraId="03E74972" w14:textId="67224FE0" w:rsidR="00310848" w:rsidRPr="00150CD2" w:rsidRDefault="00310848" w:rsidP="0039393C">
            <w:pPr>
              <w:pStyle w:val="EYTablebullet1"/>
              <w:spacing w:before="0" w:after="120"/>
              <w:rPr>
                <w:rFonts w:cs="Arial"/>
                <w:sz w:val="24"/>
              </w:rPr>
            </w:pPr>
            <w:r w:rsidRPr="00150CD2">
              <w:rPr>
                <w:rFonts w:cs="Arial"/>
                <w:sz w:val="24"/>
              </w:rPr>
              <w:t xml:space="preserve">A small proportion (3%, or approximately 110 children) were involved in statutory </w:t>
            </w:r>
            <w:r w:rsidR="00BB075C" w:rsidRPr="00150CD2">
              <w:rPr>
                <w:rFonts w:cs="Arial"/>
                <w:sz w:val="24"/>
              </w:rPr>
              <w:t>Care and</w:t>
            </w:r>
            <w:r w:rsidRPr="00150CD2">
              <w:rPr>
                <w:rFonts w:cs="Arial"/>
                <w:sz w:val="24"/>
              </w:rPr>
              <w:t xml:space="preserve"> Protection</w:t>
            </w:r>
            <w:r w:rsidR="001433E8" w:rsidRPr="00150CD2">
              <w:rPr>
                <w:rFonts w:cs="Arial"/>
                <w:sz w:val="24"/>
              </w:rPr>
              <w:t xml:space="preserve"> over the 3 year period</w:t>
            </w:r>
            <w:r w:rsidRPr="00150CD2">
              <w:rPr>
                <w:rFonts w:cs="Arial"/>
                <w:sz w:val="24"/>
              </w:rPr>
              <w:t xml:space="preserve">. Although relatively small, this rate is </w:t>
            </w:r>
            <w:r w:rsidR="001433E8" w:rsidRPr="00150CD2">
              <w:rPr>
                <w:rFonts w:cs="Arial"/>
                <w:sz w:val="24"/>
              </w:rPr>
              <w:t xml:space="preserve">significantly higher than </w:t>
            </w:r>
            <w:r w:rsidRPr="00150CD2">
              <w:rPr>
                <w:rFonts w:cs="Arial"/>
                <w:sz w:val="24"/>
              </w:rPr>
              <w:t xml:space="preserve">the rate of statutory </w:t>
            </w:r>
            <w:r w:rsidR="00BB075C" w:rsidRPr="00150CD2">
              <w:rPr>
                <w:rFonts w:cs="Arial"/>
                <w:sz w:val="24"/>
              </w:rPr>
              <w:t xml:space="preserve">Care and </w:t>
            </w:r>
            <w:r w:rsidRPr="00150CD2">
              <w:rPr>
                <w:rFonts w:cs="Arial"/>
                <w:sz w:val="24"/>
              </w:rPr>
              <w:t>Protection involvement in the broader non-DSS child population</w:t>
            </w:r>
            <w:r w:rsidR="001433E8" w:rsidRPr="00150CD2">
              <w:rPr>
                <w:rFonts w:cs="Arial"/>
                <w:sz w:val="24"/>
              </w:rPr>
              <w:t xml:space="preserve"> (1.8%)</w:t>
            </w:r>
            <w:r w:rsidR="00A52C97" w:rsidRPr="00150CD2">
              <w:rPr>
                <w:rFonts w:cs="Arial"/>
                <w:sz w:val="24"/>
              </w:rPr>
              <w:t>.</w:t>
            </w:r>
          </w:p>
          <w:p w14:paraId="5AF94619" w14:textId="6EDDB765" w:rsidR="00310848" w:rsidRPr="00150CD2" w:rsidRDefault="00310848" w:rsidP="0039393C">
            <w:pPr>
              <w:pStyle w:val="EYTablebullet1"/>
              <w:spacing w:before="0" w:after="120"/>
              <w:rPr>
                <w:rFonts w:cs="Arial"/>
                <w:sz w:val="24"/>
              </w:rPr>
            </w:pPr>
            <w:r w:rsidRPr="00150CD2">
              <w:rPr>
                <w:rFonts w:cs="Arial"/>
                <w:sz w:val="24"/>
              </w:rPr>
              <w:t xml:space="preserve">Around 10% of children were involved in Police Family Violence </w:t>
            </w:r>
            <w:r w:rsidR="004F7FD8" w:rsidRPr="00150CD2">
              <w:rPr>
                <w:rFonts w:cs="Arial"/>
                <w:sz w:val="24"/>
              </w:rPr>
              <w:t xml:space="preserve">Centre </w:t>
            </w:r>
            <w:r w:rsidRPr="00150CD2">
              <w:rPr>
                <w:rFonts w:cs="Arial"/>
                <w:sz w:val="24"/>
              </w:rPr>
              <w:t>notifications to O</w:t>
            </w:r>
            <w:r w:rsidR="0068339E" w:rsidRPr="00150CD2">
              <w:rPr>
                <w:rFonts w:cs="Arial"/>
                <w:sz w:val="24"/>
              </w:rPr>
              <w:t xml:space="preserve">ranga </w:t>
            </w:r>
            <w:r w:rsidRPr="00150CD2">
              <w:rPr>
                <w:rFonts w:cs="Arial"/>
                <w:sz w:val="24"/>
              </w:rPr>
              <w:t>T</w:t>
            </w:r>
            <w:r w:rsidR="0068339E" w:rsidRPr="00150CD2">
              <w:rPr>
                <w:rFonts w:cs="Arial"/>
                <w:sz w:val="24"/>
              </w:rPr>
              <w:t>amariki</w:t>
            </w:r>
            <w:r w:rsidRPr="00150CD2">
              <w:rPr>
                <w:rFonts w:cs="Arial"/>
                <w:sz w:val="24"/>
              </w:rPr>
              <w:t xml:space="preserve"> over the period</w:t>
            </w:r>
            <w:r w:rsidR="009F316C" w:rsidRPr="00150CD2">
              <w:rPr>
                <w:rFonts w:cs="Arial"/>
                <w:sz w:val="24"/>
              </w:rPr>
              <w:t xml:space="preserve">. This was higher than levels of Police Family Violence </w:t>
            </w:r>
            <w:r w:rsidR="004F7FD8" w:rsidRPr="00150CD2">
              <w:rPr>
                <w:rFonts w:cs="Arial"/>
                <w:sz w:val="24"/>
              </w:rPr>
              <w:t xml:space="preserve">Centre </w:t>
            </w:r>
            <w:r w:rsidR="009F316C" w:rsidRPr="00150CD2">
              <w:rPr>
                <w:rFonts w:cs="Arial"/>
                <w:sz w:val="24"/>
              </w:rPr>
              <w:t>notifications to O</w:t>
            </w:r>
            <w:r w:rsidR="0068339E" w:rsidRPr="00150CD2">
              <w:rPr>
                <w:rFonts w:cs="Arial"/>
                <w:sz w:val="24"/>
              </w:rPr>
              <w:t xml:space="preserve">ranga </w:t>
            </w:r>
            <w:r w:rsidR="009F316C" w:rsidRPr="00150CD2">
              <w:rPr>
                <w:rFonts w:cs="Arial"/>
                <w:sz w:val="24"/>
              </w:rPr>
              <w:t>T</w:t>
            </w:r>
            <w:r w:rsidR="0068339E" w:rsidRPr="00150CD2">
              <w:rPr>
                <w:rFonts w:cs="Arial"/>
                <w:sz w:val="24"/>
              </w:rPr>
              <w:t>amariki</w:t>
            </w:r>
            <w:r w:rsidR="009F316C" w:rsidRPr="00150CD2" w:rsidDel="009F316C">
              <w:rPr>
                <w:rFonts w:cs="Arial"/>
                <w:sz w:val="24"/>
              </w:rPr>
              <w:t xml:space="preserve"> </w:t>
            </w:r>
            <w:r w:rsidRPr="00150CD2">
              <w:rPr>
                <w:rFonts w:cs="Arial"/>
                <w:sz w:val="24"/>
              </w:rPr>
              <w:t>for other children across New Zealand</w:t>
            </w:r>
            <w:r w:rsidR="003C46CF" w:rsidRPr="00150CD2">
              <w:rPr>
                <w:rFonts w:cs="Arial"/>
                <w:sz w:val="24"/>
              </w:rPr>
              <w:t xml:space="preserve"> </w:t>
            </w:r>
            <w:r w:rsidR="00546DED" w:rsidRPr="00150CD2">
              <w:rPr>
                <w:rFonts w:cs="Arial"/>
                <w:sz w:val="24"/>
              </w:rPr>
              <w:t>(</w:t>
            </w:r>
            <w:r w:rsidR="009F316C" w:rsidRPr="00150CD2">
              <w:rPr>
                <w:rFonts w:cs="Arial"/>
                <w:sz w:val="24"/>
              </w:rPr>
              <w:t>7</w:t>
            </w:r>
            <w:r w:rsidR="003C46CF" w:rsidRPr="00150CD2">
              <w:rPr>
                <w:rFonts w:cs="Arial"/>
                <w:sz w:val="24"/>
              </w:rPr>
              <w:t>%</w:t>
            </w:r>
            <w:r w:rsidR="00546DED" w:rsidRPr="00150CD2">
              <w:rPr>
                <w:rFonts w:cs="Arial"/>
                <w:sz w:val="24"/>
              </w:rPr>
              <w:t>)</w:t>
            </w:r>
            <w:r w:rsidR="009F316C" w:rsidRPr="00150CD2">
              <w:rPr>
                <w:rFonts w:cs="Arial"/>
                <w:sz w:val="24"/>
              </w:rPr>
              <w:t>.</w:t>
            </w:r>
          </w:p>
        </w:tc>
      </w:tr>
      <w:tr w:rsidR="00310848" w:rsidRPr="00150CD2" w14:paraId="53067876" w14:textId="77777777" w:rsidTr="00534711">
        <w:tc>
          <w:tcPr>
            <w:tcW w:w="1584" w:type="dxa"/>
            <w:tcBorders>
              <w:bottom w:val="nil"/>
            </w:tcBorders>
          </w:tcPr>
          <w:p w14:paraId="16950443" w14:textId="77777777" w:rsidR="00310848" w:rsidRPr="00150CD2" w:rsidRDefault="00310848" w:rsidP="0039393C">
            <w:pPr>
              <w:pStyle w:val="EYTableText"/>
              <w:rPr>
                <w:rFonts w:cs="Arial"/>
                <w:sz w:val="24"/>
              </w:rPr>
            </w:pPr>
            <w:r w:rsidRPr="00150CD2">
              <w:rPr>
                <w:rFonts w:cs="Arial"/>
                <w:sz w:val="24"/>
              </w:rPr>
              <w:t>Parents / family / whānau</w:t>
            </w:r>
          </w:p>
        </w:tc>
        <w:tc>
          <w:tcPr>
            <w:tcW w:w="2016" w:type="dxa"/>
          </w:tcPr>
          <w:p w14:paraId="6DD14BF7" w14:textId="5A866B99" w:rsidR="00310848" w:rsidRPr="00150CD2" w:rsidRDefault="00310848" w:rsidP="0039393C">
            <w:pPr>
              <w:pStyle w:val="EYTableText"/>
              <w:rPr>
                <w:rFonts w:cs="Arial"/>
                <w:sz w:val="24"/>
              </w:rPr>
            </w:pPr>
            <w:r w:rsidRPr="00150CD2">
              <w:rPr>
                <w:rFonts w:cs="Arial"/>
                <w:sz w:val="24"/>
              </w:rPr>
              <w:t>Family units and parental employment</w:t>
            </w:r>
          </w:p>
        </w:tc>
        <w:tc>
          <w:tcPr>
            <w:tcW w:w="10368" w:type="dxa"/>
          </w:tcPr>
          <w:p w14:paraId="66BDB348" w14:textId="608FD875" w:rsidR="00DB314F" w:rsidRPr="00150CD2" w:rsidRDefault="00DB314F" w:rsidP="0039393C">
            <w:pPr>
              <w:pStyle w:val="EYTableText"/>
              <w:spacing w:before="0" w:after="120"/>
              <w:rPr>
                <w:rFonts w:cs="Arial"/>
                <w:i/>
                <w:iCs/>
                <w:sz w:val="24"/>
              </w:rPr>
            </w:pPr>
            <w:r w:rsidRPr="00150CD2">
              <w:rPr>
                <w:rFonts w:cs="Arial"/>
                <w:i/>
                <w:iCs/>
                <w:sz w:val="24"/>
              </w:rPr>
              <w:t xml:space="preserve">The following observations around family units should be treated as estimates and care taken in interpretation, due to limitations around the coverage of relationship records in administrative data. Refer to </w:t>
            </w:r>
            <w:r w:rsidRPr="00150CD2">
              <w:rPr>
                <w:rFonts w:cs="Arial"/>
                <w:i/>
                <w:iCs/>
                <w:sz w:val="24"/>
              </w:rPr>
              <w:fldChar w:fldCharType="begin"/>
            </w:r>
            <w:r w:rsidRPr="00150CD2">
              <w:rPr>
                <w:rFonts w:cs="Arial"/>
                <w:i/>
                <w:iCs/>
                <w:sz w:val="24"/>
              </w:rPr>
              <w:instrText xml:space="preserve"> REF _Ref44353599 \r \h  \* MERGEFORMAT </w:instrText>
            </w:r>
            <w:r w:rsidRPr="00150CD2">
              <w:rPr>
                <w:rFonts w:cs="Arial"/>
                <w:i/>
                <w:iCs/>
                <w:sz w:val="24"/>
              </w:rPr>
            </w:r>
            <w:r w:rsidRPr="00150CD2">
              <w:rPr>
                <w:rFonts w:cs="Arial"/>
                <w:i/>
                <w:iCs/>
                <w:sz w:val="24"/>
              </w:rPr>
              <w:fldChar w:fldCharType="separate"/>
            </w:r>
            <w:r w:rsidR="00053D9A" w:rsidRPr="00150CD2">
              <w:rPr>
                <w:rFonts w:cs="Arial"/>
                <w:i/>
                <w:iCs/>
                <w:sz w:val="24"/>
              </w:rPr>
              <w:t>Appendix D</w:t>
            </w:r>
            <w:r w:rsidRPr="00150CD2">
              <w:rPr>
                <w:rFonts w:cs="Arial"/>
                <w:i/>
                <w:iCs/>
                <w:sz w:val="24"/>
              </w:rPr>
              <w:fldChar w:fldCharType="end"/>
            </w:r>
            <w:r w:rsidRPr="00150CD2">
              <w:rPr>
                <w:rFonts w:cs="Arial"/>
                <w:i/>
                <w:iCs/>
                <w:sz w:val="24"/>
              </w:rPr>
              <w:t xml:space="preserve"> for further information.</w:t>
            </w:r>
          </w:p>
          <w:p w14:paraId="115C2377" w14:textId="298ECF91" w:rsidR="00310848" w:rsidRPr="00150CD2" w:rsidRDefault="00310848" w:rsidP="0039393C">
            <w:pPr>
              <w:pStyle w:val="EYTableText"/>
              <w:spacing w:before="0" w:after="120"/>
              <w:rPr>
                <w:rFonts w:cs="Arial"/>
                <w:sz w:val="24"/>
              </w:rPr>
            </w:pPr>
            <w:r w:rsidRPr="00150CD2">
              <w:rPr>
                <w:rFonts w:cs="Arial"/>
                <w:sz w:val="24"/>
              </w:rPr>
              <w:t xml:space="preserve">For 0-4 year old DSS children </w:t>
            </w:r>
            <w:r w:rsidR="00DE3929" w:rsidRPr="00150CD2">
              <w:rPr>
                <w:rFonts w:cs="Arial"/>
                <w:sz w:val="24"/>
              </w:rPr>
              <w:t xml:space="preserve">as </w:t>
            </w:r>
            <w:r w:rsidRPr="00150CD2">
              <w:rPr>
                <w:rFonts w:cs="Arial"/>
                <w:sz w:val="24"/>
              </w:rPr>
              <w:t>at June 2018:</w:t>
            </w:r>
          </w:p>
          <w:p w14:paraId="16C952E4" w14:textId="60A73BED" w:rsidR="00310848" w:rsidRPr="00150CD2" w:rsidRDefault="00310848" w:rsidP="0039393C">
            <w:pPr>
              <w:pStyle w:val="EYTablebullet1"/>
              <w:spacing w:before="0" w:after="120"/>
              <w:rPr>
                <w:rFonts w:cs="Arial"/>
                <w:sz w:val="24"/>
              </w:rPr>
            </w:pPr>
            <w:r w:rsidRPr="00150CD2">
              <w:rPr>
                <w:rFonts w:cs="Arial"/>
                <w:sz w:val="24"/>
              </w:rPr>
              <w:t>Around 1 in 3 (32%) live with sole parents with the remaining 67% linked to two parents/caregivers. The proportion of this group supported by a sole parent/caregiver is higher than for other children in New Zealand (21%). Within the group of 0-4 year old DSS children, Māori children were more likely to be linked to sole parents (53% compared with 23% for non-Māori).</w:t>
            </w:r>
          </w:p>
          <w:p w14:paraId="447DB352" w14:textId="78B415A2" w:rsidR="00310848" w:rsidRPr="00150CD2" w:rsidRDefault="009F316C" w:rsidP="0039393C">
            <w:pPr>
              <w:pStyle w:val="EYTablebullet1"/>
              <w:spacing w:before="0" w:after="120"/>
              <w:rPr>
                <w:rFonts w:cs="Arial"/>
                <w:sz w:val="24"/>
              </w:rPr>
            </w:pPr>
            <w:r w:rsidRPr="00150CD2">
              <w:rPr>
                <w:rFonts w:cs="Arial"/>
                <w:sz w:val="24"/>
              </w:rPr>
              <w:t xml:space="preserve">Similarly, DSS children aged 0-4 are less likely to be supported by two parent incomes than other 0-4 year old children: </w:t>
            </w:r>
            <w:r w:rsidR="00310848" w:rsidRPr="00150CD2">
              <w:rPr>
                <w:rFonts w:cs="Arial"/>
                <w:sz w:val="24"/>
              </w:rPr>
              <w:t xml:space="preserve">25% had two parents/caregivers with employment income, 43% had one parent with employment income and 31% had no parents with employment income. </w:t>
            </w:r>
            <w:r w:rsidR="00310848" w:rsidRPr="00150CD2">
              <w:rPr>
                <w:rFonts w:cs="Arial"/>
                <w:sz w:val="24"/>
              </w:rPr>
              <w:br/>
            </w:r>
            <w:r w:rsidRPr="00150CD2">
              <w:rPr>
                <w:rFonts w:cs="Arial"/>
                <w:sz w:val="24"/>
              </w:rPr>
              <w:t xml:space="preserve">In comparison, </w:t>
            </w:r>
            <w:r w:rsidR="00310848" w:rsidRPr="00150CD2">
              <w:rPr>
                <w:rFonts w:cs="Arial"/>
                <w:sz w:val="24"/>
              </w:rPr>
              <w:t xml:space="preserve">40% of non-DSS children </w:t>
            </w:r>
            <w:r w:rsidRPr="00150CD2">
              <w:rPr>
                <w:rFonts w:cs="Arial"/>
                <w:sz w:val="24"/>
              </w:rPr>
              <w:t xml:space="preserve">aged 0-4 </w:t>
            </w:r>
            <w:r w:rsidR="00310848" w:rsidRPr="00150CD2">
              <w:rPr>
                <w:rFonts w:cs="Arial"/>
                <w:sz w:val="24"/>
              </w:rPr>
              <w:t>had two parents/caregivers with employment income, 38% had one parent with employment income and 21% had no parents with employment income.</w:t>
            </w:r>
          </w:p>
          <w:p w14:paraId="25551700" w14:textId="77777777" w:rsidR="00310848" w:rsidRPr="00150CD2" w:rsidRDefault="00310848" w:rsidP="0039393C">
            <w:pPr>
              <w:pStyle w:val="EYTableText"/>
              <w:spacing w:before="0" w:after="120"/>
              <w:rPr>
                <w:rFonts w:cs="Arial"/>
                <w:sz w:val="24"/>
              </w:rPr>
            </w:pPr>
            <w:r w:rsidRPr="00150CD2">
              <w:rPr>
                <w:rFonts w:cs="Arial"/>
                <w:sz w:val="24"/>
              </w:rPr>
              <w:br/>
              <w:t>Examining household transitions over the 3 year period from June 2015 to June 2018, for children aged 0-4 at June 2015:</w:t>
            </w:r>
          </w:p>
          <w:p w14:paraId="4C60160B" w14:textId="77777777" w:rsidR="00310848" w:rsidRPr="00150CD2" w:rsidRDefault="00310848" w:rsidP="0039393C">
            <w:pPr>
              <w:pStyle w:val="EYTablebullet1"/>
              <w:spacing w:before="0" w:after="120"/>
              <w:rPr>
                <w:rFonts w:cs="Arial"/>
                <w:sz w:val="24"/>
              </w:rPr>
            </w:pPr>
            <w:r w:rsidRPr="00150CD2">
              <w:rPr>
                <w:rFonts w:cs="Arial"/>
                <w:sz w:val="24"/>
              </w:rPr>
              <w:t>DSS children supported by a sole parent with no employment income were more likely to remain in the same circumstances. For sole parents without employment income caring for DSS children aged 0-4, 85% were still in the same circumstances after 3 years, compared with 70% of other sole parents of children aged 0-4.</w:t>
            </w:r>
          </w:p>
          <w:p w14:paraId="1D3A82EF" w14:textId="77777777" w:rsidR="00310848" w:rsidRPr="00150CD2" w:rsidRDefault="00310848" w:rsidP="0039393C">
            <w:pPr>
              <w:pStyle w:val="EYTablebullet1"/>
              <w:spacing w:before="0" w:after="120"/>
              <w:rPr>
                <w:rFonts w:cs="Arial"/>
                <w:sz w:val="24"/>
              </w:rPr>
            </w:pPr>
            <w:r w:rsidRPr="00150CD2">
              <w:rPr>
                <w:rFonts w:cs="Arial"/>
                <w:sz w:val="24"/>
              </w:rPr>
              <w:t>DSS children linked to two parents/caregivers with one parent having employment income were more likely to continue to be supported by one parent’s income at the end of the period (66% compared to 58% for non-DSS children). In other words, full time caring parents were less likely to return to employment over the period.</w:t>
            </w:r>
          </w:p>
          <w:p w14:paraId="68BDC39E" w14:textId="77777777" w:rsidR="00310848" w:rsidRPr="00150CD2" w:rsidRDefault="00310848" w:rsidP="0039393C">
            <w:pPr>
              <w:pStyle w:val="EYTablebullet1"/>
              <w:spacing w:before="0" w:after="120"/>
              <w:rPr>
                <w:rFonts w:cs="Arial"/>
                <w:sz w:val="24"/>
              </w:rPr>
            </w:pPr>
            <w:r w:rsidRPr="00150CD2">
              <w:rPr>
                <w:rFonts w:cs="Arial"/>
                <w:sz w:val="24"/>
              </w:rPr>
              <w:t>Similarly, DSS children linked to two parents/caregivers both with employment income at the start of the period were more likely to transition to two parent/caregiver, one income households over the 3 years – 25% of DSS children made this transition compared to 20% of non-DSS children.</w:t>
            </w:r>
          </w:p>
        </w:tc>
      </w:tr>
      <w:tr w:rsidR="00310848" w:rsidRPr="00150CD2" w14:paraId="48D7AE89" w14:textId="77777777" w:rsidTr="00534711">
        <w:tc>
          <w:tcPr>
            <w:tcW w:w="1584" w:type="dxa"/>
            <w:tcBorders>
              <w:top w:val="nil"/>
            </w:tcBorders>
          </w:tcPr>
          <w:p w14:paraId="3A482E92" w14:textId="77777777" w:rsidR="00310848" w:rsidRPr="00150CD2" w:rsidRDefault="00310848" w:rsidP="0039393C">
            <w:pPr>
              <w:pStyle w:val="EYTableText"/>
              <w:rPr>
                <w:rFonts w:cs="Arial"/>
                <w:sz w:val="24"/>
              </w:rPr>
            </w:pPr>
          </w:p>
        </w:tc>
        <w:tc>
          <w:tcPr>
            <w:tcW w:w="2016" w:type="dxa"/>
          </w:tcPr>
          <w:p w14:paraId="798961C2" w14:textId="54976A0F" w:rsidR="00310848" w:rsidRPr="00150CD2" w:rsidRDefault="00310848" w:rsidP="001E5F4B">
            <w:pPr>
              <w:pStyle w:val="EYTableText"/>
              <w:rPr>
                <w:rFonts w:cs="Arial"/>
                <w:sz w:val="24"/>
              </w:rPr>
            </w:pPr>
            <w:r w:rsidRPr="00150CD2">
              <w:rPr>
                <w:rFonts w:cs="Arial"/>
                <w:sz w:val="24"/>
              </w:rPr>
              <w:t>Benefit income support, social housing and address changes</w:t>
            </w:r>
          </w:p>
        </w:tc>
        <w:tc>
          <w:tcPr>
            <w:tcW w:w="10368" w:type="dxa"/>
          </w:tcPr>
          <w:p w14:paraId="26783CCD" w14:textId="6A0E4FCA" w:rsidR="00310848" w:rsidRPr="00150CD2" w:rsidRDefault="00310848" w:rsidP="0039393C">
            <w:pPr>
              <w:pStyle w:val="EYTablebullet1"/>
              <w:spacing w:before="0" w:after="120"/>
              <w:rPr>
                <w:rFonts w:cs="Arial"/>
                <w:sz w:val="24"/>
              </w:rPr>
            </w:pPr>
            <w:r w:rsidRPr="00150CD2">
              <w:rPr>
                <w:rFonts w:cs="Arial"/>
                <w:sz w:val="24"/>
              </w:rPr>
              <w:t xml:space="preserve">37% </w:t>
            </w:r>
            <w:r w:rsidR="004356ED" w:rsidRPr="00150CD2">
              <w:rPr>
                <w:rFonts w:cs="Arial"/>
                <w:sz w:val="24"/>
              </w:rPr>
              <w:t xml:space="preserve">of DSS children aged 0-4 </w:t>
            </w:r>
            <w:r w:rsidRPr="00150CD2">
              <w:rPr>
                <w:rFonts w:cs="Arial"/>
                <w:sz w:val="24"/>
              </w:rPr>
              <w:t>were supported on a main benefit at some point over the 3 year period, and 25% had a parent who received sole parent support for some/all of the period. These benefit rates were higher than for non-DSS children</w:t>
            </w:r>
            <w:r w:rsidR="004356ED" w:rsidRPr="00150CD2">
              <w:rPr>
                <w:rFonts w:cs="Arial"/>
                <w:sz w:val="24"/>
              </w:rPr>
              <w:t xml:space="preserve"> aged 0-4</w:t>
            </w:r>
            <w:r w:rsidRPr="00150CD2">
              <w:rPr>
                <w:rFonts w:cs="Arial"/>
                <w:sz w:val="24"/>
              </w:rPr>
              <w:t>, of whom 28% were supported by a main benefit at some point over the 3 year period including 23% with sole parent support for some of this period.</w:t>
            </w:r>
          </w:p>
          <w:p w14:paraId="6DC1388C" w14:textId="0F72B537" w:rsidR="00310848" w:rsidRPr="00150CD2" w:rsidRDefault="00310848" w:rsidP="0039393C">
            <w:pPr>
              <w:pStyle w:val="EYTablebullet1"/>
              <w:spacing w:before="0" w:after="120"/>
              <w:rPr>
                <w:rFonts w:cs="Arial"/>
                <w:sz w:val="24"/>
              </w:rPr>
            </w:pPr>
            <w:r w:rsidRPr="00150CD2">
              <w:rPr>
                <w:rFonts w:cs="Arial"/>
                <w:sz w:val="24"/>
              </w:rPr>
              <w:t xml:space="preserve">38% of DSS children aged 0-4 had parents/caregivers who drew on </w:t>
            </w:r>
            <w:r w:rsidR="00595EE3" w:rsidRPr="00150CD2">
              <w:rPr>
                <w:rFonts w:cs="Arial"/>
                <w:sz w:val="24"/>
              </w:rPr>
              <w:t xml:space="preserve">third-tier </w:t>
            </w:r>
            <w:r w:rsidRPr="00150CD2">
              <w:rPr>
                <w:rFonts w:cs="Arial"/>
                <w:sz w:val="24"/>
              </w:rPr>
              <w:t>MSD support payments</w:t>
            </w:r>
            <w:r w:rsidR="001E5F4B" w:rsidRPr="00150CD2">
              <w:rPr>
                <w:rStyle w:val="FootnoteReference"/>
                <w:rFonts w:ascii="Arial" w:hAnsi="Arial" w:cs="Arial"/>
                <w:sz w:val="24"/>
                <w:szCs w:val="24"/>
              </w:rPr>
              <w:footnoteReference w:id="45"/>
            </w:r>
            <w:r w:rsidRPr="00150CD2">
              <w:rPr>
                <w:rFonts w:cs="Arial"/>
                <w:sz w:val="24"/>
              </w:rPr>
              <w:t>, including special needs grants and benefit advances, at some point over the 3 years to June 2018.</w:t>
            </w:r>
          </w:p>
          <w:p w14:paraId="28A335EB" w14:textId="07648208" w:rsidR="00310848" w:rsidRPr="00150CD2" w:rsidRDefault="00310848" w:rsidP="0039393C">
            <w:pPr>
              <w:pStyle w:val="EYTablebullet1"/>
              <w:spacing w:before="0" w:after="120"/>
              <w:rPr>
                <w:rFonts w:cs="Arial"/>
                <w:sz w:val="24"/>
              </w:rPr>
            </w:pPr>
            <w:r w:rsidRPr="00150CD2">
              <w:rPr>
                <w:rFonts w:cs="Arial"/>
                <w:sz w:val="24"/>
              </w:rPr>
              <w:t xml:space="preserve">88% of </w:t>
            </w:r>
            <w:r w:rsidR="004356ED" w:rsidRPr="00150CD2">
              <w:rPr>
                <w:rFonts w:cs="Arial"/>
                <w:sz w:val="24"/>
              </w:rPr>
              <w:t xml:space="preserve">DSS </w:t>
            </w:r>
            <w:r w:rsidRPr="00150CD2">
              <w:rPr>
                <w:rFonts w:cs="Arial"/>
                <w:sz w:val="24"/>
              </w:rPr>
              <w:t xml:space="preserve">children were linked to </w:t>
            </w:r>
            <w:r w:rsidR="00152FB8" w:rsidRPr="00150CD2">
              <w:rPr>
                <w:rFonts w:cs="Arial"/>
                <w:sz w:val="24"/>
              </w:rPr>
              <w:t xml:space="preserve">MSD </w:t>
            </w:r>
            <w:r w:rsidRPr="00150CD2">
              <w:rPr>
                <w:rFonts w:cs="Arial"/>
                <w:sz w:val="24"/>
              </w:rPr>
              <w:t>Child Disability Allowance payments.</w:t>
            </w:r>
            <w:r w:rsidR="00152FB8" w:rsidRPr="00150CD2">
              <w:rPr>
                <w:rFonts w:cs="Arial"/>
                <w:sz w:val="24"/>
              </w:rPr>
              <w:t xml:space="preserve"> The Child Disability Allowance is a fortnightly payment made to the main carer of a child or young person with a serious disability. It is paid in recognition of the extra care and attention needed for that child.</w:t>
            </w:r>
            <w:r w:rsidR="00152FB8" w:rsidRPr="00150CD2">
              <w:rPr>
                <w:rStyle w:val="FootnoteReference"/>
                <w:rFonts w:ascii="Arial" w:hAnsi="Arial" w:cs="Arial"/>
                <w:sz w:val="24"/>
                <w:szCs w:val="24"/>
              </w:rPr>
              <w:footnoteReference w:id="46"/>
            </w:r>
          </w:p>
          <w:p w14:paraId="185830F2" w14:textId="7E3A3730" w:rsidR="00310848" w:rsidRPr="00150CD2" w:rsidRDefault="00310848" w:rsidP="0039393C">
            <w:pPr>
              <w:pStyle w:val="EYTablebullet1"/>
              <w:spacing w:before="0" w:after="120"/>
              <w:rPr>
                <w:rFonts w:cs="Arial"/>
                <w:sz w:val="24"/>
              </w:rPr>
            </w:pPr>
            <w:r w:rsidRPr="00150CD2">
              <w:rPr>
                <w:rFonts w:cs="Arial"/>
                <w:sz w:val="24"/>
              </w:rPr>
              <w:t xml:space="preserve">A small proportion (3%) of </w:t>
            </w:r>
            <w:r w:rsidR="004356ED" w:rsidRPr="00150CD2">
              <w:rPr>
                <w:rFonts w:cs="Arial"/>
                <w:sz w:val="24"/>
              </w:rPr>
              <w:t xml:space="preserve">DSS </w:t>
            </w:r>
            <w:r w:rsidRPr="00150CD2">
              <w:rPr>
                <w:rFonts w:cs="Arial"/>
                <w:sz w:val="24"/>
              </w:rPr>
              <w:t xml:space="preserve">children were linked to </w:t>
            </w:r>
            <w:r w:rsidR="00152FB8" w:rsidRPr="00150CD2">
              <w:rPr>
                <w:rFonts w:cs="Arial"/>
                <w:sz w:val="24"/>
              </w:rPr>
              <w:t xml:space="preserve">MSD </w:t>
            </w:r>
            <w:r w:rsidRPr="00150CD2">
              <w:rPr>
                <w:rFonts w:cs="Arial"/>
                <w:sz w:val="24"/>
              </w:rPr>
              <w:t xml:space="preserve">Unsupported Child Benefit payments </w:t>
            </w:r>
          </w:p>
          <w:p w14:paraId="0A5A6CB7" w14:textId="66B624A3" w:rsidR="00310848" w:rsidRPr="00150CD2" w:rsidRDefault="00310848" w:rsidP="0039393C">
            <w:pPr>
              <w:pStyle w:val="EYTablebullet1"/>
              <w:spacing w:before="0" w:after="120"/>
              <w:rPr>
                <w:rFonts w:cs="Arial"/>
                <w:sz w:val="24"/>
              </w:rPr>
            </w:pPr>
            <w:r w:rsidRPr="00150CD2">
              <w:rPr>
                <w:rFonts w:cs="Arial"/>
                <w:sz w:val="24"/>
              </w:rPr>
              <w:t xml:space="preserve">41% had parents/caregivers in receipt of Accommodation Supplement and an additional 17% received Temporary </w:t>
            </w:r>
            <w:r w:rsidR="00864253" w:rsidRPr="00150CD2">
              <w:rPr>
                <w:rFonts w:cs="Arial"/>
                <w:sz w:val="24"/>
              </w:rPr>
              <w:t>Additional Support.</w:t>
            </w:r>
          </w:p>
          <w:p w14:paraId="4A094FD1" w14:textId="74A874AD" w:rsidR="00310848" w:rsidRPr="00150CD2" w:rsidRDefault="00310848" w:rsidP="0039393C">
            <w:pPr>
              <w:pStyle w:val="EYTablebullet1"/>
              <w:spacing w:before="0" w:after="120"/>
              <w:rPr>
                <w:rFonts w:cs="Arial"/>
                <w:sz w:val="24"/>
              </w:rPr>
            </w:pPr>
            <w:r w:rsidRPr="00150CD2">
              <w:rPr>
                <w:rFonts w:cs="Arial"/>
                <w:sz w:val="24"/>
              </w:rPr>
              <w:t xml:space="preserve">A small proportion (2%) of </w:t>
            </w:r>
            <w:r w:rsidR="004356ED" w:rsidRPr="00150CD2">
              <w:rPr>
                <w:rFonts w:cs="Arial"/>
                <w:sz w:val="24"/>
              </w:rPr>
              <w:t xml:space="preserve">DSS </w:t>
            </w:r>
            <w:r w:rsidRPr="00150CD2">
              <w:rPr>
                <w:rFonts w:cs="Arial"/>
                <w:sz w:val="24"/>
              </w:rPr>
              <w:t>children were in families that engaged with Family Start over the 3 year period. This was a larger proportion than for other children under 5 (</w:t>
            </w:r>
            <w:r w:rsidR="00DE70E0" w:rsidRPr="00150CD2">
              <w:rPr>
                <w:rFonts w:cs="Arial"/>
                <w:sz w:val="24"/>
              </w:rPr>
              <w:t xml:space="preserve">less than </w:t>
            </w:r>
            <w:r w:rsidRPr="00150CD2">
              <w:rPr>
                <w:rFonts w:cs="Arial"/>
                <w:sz w:val="24"/>
              </w:rPr>
              <w:t>1%).</w:t>
            </w:r>
          </w:p>
          <w:p w14:paraId="6247ECA0" w14:textId="63BC99E7" w:rsidR="00310848" w:rsidRPr="00150CD2" w:rsidRDefault="00310848" w:rsidP="0039393C">
            <w:pPr>
              <w:pStyle w:val="EYTablebullet1"/>
              <w:spacing w:before="0" w:after="120"/>
              <w:rPr>
                <w:rFonts w:cs="Arial"/>
                <w:sz w:val="24"/>
              </w:rPr>
            </w:pPr>
            <w:r w:rsidRPr="00150CD2">
              <w:rPr>
                <w:rFonts w:cs="Arial"/>
                <w:sz w:val="24"/>
              </w:rPr>
              <w:t xml:space="preserve">12% of </w:t>
            </w:r>
            <w:r w:rsidR="004356ED" w:rsidRPr="00150CD2">
              <w:rPr>
                <w:rFonts w:cs="Arial"/>
                <w:sz w:val="24"/>
              </w:rPr>
              <w:t xml:space="preserve">DSS </w:t>
            </w:r>
            <w:r w:rsidRPr="00150CD2">
              <w:rPr>
                <w:rFonts w:cs="Arial"/>
                <w:sz w:val="24"/>
              </w:rPr>
              <w:t>children lived in social housing for some/all of the period and 8% were ‘priority A’ or ‘B’ on the social housing register, more so for those living in metropolitan areas. This was a larger proportion than the non-DSS child population (8% in social housing and 5% on the priority social housing register).</w:t>
            </w:r>
          </w:p>
          <w:p w14:paraId="7C4D9EF2" w14:textId="73F09678" w:rsidR="00310848" w:rsidRPr="00150CD2" w:rsidRDefault="00310848" w:rsidP="0039393C">
            <w:pPr>
              <w:pStyle w:val="EYTablebullet1"/>
              <w:spacing w:before="0" w:after="120"/>
              <w:rPr>
                <w:rFonts w:cs="Arial"/>
                <w:sz w:val="24"/>
              </w:rPr>
            </w:pPr>
            <w:r w:rsidRPr="00150CD2">
              <w:rPr>
                <w:rFonts w:cs="Arial"/>
                <w:sz w:val="24"/>
              </w:rPr>
              <w:t xml:space="preserve">55% </w:t>
            </w:r>
            <w:r w:rsidR="004356ED" w:rsidRPr="00150CD2">
              <w:rPr>
                <w:rFonts w:cs="Arial"/>
                <w:sz w:val="24"/>
              </w:rPr>
              <w:t xml:space="preserve">of DSS children </w:t>
            </w:r>
            <w:r w:rsidRPr="00150CD2">
              <w:rPr>
                <w:rFonts w:cs="Arial"/>
                <w:sz w:val="24"/>
              </w:rPr>
              <w:t>changed address over the 3 year period, similar to other children across New Zealand.</w:t>
            </w:r>
          </w:p>
        </w:tc>
      </w:tr>
    </w:tbl>
    <w:p w14:paraId="154FAB18" w14:textId="2F67C5C6" w:rsidR="00302B8D" w:rsidRPr="00150CD2" w:rsidRDefault="00302B8D" w:rsidP="00310848">
      <w:pPr>
        <w:pStyle w:val="EYBodytextwithparaspace"/>
        <w:rPr>
          <w:rFonts w:cs="Arial"/>
        </w:rPr>
      </w:pPr>
    </w:p>
    <w:p w14:paraId="3B1B0DEE" w14:textId="77777777" w:rsidR="00302B8D" w:rsidRPr="00150CD2" w:rsidRDefault="00302B8D">
      <w:pPr>
        <w:autoSpaceDE/>
        <w:autoSpaceDN/>
        <w:adjustRightInd/>
        <w:rPr>
          <w:rFonts w:cs="Arial"/>
          <w:sz w:val="24"/>
        </w:rPr>
      </w:pPr>
      <w:r w:rsidRPr="00150CD2">
        <w:rPr>
          <w:rFonts w:cs="Arial"/>
        </w:rPr>
        <w:br w:type="page"/>
      </w:r>
    </w:p>
    <w:p w14:paraId="2C636BB8" w14:textId="22CEF82C" w:rsidR="00310848" w:rsidRPr="0035354B" w:rsidRDefault="00310848" w:rsidP="0035354B">
      <w:pPr>
        <w:pStyle w:val="EYAppendixHeading2"/>
        <w:numPr>
          <w:ilvl w:val="0"/>
          <w:numId w:val="62"/>
        </w:numPr>
        <w:rPr>
          <w:rFonts w:cs="Arial"/>
        </w:rPr>
      </w:pPr>
      <w:r w:rsidRPr="0035354B">
        <w:rPr>
          <w:rFonts w:cs="Arial"/>
        </w:rPr>
        <w:t>Children aged 5-14 years</w:t>
      </w:r>
    </w:p>
    <w:p w14:paraId="7D284DED" w14:textId="77777777" w:rsidR="00310848" w:rsidRPr="00150CD2" w:rsidRDefault="00310848" w:rsidP="00310848">
      <w:pPr>
        <w:pStyle w:val="EYSubheading"/>
        <w:rPr>
          <w:rFonts w:cs="Arial"/>
        </w:rPr>
      </w:pPr>
      <w:r w:rsidRPr="00150CD2">
        <w:rPr>
          <w:rFonts w:cs="Arial"/>
        </w:rPr>
        <w:t>Key transitions: The disabled child is progressing through primary and intermediate school and developing through mid-childhood and teenage years.</w:t>
      </w:r>
    </w:p>
    <w:p w14:paraId="0E42865F" w14:textId="485FF88E" w:rsidR="00310848" w:rsidRPr="00150CD2" w:rsidRDefault="00310848" w:rsidP="00310848">
      <w:pPr>
        <w:pStyle w:val="EYBodytextwithparaspace"/>
        <w:rPr>
          <w:rFonts w:cs="Arial"/>
          <w:lang w:eastAsia="en-AU"/>
        </w:rPr>
      </w:pPr>
      <w:r w:rsidRPr="00150CD2">
        <w:rPr>
          <w:rFonts w:cs="Arial"/>
          <w:lang w:eastAsia="en-AU"/>
        </w:rPr>
        <w:t xml:space="preserve">At 30 June 2018 there were </w:t>
      </w:r>
      <w:r w:rsidR="00972B50" w:rsidRPr="00150CD2">
        <w:rPr>
          <w:rFonts w:cs="Arial"/>
          <w:lang w:eastAsia="en-AU"/>
        </w:rPr>
        <w:t>around 9,900</w:t>
      </w:r>
      <w:r w:rsidRPr="00150CD2">
        <w:rPr>
          <w:rFonts w:cs="Arial"/>
          <w:lang w:eastAsia="en-AU"/>
        </w:rPr>
        <w:t xml:space="preserve"> children aged 5-14 allocated DSS funding over the year to 30 June 2018 across New Zealand. Key demographic and socioeconomic characteristics are summarised below.</w:t>
      </w:r>
    </w:p>
    <w:p w14:paraId="292994FF" w14:textId="6AB21A2B" w:rsidR="00310848" w:rsidRPr="00150CD2" w:rsidRDefault="00310848" w:rsidP="00310848">
      <w:pPr>
        <w:pStyle w:val="EYBulletnoparaspace"/>
        <w:rPr>
          <w:rFonts w:cs="Arial"/>
          <w:lang w:eastAsia="en-AU"/>
        </w:rPr>
      </w:pPr>
      <w:r w:rsidRPr="00150CD2">
        <w:rPr>
          <w:rFonts w:cs="Arial"/>
          <w:lang w:eastAsia="en-AU"/>
        </w:rPr>
        <w:t>The majority have Intellectual (</w:t>
      </w:r>
      <w:r w:rsidR="00972B50" w:rsidRPr="00150CD2">
        <w:rPr>
          <w:rFonts w:cs="Arial"/>
          <w:lang w:eastAsia="en-AU"/>
        </w:rPr>
        <w:t>42</w:t>
      </w:r>
      <w:r w:rsidRPr="00150CD2">
        <w:rPr>
          <w:rFonts w:cs="Arial"/>
          <w:lang w:eastAsia="en-AU"/>
        </w:rPr>
        <w:t xml:space="preserve">%) or Autism Spectrum Disorder (50%) as their </w:t>
      </w:r>
      <w:r w:rsidR="009E4F58" w:rsidRPr="00150CD2">
        <w:rPr>
          <w:rFonts w:cs="Arial"/>
          <w:lang w:eastAsia="en-AU"/>
        </w:rPr>
        <w:t>prioritised</w:t>
      </w:r>
      <w:r w:rsidRPr="00150CD2">
        <w:rPr>
          <w:rFonts w:cs="Arial"/>
          <w:lang w:eastAsia="en-AU"/>
        </w:rPr>
        <w:t xml:space="preserve"> disability, followed by 6% with a physical disability. Respite (97%</w:t>
      </w:r>
      <w:r w:rsidR="00AE4EC3" w:rsidRPr="00150CD2">
        <w:rPr>
          <w:rFonts w:cs="Arial"/>
          <w:lang w:eastAsia="en-AU"/>
        </w:rPr>
        <w:t>)</w:t>
      </w:r>
      <w:r w:rsidRPr="00150CD2">
        <w:rPr>
          <w:rFonts w:cs="Arial"/>
          <w:lang w:eastAsia="en-AU"/>
        </w:rPr>
        <w:t>, behavioural (2</w:t>
      </w:r>
      <w:r w:rsidR="00AE4EC3" w:rsidRPr="00150CD2">
        <w:rPr>
          <w:rFonts w:cs="Arial"/>
          <w:lang w:eastAsia="en-AU"/>
        </w:rPr>
        <w:t>0</w:t>
      </w:r>
      <w:r w:rsidRPr="00150CD2">
        <w:rPr>
          <w:rFonts w:cs="Arial"/>
          <w:lang w:eastAsia="en-AU"/>
        </w:rPr>
        <w:t>%) and home and community (2</w:t>
      </w:r>
      <w:r w:rsidR="00AE4EC3" w:rsidRPr="00150CD2">
        <w:rPr>
          <w:rFonts w:cs="Arial"/>
          <w:lang w:eastAsia="en-AU"/>
        </w:rPr>
        <w:t>3</w:t>
      </w:r>
      <w:r w:rsidRPr="00150CD2">
        <w:rPr>
          <w:rFonts w:cs="Arial"/>
          <w:lang w:eastAsia="en-AU"/>
        </w:rPr>
        <w:t>%) support services were the most common types allocated by the NASC.</w:t>
      </w:r>
    </w:p>
    <w:p w14:paraId="3B45D41A" w14:textId="77777777" w:rsidR="00310848" w:rsidRPr="00150CD2" w:rsidRDefault="00310848" w:rsidP="00310848">
      <w:pPr>
        <w:pStyle w:val="EYBulletnoparaspace"/>
        <w:rPr>
          <w:rFonts w:cs="Arial"/>
          <w:lang w:eastAsia="en-AU"/>
        </w:rPr>
      </w:pPr>
      <w:r w:rsidRPr="00150CD2">
        <w:rPr>
          <w:rFonts w:cs="Arial"/>
        </w:rPr>
        <w:t xml:space="preserve">Just under 60% live with two parents/caregivers; 42% live with sole parents. </w:t>
      </w:r>
    </w:p>
    <w:p w14:paraId="00E6BEA5" w14:textId="4117184B" w:rsidR="00310848" w:rsidRPr="00150CD2" w:rsidRDefault="00310848" w:rsidP="00310848">
      <w:pPr>
        <w:pStyle w:val="EYBulletnoparaspace"/>
        <w:rPr>
          <w:rFonts w:cs="Arial"/>
          <w:lang w:eastAsia="en-AU"/>
        </w:rPr>
      </w:pPr>
      <w:r w:rsidRPr="00150CD2">
        <w:rPr>
          <w:rFonts w:cs="Arial"/>
          <w:lang w:eastAsia="en-AU"/>
        </w:rPr>
        <w:t xml:space="preserve">18% live in the 20% least deprived areas of NZ while </w:t>
      </w:r>
      <w:r w:rsidR="00AC1E34" w:rsidRPr="00150CD2">
        <w:rPr>
          <w:rFonts w:cs="Arial"/>
          <w:lang w:eastAsia="en-AU"/>
        </w:rPr>
        <w:t>26</w:t>
      </w:r>
      <w:r w:rsidRPr="00150CD2">
        <w:rPr>
          <w:rFonts w:cs="Arial"/>
          <w:lang w:eastAsia="en-AU"/>
        </w:rPr>
        <w:t>% live in the 20% most deprived areas.</w:t>
      </w:r>
      <w:r w:rsidR="00AC1E34" w:rsidRPr="00150CD2">
        <w:rPr>
          <w:rFonts w:cs="Arial"/>
          <w:lang w:eastAsia="en-AU"/>
        </w:rPr>
        <w:br/>
        <w:t>DSS children aged 5-14 are slightly more likely to live in areas with deprivation, compared to non-DSS children aged 5-14 (where 23% live in the 20% most deprived areas).</w:t>
      </w:r>
    </w:p>
    <w:p w14:paraId="2F2C6136" w14:textId="77777777" w:rsidR="00310848" w:rsidRPr="00150CD2" w:rsidRDefault="00310848" w:rsidP="00310848">
      <w:pPr>
        <w:pStyle w:val="EYBodytextwithparaspace"/>
        <w:rPr>
          <w:rFonts w:cs="Arial"/>
          <w:lang w:eastAsia="en-AU"/>
        </w:rPr>
      </w:pPr>
      <w:r w:rsidRPr="00150CD2">
        <w:rPr>
          <w:rFonts w:cs="Arial"/>
          <w:lang w:eastAsia="en-AU"/>
        </w:rPr>
        <w:br/>
        <w:t>This section summarises some of the lifecourse outcomes and service contact indicators observed over the 3 years to 30 June 2018</w:t>
      </w:r>
      <w:r w:rsidRPr="00150CD2">
        <w:rPr>
          <w:rStyle w:val="FootnoteReference"/>
          <w:rFonts w:ascii="Arial" w:hAnsi="Arial" w:cs="Arial"/>
          <w:lang w:eastAsia="en-AU"/>
        </w:rPr>
        <w:footnoteReference w:id="47"/>
      </w:r>
      <w:r w:rsidRPr="00150CD2">
        <w:rPr>
          <w:rFonts w:cs="Arial"/>
          <w:lang w:eastAsia="en-AU"/>
        </w:rPr>
        <w:t>, for children who were aged 5-14 at the start of the period and who were allocated DSS funding over the year to 30 June 2018. For some children this will include periods prior to them being allocated DSS.</w:t>
      </w:r>
    </w:p>
    <w:tbl>
      <w:tblPr>
        <w:tblStyle w:val="TableGrid"/>
        <w:tblW w:w="14112" w:type="dxa"/>
        <w:tblLayout w:type="fixed"/>
        <w:tblCellMar>
          <w:top w:w="28" w:type="dxa"/>
          <w:bottom w:w="28" w:type="dxa"/>
        </w:tblCellMar>
        <w:tblLook w:val="04A0" w:firstRow="1" w:lastRow="0" w:firstColumn="1" w:lastColumn="0" w:noHBand="0" w:noVBand="1"/>
      </w:tblPr>
      <w:tblGrid>
        <w:gridCol w:w="1584"/>
        <w:gridCol w:w="2016"/>
        <w:gridCol w:w="10512"/>
      </w:tblGrid>
      <w:tr w:rsidR="00310848" w:rsidRPr="00150CD2" w14:paraId="057935AC" w14:textId="77777777" w:rsidTr="00534711">
        <w:trPr>
          <w:tblHeader/>
        </w:trPr>
        <w:tc>
          <w:tcPr>
            <w:tcW w:w="1584" w:type="dxa"/>
            <w:tcBorders>
              <w:bottom w:val="single" w:sz="4" w:space="0" w:color="auto"/>
            </w:tcBorders>
            <w:shd w:val="clear" w:color="auto" w:fill="F2F2F2" w:themeFill="background1" w:themeFillShade="F2"/>
          </w:tcPr>
          <w:p w14:paraId="549A20F8" w14:textId="77777777" w:rsidR="00310848" w:rsidRPr="00150CD2" w:rsidRDefault="00310848" w:rsidP="0039393C">
            <w:pPr>
              <w:pStyle w:val="EYTableHeading"/>
              <w:rPr>
                <w:rFonts w:cs="Arial"/>
                <w:sz w:val="24"/>
              </w:rPr>
            </w:pPr>
            <w:r w:rsidRPr="00150CD2">
              <w:rPr>
                <w:rFonts w:cs="Arial"/>
                <w:sz w:val="24"/>
              </w:rPr>
              <w:t>Perspective</w:t>
            </w:r>
          </w:p>
        </w:tc>
        <w:tc>
          <w:tcPr>
            <w:tcW w:w="2016" w:type="dxa"/>
            <w:shd w:val="clear" w:color="auto" w:fill="F2F2F2" w:themeFill="background1" w:themeFillShade="F2"/>
          </w:tcPr>
          <w:p w14:paraId="37EFB2F5" w14:textId="77777777" w:rsidR="00310848" w:rsidRPr="00150CD2" w:rsidRDefault="00310848" w:rsidP="0039393C">
            <w:pPr>
              <w:pStyle w:val="EYTableHeading"/>
              <w:rPr>
                <w:rFonts w:cs="Arial"/>
                <w:sz w:val="24"/>
              </w:rPr>
            </w:pPr>
            <w:r w:rsidRPr="00150CD2">
              <w:rPr>
                <w:rFonts w:cs="Arial"/>
                <w:sz w:val="24"/>
              </w:rPr>
              <w:t>Indicators</w:t>
            </w:r>
          </w:p>
        </w:tc>
        <w:tc>
          <w:tcPr>
            <w:tcW w:w="10512" w:type="dxa"/>
            <w:shd w:val="clear" w:color="auto" w:fill="F2F2F2" w:themeFill="background1" w:themeFillShade="F2"/>
          </w:tcPr>
          <w:p w14:paraId="01B12F88" w14:textId="77777777" w:rsidR="00310848" w:rsidRPr="00150CD2" w:rsidRDefault="00310848" w:rsidP="0039393C">
            <w:pPr>
              <w:pStyle w:val="EYTableHeading"/>
              <w:rPr>
                <w:rFonts w:cs="Arial"/>
                <w:sz w:val="24"/>
              </w:rPr>
            </w:pPr>
            <w:r w:rsidRPr="00150CD2">
              <w:rPr>
                <w:rFonts w:cs="Arial"/>
                <w:sz w:val="24"/>
              </w:rPr>
              <w:t>Insights for children aged 5-14 allocated DSS over the year to 30 June 2018 across New Zealand, compared to other similarly aged children – outcome and service contact indicators over the 3 year period to 30 June 2018</w:t>
            </w:r>
          </w:p>
        </w:tc>
      </w:tr>
      <w:tr w:rsidR="00310848" w:rsidRPr="00150CD2" w14:paraId="5225A944" w14:textId="77777777" w:rsidTr="00534711">
        <w:tc>
          <w:tcPr>
            <w:tcW w:w="1584" w:type="dxa"/>
            <w:tcBorders>
              <w:bottom w:val="nil"/>
            </w:tcBorders>
          </w:tcPr>
          <w:p w14:paraId="160CC2FC" w14:textId="77777777" w:rsidR="00310848" w:rsidRPr="00150CD2" w:rsidRDefault="00310848" w:rsidP="0039393C">
            <w:pPr>
              <w:pStyle w:val="EYTableText"/>
              <w:rPr>
                <w:rFonts w:cs="Arial"/>
                <w:sz w:val="24"/>
              </w:rPr>
            </w:pPr>
            <w:r w:rsidRPr="00150CD2">
              <w:rPr>
                <w:rFonts w:cs="Arial"/>
                <w:sz w:val="24"/>
              </w:rPr>
              <w:t>Child</w:t>
            </w:r>
          </w:p>
        </w:tc>
        <w:tc>
          <w:tcPr>
            <w:tcW w:w="2016" w:type="dxa"/>
          </w:tcPr>
          <w:p w14:paraId="02A0EA33" w14:textId="77777777" w:rsidR="00310848" w:rsidRPr="00150CD2" w:rsidRDefault="00310848" w:rsidP="0039393C">
            <w:pPr>
              <w:pStyle w:val="EYTableText"/>
              <w:rPr>
                <w:rFonts w:cs="Arial"/>
                <w:sz w:val="24"/>
              </w:rPr>
            </w:pPr>
            <w:r w:rsidRPr="00150CD2">
              <w:rPr>
                <w:rFonts w:cs="Arial"/>
                <w:sz w:val="24"/>
              </w:rPr>
              <w:t>School support and disciplinary responses</w:t>
            </w:r>
          </w:p>
        </w:tc>
        <w:tc>
          <w:tcPr>
            <w:tcW w:w="10512" w:type="dxa"/>
          </w:tcPr>
          <w:p w14:paraId="1A848E5C" w14:textId="7DF6014E" w:rsidR="00786DAF" w:rsidRPr="00150CD2" w:rsidRDefault="00310848" w:rsidP="0039393C">
            <w:pPr>
              <w:pStyle w:val="EYTablebullet1"/>
              <w:spacing w:before="0" w:after="120"/>
              <w:rPr>
                <w:rFonts w:cs="Arial"/>
                <w:sz w:val="24"/>
              </w:rPr>
            </w:pPr>
            <w:r w:rsidRPr="00150CD2">
              <w:rPr>
                <w:rFonts w:cs="Arial"/>
                <w:sz w:val="24"/>
              </w:rPr>
              <w:t xml:space="preserve">Around half </w:t>
            </w:r>
            <w:r w:rsidR="00A450C1" w:rsidRPr="00150CD2">
              <w:rPr>
                <w:rFonts w:cs="Arial"/>
                <w:sz w:val="24"/>
              </w:rPr>
              <w:t>(</w:t>
            </w:r>
            <w:r w:rsidR="000C02BA" w:rsidRPr="00150CD2">
              <w:rPr>
                <w:rFonts w:cs="Arial"/>
                <w:sz w:val="24"/>
              </w:rPr>
              <w:t>49</w:t>
            </w:r>
            <w:r w:rsidR="00A450C1" w:rsidRPr="00150CD2">
              <w:rPr>
                <w:rFonts w:cs="Arial"/>
                <w:sz w:val="24"/>
              </w:rPr>
              <w:t>%)</w:t>
            </w:r>
            <w:r w:rsidR="00C82E49" w:rsidRPr="00150CD2">
              <w:rPr>
                <w:rFonts w:cs="Arial"/>
                <w:sz w:val="24"/>
              </w:rPr>
              <w:t xml:space="preserve"> </w:t>
            </w:r>
            <w:r w:rsidRPr="00150CD2">
              <w:rPr>
                <w:rFonts w:cs="Arial"/>
                <w:sz w:val="24"/>
              </w:rPr>
              <w:t xml:space="preserve">of </w:t>
            </w:r>
            <w:r w:rsidR="00A450C1" w:rsidRPr="00150CD2">
              <w:rPr>
                <w:rFonts w:cs="Arial"/>
                <w:sz w:val="24"/>
              </w:rPr>
              <w:t xml:space="preserve">DSS </w:t>
            </w:r>
            <w:r w:rsidRPr="00150CD2">
              <w:rPr>
                <w:rFonts w:cs="Arial"/>
                <w:sz w:val="24"/>
              </w:rPr>
              <w:t>children received support from the Ministry of Education’s Ongoing Resourcing Scheme</w:t>
            </w:r>
            <w:r w:rsidR="00786DAF" w:rsidRPr="00150CD2">
              <w:rPr>
                <w:rFonts w:cs="Arial"/>
                <w:sz w:val="24"/>
              </w:rPr>
              <w:t xml:space="preserve"> (ORS)</w:t>
            </w:r>
            <w:r w:rsidRPr="00150CD2">
              <w:rPr>
                <w:rFonts w:cs="Arial"/>
                <w:sz w:val="24"/>
              </w:rPr>
              <w:t>.</w:t>
            </w:r>
            <w:r w:rsidR="00786DAF" w:rsidRPr="00150CD2">
              <w:rPr>
                <w:rFonts w:cs="Arial"/>
                <w:sz w:val="24"/>
              </w:rPr>
              <w:t xml:space="preserve"> ORS is for students who have the highest ongoing levels of need for specialist support at school. Outside the DSS child population, around 1% of the non-DSS student population receives ORS</w:t>
            </w:r>
            <w:r w:rsidR="00786DAF" w:rsidRPr="00150CD2">
              <w:rPr>
                <w:rStyle w:val="FootnoteReference"/>
                <w:rFonts w:ascii="Arial" w:hAnsi="Arial" w:cs="Arial"/>
                <w:sz w:val="24"/>
                <w:szCs w:val="24"/>
              </w:rPr>
              <w:footnoteReference w:id="48"/>
            </w:r>
            <w:r w:rsidR="00786DAF" w:rsidRPr="00150CD2">
              <w:rPr>
                <w:rFonts w:cs="Arial"/>
                <w:sz w:val="24"/>
              </w:rPr>
              <w:t>.</w:t>
            </w:r>
          </w:p>
          <w:p w14:paraId="724554A5" w14:textId="7E2EF186" w:rsidR="00310848" w:rsidRPr="00150CD2" w:rsidRDefault="00310848" w:rsidP="00786DAF">
            <w:pPr>
              <w:pStyle w:val="EYTablebullet1"/>
              <w:numPr>
                <w:ilvl w:val="0"/>
                <w:numId w:val="0"/>
              </w:numPr>
              <w:spacing w:before="0" w:after="120"/>
              <w:ind w:left="284"/>
              <w:rPr>
                <w:rFonts w:cs="Arial"/>
                <w:sz w:val="24"/>
              </w:rPr>
            </w:pPr>
            <w:r w:rsidRPr="00150CD2">
              <w:rPr>
                <w:rFonts w:cs="Arial"/>
                <w:sz w:val="24"/>
              </w:rPr>
              <w:t xml:space="preserve">It is important to note that actual learning support is higher than this once </w:t>
            </w:r>
            <w:r w:rsidR="00A64109" w:rsidRPr="00150CD2">
              <w:rPr>
                <w:rFonts w:cs="Arial"/>
                <w:sz w:val="24"/>
              </w:rPr>
              <w:t>Ministry of Education</w:t>
            </w:r>
            <w:r w:rsidRPr="00150CD2">
              <w:rPr>
                <w:rFonts w:cs="Arial"/>
                <w:sz w:val="24"/>
              </w:rPr>
              <w:t xml:space="preserve"> funded services linked to schools (but not individual children) are included, e.g. funding for teacher’s aides. Schools may also provide support not funded by </w:t>
            </w:r>
            <w:r w:rsidR="00A64109" w:rsidRPr="00150CD2">
              <w:rPr>
                <w:rFonts w:cs="Arial"/>
                <w:sz w:val="24"/>
              </w:rPr>
              <w:t>the Ministry of Education</w:t>
            </w:r>
            <w:r w:rsidRPr="00150CD2">
              <w:rPr>
                <w:rFonts w:cs="Arial"/>
                <w:sz w:val="24"/>
              </w:rPr>
              <w:t>. For DSS children with responses in the 2013 Disability Survey, around 80% had “extra help with school work because of a condition or health problem”.</w:t>
            </w:r>
          </w:p>
          <w:p w14:paraId="68CD2348" w14:textId="352A1F2D" w:rsidR="00310848" w:rsidRPr="00150CD2" w:rsidRDefault="00310848" w:rsidP="0039393C">
            <w:pPr>
              <w:pStyle w:val="EYTablebullet1"/>
              <w:spacing w:before="0" w:after="120"/>
              <w:rPr>
                <w:rFonts w:cs="Arial"/>
                <w:sz w:val="24"/>
              </w:rPr>
            </w:pPr>
            <w:r w:rsidRPr="00150CD2">
              <w:rPr>
                <w:rFonts w:cs="Arial"/>
                <w:sz w:val="24"/>
              </w:rPr>
              <w:t xml:space="preserve">Around 9% changed school over the period, marginally higher than for other </w:t>
            </w:r>
            <w:r w:rsidR="000C02BA" w:rsidRPr="00150CD2">
              <w:rPr>
                <w:rFonts w:cs="Arial"/>
                <w:sz w:val="24"/>
              </w:rPr>
              <w:t xml:space="preserve">non-DSS </w:t>
            </w:r>
            <w:r w:rsidRPr="00150CD2">
              <w:rPr>
                <w:rFonts w:cs="Arial"/>
                <w:sz w:val="24"/>
              </w:rPr>
              <w:t>children (7%).</w:t>
            </w:r>
          </w:p>
          <w:p w14:paraId="20CF7885" w14:textId="57832164" w:rsidR="00310848" w:rsidRPr="00150CD2" w:rsidRDefault="00310848" w:rsidP="0039393C">
            <w:pPr>
              <w:pStyle w:val="EYTablebullet1"/>
              <w:spacing w:before="0" w:after="120"/>
              <w:rPr>
                <w:rFonts w:cs="Arial"/>
                <w:sz w:val="24"/>
              </w:rPr>
            </w:pPr>
            <w:r w:rsidRPr="00150CD2">
              <w:rPr>
                <w:rFonts w:cs="Arial"/>
                <w:sz w:val="24"/>
              </w:rPr>
              <w:t>A small but significant proportion of DSS children showed indicators of school disciplinary responses, including truancy</w:t>
            </w:r>
            <w:r w:rsidR="00581A7E" w:rsidRPr="00150CD2">
              <w:rPr>
                <w:rStyle w:val="FootnoteReference"/>
                <w:rFonts w:ascii="Arial" w:hAnsi="Arial" w:cs="Arial"/>
                <w:sz w:val="24"/>
                <w:szCs w:val="24"/>
              </w:rPr>
              <w:footnoteReference w:id="49"/>
            </w:r>
            <w:r w:rsidRPr="00150CD2">
              <w:rPr>
                <w:rFonts w:cs="Arial"/>
                <w:sz w:val="24"/>
              </w:rPr>
              <w:t>, standdowns and suspensions. Reflecting differences in the broader student population, male students were several times more likely to be involved in standdowns or truancy than female students.</w:t>
            </w:r>
          </w:p>
          <w:p w14:paraId="524F475A" w14:textId="7A815884" w:rsidR="00310848" w:rsidRPr="00150CD2" w:rsidRDefault="00310848" w:rsidP="0039393C">
            <w:pPr>
              <w:pStyle w:val="EYTablebullet2"/>
              <w:spacing w:before="0" w:after="120"/>
              <w:rPr>
                <w:rFonts w:cs="Arial"/>
                <w:sz w:val="24"/>
              </w:rPr>
            </w:pPr>
            <w:r w:rsidRPr="00150CD2">
              <w:rPr>
                <w:rFonts w:cs="Arial"/>
                <w:sz w:val="24"/>
              </w:rPr>
              <w:t>Around 10% of 5-14 year old DSS children had standdown spell(s) over the period. This was 3</w:t>
            </w:r>
            <w:r w:rsidR="00CA4326" w:rsidRPr="00150CD2">
              <w:rPr>
                <w:rFonts w:cs="Arial"/>
                <w:sz w:val="24"/>
              </w:rPr>
              <w:t xml:space="preserve"> times </w:t>
            </w:r>
            <w:r w:rsidRPr="00150CD2">
              <w:rPr>
                <w:rFonts w:cs="Arial"/>
                <w:sz w:val="24"/>
              </w:rPr>
              <w:t>higher than for other NZ children aged 5-9 and 1.3</w:t>
            </w:r>
            <w:r w:rsidR="00CA4326" w:rsidRPr="00150CD2">
              <w:rPr>
                <w:rFonts w:cs="Arial"/>
                <w:sz w:val="24"/>
              </w:rPr>
              <w:t xml:space="preserve"> times </w:t>
            </w:r>
            <w:r w:rsidRPr="00150CD2">
              <w:rPr>
                <w:rFonts w:cs="Arial"/>
                <w:sz w:val="24"/>
              </w:rPr>
              <w:t>higher than for other NZ children aged 10-14 after adjusting for gender (70% of DSS children aged 5-14 are male).</w:t>
            </w:r>
          </w:p>
          <w:p w14:paraId="46713B03" w14:textId="77777777" w:rsidR="00310848" w:rsidRPr="00150CD2" w:rsidRDefault="00310848" w:rsidP="0039393C">
            <w:pPr>
              <w:pStyle w:val="EYTablebullet2"/>
              <w:spacing w:before="0" w:after="120"/>
              <w:rPr>
                <w:rFonts w:cs="Arial"/>
                <w:sz w:val="24"/>
              </w:rPr>
            </w:pPr>
            <w:r w:rsidRPr="00150CD2">
              <w:rPr>
                <w:rFonts w:cs="Arial"/>
                <w:sz w:val="24"/>
              </w:rPr>
              <w:t>10% of 10-14 year old DSS children had truancy spells, marginally higher than for other children of that age (8%). Rates were similar across ethnicity, disability type and SPA levels.</w:t>
            </w:r>
          </w:p>
          <w:p w14:paraId="00F1AA7A" w14:textId="2DA6305F" w:rsidR="00310848" w:rsidRPr="00150CD2" w:rsidRDefault="00310848" w:rsidP="0039393C">
            <w:pPr>
              <w:pStyle w:val="EYTablebullet1"/>
              <w:numPr>
                <w:ilvl w:val="0"/>
                <w:numId w:val="0"/>
              </w:numPr>
              <w:spacing w:before="0" w:after="120"/>
              <w:ind w:left="284"/>
              <w:rPr>
                <w:rFonts w:cs="Arial"/>
                <w:sz w:val="24"/>
              </w:rPr>
            </w:pPr>
            <w:r w:rsidRPr="00150CD2">
              <w:rPr>
                <w:rFonts w:cs="Arial"/>
                <w:sz w:val="24"/>
              </w:rPr>
              <w:t xml:space="preserve">Within the group of DSS children, standdown and truancy rates were higher for Māori children and those with </w:t>
            </w:r>
            <w:r w:rsidR="00DF5F17" w:rsidRPr="00150CD2">
              <w:rPr>
                <w:rFonts w:cs="Arial"/>
                <w:sz w:val="24"/>
              </w:rPr>
              <w:t>high/very high SPA</w:t>
            </w:r>
            <w:r w:rsidRPr="00150CD2">
              <w:rPr>
                <w:rFonts w:cs="Arial"/>
                <w:sz w:val="24"/>
              </w:rPr>
              <w:t xml:space="preserve"> levels.</w:t>
            </w:r>
          </w:p>
        </w:tc>
      </w:tr>
      <w:tr w:rsidR="006E12E5" w:rsidRPr="00150CD2" w14:paraId="409F5E61" w14:textId="77777777" w:rsidTr="00534711">
        <w:tc>
          <w:tcPr>
            <w:tcW w:w="1584" w:type="dxa"/>
            <w:tcBorders>
              <w:top w:val="nil"/>
              <w:bottom w:val="nil"/>
            </w:tcBorders>
          </w:tcPr>
          <w:p w14:paraId="09DB7039" w14:textId="77777777" w:rsidR="006E12E5" w:rsidRPr="00150CD2" w:rsidRDefault="006E12E5" w:rsidP="006E12E5">
            <w:pPr>
              <w:pStyle w:val="EYTableText"/>
              <w:rPr>
                <w:rFonts w:cs="Arial"/>
                <w:sz w:val="24"/>
              </w:rPr>
            </w:pPr>
          </w:p>
        </w:tc>
        <w:tc>
          <w:tcPr>
            <w:tcW w:w="2016" w:type="dxa"/>
          </w:tcPr>
          <w:p w14:paraId="426CE378" w14:textId="3B9C360B" w:rsidR="006E12E5" w:rsidRPr="00150CD2" w:rsidRDefault="006E12E5" w:rsidP="006E12E5">
            <w:pPr>
              <w:pStyle w:val="EYTableText"/>
              <w:rPr>
                <w:rFonts w:cs="Arial"/>
                <w:sz w:val="24"/>
              </w:rPr>
            </w:pPr>
            <w:r w:rsidRPr="00150CD2">
              <w:rPr>
                <w:rFonts w:cs="Arial"/>
                <w:sz w:val="24"/>
              </w:rPr>
              <w:t>Ambulatory sensitive (avoidable) hospitalisations</w:t>
            </w:r>
          </w:p>
        </w:tc>
        <w:tc>
          <w:tcPr>
            <w:tcW w:w="10512" w:type="dxa"/>
          </w:tcPr>
          <w:p w14:paraId="665F453D" w14:textId="53C67677" w:rsidR="006E12E5" w:rsidRPr="00150CD2" w:rsidRDefault="006E12E5" w:rsidP="006E12E5">
            <w:pPr>
              <w:pStyle w:val="EYTablebullet1"/>
              <w:spacing w:before="0" w:after="120"/>
              <w:rPr>
                <w:rFonts w:cs="Arial"/>
                <w:sz w:val="24"/>
              </w:rPr>
            </w:pPr>
            <w:r w:rsidRPr="00150CD2">
              <w:rPr>
                <w:rFonts w:cs="Arial"/>
                <w:sz w:val="24"/>
              </w:rPr>
              <w:t xml:space="preserve">18% of DSS children had ambulatory sensitive hospitalisations over the 3 year period. This was around </w:t>
            </w:r>
            <w:r w:rsidR="002E67CE" w:rsidRPr="00150CD2">
              <w:rPr>
                <w:rFonts w:cs="Arial"/>
                <w:sz w:val="24"/>
              </w:rPr>
              <w:t>6</w:t>
            </w:r>
            <w:r w:rsidR="00CA4326" w:rsidRPr="00150CD2">
              <w:rPr>
                <w:rFonts w:cs="Arial"/>
                <w:sz w:val="24"/>
              </w:rPr>
              <w:t xml:space="preserve"> times </w:t>
            </w:r>
            <w:r w:rsidRPr="00150CD2">
              <w:rPr>
                <w:rFonts w:cs="Arial"/>
                <w:sz w:val="24"/>
              </w:rPr>
              <w:t xml:space="preserve">the rate of the broader 5-14 year old child population (3%). Within the group of DSS children, children with an intellectual disability or with </w:t>
            </w:r>
            <w:r w:rsidR="00DF5F17" w:rsidRPr="00150CD2">
              <w:rPr>
                <w:rFonts w:cs="Arial"/>
                <w:sz w:val="24"/>
              </w:rPr>
              <w:t>high/very high SPA</w:t>
            </w:r>
            <w:r w:rsidRPr="00150CD2">
              <w:rPr>
                <w:rFonts w:cs="Arial"/>
                <w:sz w:val="24"/>
              </w:rPr>
              <w:t xml:space="preserve"> levels were more likely to have had ambulatory sensitive hospitalisations over a three year period:</w:t>
            </w:r>
          </w:p>
          <w:p w14:paraId="6FF01C69" w14:textId="20F9F254" w:rsidR="006E12E5" w:rsidRPr="00150CD2" w:rsidRDefault="006E12E5" w:rsidP="006E12E5">
            <w:pPr>
              <w:pStyle w:val="EYTablebullet2"/>
              <w:spacing w:before="0" w:after="120"/>
              <w:rPr>
                <w:rFonts w:cs="Arial"/>
                <w:sz w:val="24"/>
              </w:rPr>
            </w:pPr>
            <w:r w:rsidRPr="00150CD2">
              <w:rPr>
                <w:rFonts w:cs="Arial"/>
                <w:sz w:val="24"/>
              </w:rPr>
              <w:t>21%</w:t>
            </w:r>
            <w:r w:rsidR="002E67CE" w:rsidRPr="00150CD2">
              <w:rPr>
                <w:rFonts w:cs="Arial"/>
                <w:sz w:val="24"/>
              </w:rPr>
              <w:t xml:space="preserve">of </w:t>
            </w:r>
            <w:r w:rsidRPr="00150CD2">
              <w:rPr>
                <w:rFonts w:cs="Arial"/>
                <w:sz w:val="24"/>
              </w:rPr>
              <w:t xml:space="preserve">children with intellectual disability, compared with 15% </w:t>
            </w:r>
            <w:r w:rsidR="002E67CE" w:rsidRPr="00150CD2">
              <w:rPr>
                <w:rFonts w:cs="Arial"/>
                <w:sz w:val="24"/>
              </w:rPr>
              <w:t xml:space="preserve">of </w:t>
            </w:r>
            <w:r w:rsidRPr="00150CD2">
              <w:rPr>
                <w:rFonts w:cs="Arial"/>
                <w:sz w:val="24"/>
              </w:rPr>
              <w:t>those with other disabilities</w:t>
            </w:r>
          </w:p>
          <w:p w14:paraId="697ECD85" w14:textId="48D9E671" w:rsidR="006E12E5" w:rsidRPr="00150CD2" w:rsidRDefault="006E12E5" w:rsidP="006E12E5">
            <w:pPr>
              <w:pStyle w:val="EYTablebullet2"/>
              <w:spacing w:before="0" w:after="120"/>
              <w:rPr>
                <w:rFonts w:cs="Arial"/>
                <w:sz w:val="24"/>
              </w:rPr>
            </w:pPr>
            <w:r w:rsidRPr="00150CD2">
              <w:rPr>
                <w:rFonts w:cs="Arial"/>
                <w:sz w:val="24"/>
              </w:rPr>
              <w:t xml:space="preserve">22% </w:t>
            </w:r>
            <w:r w:rsidR="002E67CE" w:rsidRPr="00150CD2">
              <w:rPr>
                <w:rFonts w:cs="Arial"/>
                <w:sz w:val="24"/>
              </w:rPr>
              <w:t xml:space="preserve">of </w:t>
            </w:r>
            <w:r w:rsidRPr="00150CD2">
              <w:rPr>
                <w:rFonts w:cs="Arial"/>
                <w:sz w:val="24"/>
              </w:rPr>
              <w:t xml:space="preserve">children with high SPA levels, compared with 11% </w:t>
            </w:r>
            <w:r w:rsidR="002E67CE" w:rsidRPr="00150CD2">
              <w:rPr>
                <w:rFonts w:cs="Arial"/>
                <w:sz w:val="24"/>
              </w:rPr>
              <w:t xml:space="preserve">of </w:t>
            </w:r>
            <w:r w:rsidRPr="00150CD2">
              <w:rPr>
                <w:rFonts w:cs="Arial"/>
                <w:sz w:val="24"/>
              </w:rPr>
              <w:t>those with low to medium SPA levels</w:t>
            </w:r>
          </w:p>
        </w:tc>
      </w:tr>
      <w:tr w:rsidR="00310848" w:rsidRPr="00150CD2" w14:paraId="1BB5A165" w14:textId="77777777" w:rsidTr="00534711">
        <w:tc>
          <w:tcPr>
            <w:tcW w:w="1584" w:type="dxa"/>
            <w:tcBorders>
              <w:top w:val="nil"/>
              <w:bottom w:val="nil"/>
            </w:tcBorders>
          </w:tcPr>
          <w:p w14:paraId="3CF47AC4" w14:textId="77777777" w:rsidR="00310848" w:rsidRPr="00150CD2" w:rsidRDefault="00310848" w:rsidP="0039393C">
            <w:pPr>
              <w:pStyle w:val="EYTableText"/>
              <w:rPr>
                <w:rFonts w:cs="Arial"/>
                <w:sz w:val="24"/>
              </w:rPr>
            </w:pPr>
          </w:p>
        </w:tc>
        <w:tc>
          <w:tcPr>
            <w:tcW w:w="2016" w:type="dxa"/>
          </w:tcPr>
          <w:p w14:paraId="0A168EA4" w14:textId="77777777" w:rsidR="00310848" w:rsidRPr="00150CD2" w:rsidRDefault="00310848" w:rsidP="0039393C">
            <w:pPr>
              <w:pStyle w:val="EYTableText"/>
              <w:rPr>
                <w:rFonts w:cs="Arial"/>
                <w:sz w:val="24"/>
              </w:rPr>
            </w:pPr>
            <w:r w:rsidRPr="00150CD2">
              <w:rPr>
                <w:rFonts w:cs="Arial"/>
                <w:sz w:val="24"/>
              </w:rPr>
              <w:t>Emergency Department contacts and injury related hospitalisations</w:t>
            </w:r>
          </w:p>
        </w:tc>
        <w:tc>
          <w:tcPr>
            <w:tcW w:w="10512" w:type="dxa"/>
          </w:tcPr>
          <w:p w14:paraId="1E6AF076" w14:textId="2854A68C" w:rsidR="00310848" w:rsidRPr="00150CD2" w:rsidRDefault="00310848" w:rsidP="0039393C">
            <w:pPr>
              <w:pStyle w:val="EYTablebullet1"/>
              <w:spacing w:before="0" w:after="120"/>
              <w:rPr>
                <w:rFonts w:cs="Arial"/>
                <w:sz w:val="24"/>
              </w:rPr>
            </w:pPr>
            <w:r w:rsidRPr="00150CD2">
              <w:rPr>
                <w:rFonts w:cs="Arial"/>
                <w:sz w:val="24"/>
              </w:rPr>
              <w:t>1</w:t>
            </w:r>
            <w:r w:rsidR="00E03375" w:rsidRPr="00150CD2">
              <w:rPr>
                <w:rFonts w:cs="Arial"/>
                <w:sz w:val="24"/>
              </w:rPr>
              <w:t>9</w:t>
            </w:r>
            <w:r w:rsidRPr="00150CD2">
              <w:rPr>
                <w:rFonts w:cs="Arial"/>
                <w:sz w:val="24"/>
              </w:rPr>
              <w:t xml:space="preserve">% of DSS children aged 5-14 had </w:t>
            </w:r>
            <w:r w:rsidR="00E03375" w:rsidRPr="00150CD2">
              <w:rPr>
                <w:rFonts w:cs="Arial"/>
                <w:sz w:val="24"/>
              </w:rPr>
              <w:t>2</w:t>
            </w:r>
            <w:r w:rsidRPr="00150CD2">
              <w:rPr>
                <w:rFonts w:cs="Arial"/>
                <w:sz w:val="24"/>
              </w:rPr>
              <w:t xml:space="preserve"> or more ED </w:t>
            </w:r>
            <w:r w:rsidR="00B54D3C" w:rsidRPr="00150CD2">
              <w:rPr>
                <w:rFonts w:cs="Arial"/>
                <w:sz w:val="24"/>
              </w:rPr>
              <w:t xml:space="preserve">visits </w:t>
            </w:r>
            <w:r w:rsidRPr="00150CD2">
              <w:rPr>
                <w:rFonts w:cs="Arial"/>
                <w:sz w:val="24"/>
              </w:rPr>
              <w:t xml:space="preserve">over </w:t>
            </w:r>
            <w:r w:rsidR="00E03375" w:rsidRPr="00150CD2">
              <w:rPr>
                <w:rFonts w:cs="Arial"/>
                <w:sz w:val="24"/>
              </w:rPr>
              <w:t>the</w:t>
            </w:r>
            <w:r w:rsidRPr="00150CD2">
              <w:rPr>
                <w:rFonts w:cs="Arial"/>
                <w:sz w:val="24"/>
              </w:rPr>
              <w:t xml:space="preserve"> three year period, </w:t>
            </w:r>
            <w:r w:rsidR="00E03375" w:rsidRPr="00150CD2">
              <w:rPr>
                <w:rFonts w:cs="Arial"/>
                <w:sz w:val="24"/>
              </w:rPr>
              <w:t>1.7</w:t>
            </w:r>
            <w:r w:rsidR="00CA4326" w:rsidRPr="00150CD2">
              <w:rPr>
                <w:rFonts w:cs="Arial"/>
                <w:sz w:val="24"/>
              </w:rPr>
              <w:t xml:space="preserve"> times </w:t>
            </w:r>
            <w:r w:rsidRPr="00150CD2">
              <w:rPr>
                <w:rFonts w:cs="Arial"/>
                <w:sz w:val="24"/>
              </w:rPr>
              <w:t xml:space="preserve">higher than the proportion of other 5-14 year old children with </w:t>
            </w:r>
            <w:r w:rsidR="00E03375" w:rsidRPr="00150CD2">
              <w:rPr>
                <w:rFonts w:cs="Arial"/>
                <w:sz w:val="24"/>
              </w:rPr>
              <w:t>2</w:t>
            </w:r>
            <w:r w:rsidRPr="00150CD2">
              <w:rPr>
                <w:rFonts w:cs="Arial"/>
                <w:sz w:val="24"/>
              </w:rPr>
              <w:t xml:space="preserve"> or more ED visits (</w:t>
            </w:r>
            <w:r w:rsidR="00B54D3C" w:rsidRPr="00150CD2">
              <w:rPr>
                <w:rFonts w:cs="Arial"/>
                <w:sz w:val="24"/>
              </w:rPr>
              <w:t xml:space="preserve">around </w:t>
            </w:r>
            <w:r w:rsidRPr="00150CD2">
              <w:rPr>
                <w:rFonts w:cs="Arial"/>
                <w:sz w:val="24"/>
              </w:rPr>
              <w:t>1</w:t>
            </w:r>
            <w:r w:rsidR="00E03375" w:rsidRPr="00150CD2">
              <w:rPr>
                <w:rFonts w:cs="Arial"/>
                <w:sz w:val="24"/>
              </w:rPr>
              <w:t>1</w:t>
            </w:r>
            <w:r w:rsidRPr="00150CD2">
              <w:rPr>
                <w:rFonts w:cs="Arial"/>
                <w:sz w:val="24"/>
              </w:rPr>
              <w:t xml:space="preserve">%). The difference in ED contact rates appears to be health condition related as injury related ED contact rates are similar to the national average for 5-14 year olds (18% over </w:t>
            </w:r>
            <w:r w:rsidR="00E03375" w:rsidRPr="00150CD2">
              <w:rPr>
                <w:rFonts w:cs="Arial"/>
                <w:sz w:val="24"/>
              </w:rPr>
              <w:t>the</w:t>
            </w:r>
            <w:r w:rsidRPr="00150CD2">
              <w:rPr>
                <w:rFonts w:cs="Arial"/>
                <w:sz w:val="24"/>
              </w:rPr>
              <w:t xml:space="preserve"> 3 year period).</w:t>
            </w:r>
          </w:p>
          <w:p w14:paraId="0797B244" w14:textId="0D7610B3" w:rsidR="00310848" w:rsidRPr="00150CD2" w:rsidRDefault="00310848" w:rsidP="0039393C">
            <w:pPr>
              <w:pStyle w:val="EYTablebullet1"/>
              <w:spacing w:before="0" w:after="120"/>
              <w:rPr>
                <w:rFonts w:cs="Arial"/>
                <w:sz w:val="24"/>
              </w:rPr>
            </w:pPr>
            <w:r w:rsidRPr="00150CD2">
              <w:rPr>
                <w:rFonts w:cs="Arial"/>
                <w:sz w:val="24"/>
              </w:rPr>
              <w:t xml:space="preserve">Overall ED contact rates were higher for children with intellectual disability or </w:t>
            </w:r>
            <w:r w:rsidR="00DF5F17" w:rsidRPr="00150CD2">
              <w:rPr>
                <w:rFonts w:cs="Arial"/>
                <w:sz w:val="24"/>
              </w:rPr>
              <w:t>high/very high SPA</w:t>
            </w:r>
            <w:r w:rsidRPr="00150CD2">
              <w:rPr>
                <w:rFonts w:cs="Arial"/>
                <w:sz w:val="24"/>
              </w:rPr>
              <w:t xml:space="preserve"> levels, and similar for Māori/non-Māori and male/female children.</w:t>
            </w:r>
          </w:p>
          <w:p w14:paraId="619E948C" w14:textId="726AD29F" w:rsidR="00310848" w:rsidRPr="00150CD2" w:rsidRDefault="00310848" w:rsidP="0039393C">
            <w:pPr>
              <w:pStyle w:val="EYTablebullet1"/>
              <w:spacing w:before="0" w:after="120"/>
              <w:rPr>
                <w:rFonts w:cs="Arial"/>
                <w:sz w:val="24"/>
              </w:rPr>
            </w:pPr>
            <w:r w:rsidRPr="00150CD2">
              <w:rPr>
                <w:rFonts w:cs="Arial"/>
                <w:sz w:val="24"/>
              </w:rPr>
              <w:t xml:space="preserve">A small proportion (6%) had injury related hospitalisations over the 3 year period, similar to </w:t>
            </w:r>
            <w:r w:rsidR="009E4F58" w:rsidRPr="00150CD2">
              <w:rPr>
                <w:rFonts w:cs="Arial"/>
                <w:sz w:val="24"/>
              </w:rPr>
              <w:t xml:space="preserve">rates </w:t>
            </w:r>
            <w:r w:rsidRPr="00150CD2">
              <w:rPr>
                <w:rFonts w:cs="Arial"/>
                <w:sz w:val="24"/>
              </w:rPr>
              <w:t xml:space="preserve">for other children. </w:t>
            </w:r>
          </w:p>
        </w:tc>
      </w:tr>
      <w:tr w:rsidR="00310848" w:rsidRPr="00150CD2" w14:paraId="1FD5B636" w14:textId="77777777" w:rsidTr="00534711">
        <w:tc>
          <w:tcPr>
            <w:tcW w:w="1584" w:type="dxa"/>
            <w:tcBorders>
              <w:top w:val="nil"/>
              <w:bottom w:val="nil"/>
            </w:tcBorders>
          </w:tcPr>
          <w:p w14:paraId="21FD4DB3" w14:textId="77777777" w:rsidR="00310848" w:rsidRPr="00150CD2" w:rsidRDefault="00310848" w:rsidP="0039393C">
            <w:pPr>
              <w:pStyle w:val="EYTableText"/>
              <w:rPr>
                <w:rFonts w:cs="Arial"/>
                <w:sz w:val="24"/>
              </w:rPr>
            </w:pPr>
          </w:p>
        </w:tc>
        <w:tc>
          <w:tcPr>
            <w:tcW w:w="2016" w:type="dxa"/>
          </w:tcPr>
          <w:p w14:paraId="0D9A93BD" w14:textId="77777777" w:rsidR="00310848" w:rsidRPr="00150CD2" w:rsidRDefault="00310848" w:rsidP="0039393C">
            <w:pPr>
              <w:pStyle w:val="EYTableText"/>
              <w:rPr>
                <w:rFonts w:cs="Arial"/>
                <w:sz w:val="24"/>
              </w:rPr>
            </w:pPr>
            <w:r w:rsidRPr="00150CD2">
              <w:rPr>
                <w:rFonts w:cs="Arial"/>
                <w:sz w:val="24"/>
              </w:rPr>
              <w:t>Mental health service contact and treatment</w:t>
            </w:r>
          </w:p>
        </w:tc>
        <w:tc>
          <w:tcPr>
            <w:tcW w:w="10512" w:type="dxa"/>
          </w:tcPr>
          <w:p w14:paraId="7E22669D" w14:textId="77777777" w:rsidR="00310848" w:rsidRPr="00150CD2" w:rsidRDefault="00310848" w:rsidP="0039393C">
            <w:pPr>
              <w:pStyle w:val="EYTablebullet1"/>
              <w:spacing w:before="0" w:after="120"/>
              <w:rPr>
                <w:rFonts w:cs="Arial"/>
                <w:sz w:val="24"/>
              </w:rPr>
            </w:pPr>
            <w:r w:rsidRPr="00150CD2">
              <w:rPr>
                <w:rFonts w:cs="Arial"/>
                <w:sz w:val="24"/>
              </w:rPr>
              <w:t xml:space="preserve">1 in 3 (33%) of children had contact with mental health services from community providers or hospitals over the three year period, compared with 8% of similarly aged non-DSS children in New Zealand. </w:t>
            </w:r>
          </w:p>
          <w:p w14:paraId="08C794A4" w14:textId="6D088D03" w:rsidR="00310848" w:rsidRPr="00150CD2" w:rsidRDefault="00310848" w:rsidP="0039393C">
            <w:pPr>
              <w:pStyle w:val="EYTablebullet1"/>
              <w:numPr>
                <w:ilvl w:val="0"/>
                <w:numId w:val="0"/>
              </w:numPr>
              <w:spacing w:before="0" w:after="120"/>
              <w:ind w:left="284"/>
              <w:rPr>
                <w:rFonts w:cs="Arial"/>
                <w:sz w:val="24"/>
              </w:rPr>
            </w:pPr>
            <w:r w:rsidRPr="00150CD2">
              <w:rPr>
                <w:rFonts w:cs="Arial"/>
                <w:sz w:val="24"/>
              </w:rPr>
              <w:t xml:space="preserve">Note that this includes some </w:t>
            </w:r>
            <w:r w:rsidR="000E4BD7" w:rsidRPr="00150CD2">
              <w:rPr>
                <w:rFonts w:cs="Arial"/>
                <w:sz w:val="24"/>
              </w:rPr>
              <w:t>disability-specific  health services</w:t>
            </w:r>
            <w:r w:rsidRPr="00150CD2">
              <w:rPr>
                <w:rFonts w:cs="Arial"/>
                <w:sz w:val="24"/>
              </w:rPr>
              <w:t xml:space="preserve"> as well as other mental health services, as the data does not explicitly identify which contacts </w:t>
            </w:r>
            <w:r w:rsidR="000E4BD7" w:rsidRPr="00150CD2">
              <w:rPr>
                <w:rFonts w:cs="Arial"/>
                <w:sz w:val="24"/>
              </w:rPr>
              <w:t>are specifically related to disability</w:t>
            </w:r>
            <w:r w:rsidRPr="00150CD2">
              <w:rPr>
                <w:rFonts w:cs="Arial"/>
                <w:sz w:val="24"/>
              </w:rPr>
              <w:t xml:space="preserve">. The exception is Intellectual Disability teams which has been excluded from the above figures. </w:t>
            </w:r>
          </w:p>
          <w:p w14:paraId="2B095384" w14:textId="071F19FF" w:rsidR="00310848" w:rsidRPr="00150CD2" w:rsidRDefault="00310848" w:rsidP="00C038E3">
            <w:pPr>
              <w:pStyle w:val="EYTablebullet1"/>
              <w:spacing w:before="0" w:after="120"/>
              <w:rPr>
                <w:rFonts w:cs="Arial"/>
                <w:i/>
                <w:color w:val="C00000"/>
                <w:sz w:val="24"/>
              </w:rPr>
            </w:pPr>
            <w:r w:rsidRPr="00150CD2">
              <w:rPr>
                <w:rFonts w:cs="Arial"/>
                <w:sz w:val="24"/>
              </w:rPr>
              <w:t xml:space="preserve">Within the group of 5-14 year olds allocated DSS funding, service contact rates were higher for male children (34% compared with 28% for female children), children with ASD as their </w:t>
            </w:r>
            <w:r w:rsidR="009E4F58" w:rsidRPr="00150CD2">
              <w:rPr>
                <w:rFonts w:cs="Arial"/>
                <w:sz w:val="24"/>
              </w:rPr>
              <w:t>prioritised</w:t>
            </w:r>
            <w:r w:rsidRPr="00150CD2">
              <w:rPr>
                <w:rFonts w:cs="Arial"/>
                <w:sz w:val="24"/>
              </w:rPr>
              <w:t xml:space="preserve"> disability (36% compared with 28% for children with intellectual disability) and for children with high/very high SPA levels (35% compared with 30% for those with low/medium SPA levels). The difference by gender appears to be linked to disability type, as a higher proportion of male children have ASD. Contact rates were similar between Māori and non-Māori.</w:t>
            </w:r>
          </w:p>
        </w:tc>
      </w:tr>
      <w:tr w:rsidR="00C038E3" w:rsidRPr="00150CD2" w14:paraId="091FA20E" w14:textId="77777777" w:rsidTr="00534711">
        <w:tc>
          <w:tcPr>
            <w:tcW w:w="1584" w:type="dxa"/>
            <w:tcBorders>
              <w:top w:val="nil"/>
              <w:bottom w:val="nil"/>
            </w:tcBorders>
          </w:tcPr>
          <w:p w14:paraId="7946E85D" w14:textId="77777777" w:rsidR="00C038E3" w:rsidRPr="00150CD2" w:rsidRDefault="00C038E3" w:rsidP="0039393C">
            <w:pPr>
              <w:pStyle w:val="EYTableText"/>
              <w:rPr>
                <w:rFonts w:cs="Arial"/>
                <w:sz w:val="24"/>
              </w:rPr>
            </w:pPr>
          </w:p>
        </w:tc>
        <w:tc>
          <w:tcPr>
            <w:tcW w:w="2016" w:type="dxa"/>
          </w:tcPr>
          <w:p w14:paraId="304D4121" w14:textId="723C5004" w:rsidR="00C038E3" w:rsidRPr="00150CD2" w:rsidRDefault="00C038E3" w:rsidP="0039393C">
            <w:pPr>
              <w:pStyle w:val="EYTableText"/>
              <w:rPr>
                <w:rFonts w:cs="Arial"/>
                <w:sz w:val="24"/>
              </w:rPr>
            </w:pPr>
            <w:r w:rsidRPr="00150CD2">
              <w:rPr>
                <w:rFonts w:cs="Arial"/>
                <w:sz w:val="24"/>
              </w:rPr>
              <w:t>Pharmaceuticals</w:t>
            </w:r>
          </w:p>
        </w:tc>
        <w:tc>
          <w:tcPr>
            <w:tcW w:w="10512" w:type="dxa"/>
          </w:tcPr>
          <w:p w14:paraId="1EC866E2" w14:textId="55E2C8D1" w:rsidR="00C038E3" w:rsidRPr="00150CD2" w:rsidRDefault="00C038E3" w:rsidP="0039393C">
            <w:pPr>
              <w:pStyle w:val="EYTablebullet1"/>
              <w:spacing w:before="0" w:after="120"/>
              <w:rPr>
                <w:rFonts w:cs="Arial"/>
                <w:sz w:val="24"/>
              </w:rPr>
            </w:pPr>
            <w:r w:rsidRPr="00150CD2">
              <w:rPr>
                <w:rFonts w:cs="Arial"/>
                <w:sz w:val="24"/>
              </w:rPr>
              <w:t xml:space="preserve">DSS children received treatment from a wider range of pharmaceutical types than other children, with an average of 4.3 pharmaceutical products </w:t>
            </w:r>
            <w:r w:rsidR="00B3056C" w:rsidRPr="00150CD2">
              <w:rPr>
                <w:rFonts w:cs="Arial"/>
                <w:sz w:val="24"/>
              </w:rPr>
              <w:t>dispensed</w:t>
            </w:r>
            <w:r w:rsidRPr="00150CD2">
              <w:rPr>
                <w:rFonts w:cs="Arial"/>
                <w:sz w:val="24"/>
              </w:rPr>
              <w:t xml:space="preserve"> compared with 2.6 for non-DSS children over the year to 30 June 2017.</w:t>
            </w:r>
          </w:p>
        </w:tc>
      </w:tr>
      <w:tr w:rsidR="00310848" w:rsidRPr="00150CD2" w14:paraId="34B51D93" w14:textId="77777777" w:rsidTr="00534711">
        <w:tc>
          <w:tcPr>
            <w:tcW w:w="1584" w:type="dxa"/>
            <w:tcBorders>
              <w:top w:val="nil"/>
              <w:bottom w:val="nil"/>
            </w:tcBorders>
          </w:tcPr>
          <w:p w14:paraId="64BC057D" w14:textId="77777777" w:rsidR="00310848" w:rsidRPr="00150CD2" w:rsidRDefault="00310848" w:rsidP="0039393C">
            <w:pPr>
              <w:pStyle w:val="EYTableText"/>
              <w:rPr>
                <w:rFonts w:cs="Arial"/>
                <w:sz w:val="24"/>
              </w:rPr>
            </w:pPr>
          </w:p>
        </w:tc>
        <w:tc>
          <w:tcPr>
            <w:tcW w:w="2016" w:type="dxa"/>
          </w:tcPr>
          <w:p w14:paraId="1C2B7E61" w14:textId="77777777" w:rsidR="00310848" w:rsidRPr="00150CD2" w:rsidRDefault="00310848" w:rsidP="0039393C">
            <w:pPr>
              <w:pStyle w:val="EYTableText"/>
              <w:rPr>
                <w:rFonts w:cs="Arial"/>
                <w:sz w:val="24"/>
              </w:rPr>
            </w:pPr>
            <w:r w:rsidRPr="00150CD2">
              <w:rPr>
                <w:rFonts w:cs="Arial"/>
                <w:sz w:val="24"/>
              </w:rPr>
              <w:t>Oranga Tamariki contact</w:t>
            </w:r>
          </w:p>
        </w:tc>
        <w:tc>
          <w:tcPr>
            <w:tcW w:w="10512" w:type="dxa"/>
          </w:tcPr>
          <w:p w14:paraId="4B9C0D47" w14:textId="332F32D7" w:rsidR="00310848" w:rsidRPr="00150CD2" w:rsidRDefault="00310848" w:rsidP="0039393C">
            <w:pPr>
              <w:pStyle w:val="EYTablebullet1"/>
              <w:spacing w:before="0" w:after="120"/>
              <w:rPr>
                <w:rFonts w:cs="Arial"/>
                <w:sz w:val="24"/>
              </w:rPr>
            </w:pPr>
            <w:r w:rsidRPr="00150CD2">
              <w:rPr>
                <w:rFonts w:cs="Arial"/>
                <w:sz w:val="24"/>
              </w:rPr>
              <w:t>Around 20% of DSS children aged 5-14 were involved in reports of concern to O</w:t>
            </w:r>
            <w:r w:rsidR="0011491B" w:rsidRPr="00150CD2">
              <w:rPr>
                <w:rFonts w:cs="Arial"/>
                <w:sz w:val="24"/>
              </w:rPr>
              <w:t xml:space="preserve">ranga </w:t>
            </w:r>
            <w:r w:rsidRPr="00150CD2">
              <w:rPr>
                <w:rFonts w:cs="Arial"/>
                <w:sz w:val="24"/>
              </w:rPr>
              <w:t>T</w:t>
            </w:r>
            <w:r w:rsidR="0011491B" w:rsidRPr="00150CD2">
              <w:rPr>
                <w:rFonts w:cs="Arial"/>
                <w:sz w:val="24"/>
              </w:rPr>
              <w:t>amariki</w:t>
            </w:r>
            <w:r w:rsidRPr="00150CD2">
              <w:rPr>
                <w:rFonts w:cs="Arial"/>
                <w:sz w:val="24"/>
              </w:rPr>
              <w:t xml:space="preserve"> over the 3 years to June 2018. This was twice the rate of similarly aged non-DSS children in New Zealand (10%).</w:t>
            </w:r>
          </w:p>
          <w:p w14:paraId="3CB645EB" w14:textId="7423EB5E" w:rsidR="00310848" w:rsidRPr="00150CD2" w:rsidRDefault="00310848" w:rsidP="0039393C">
            <w:pPr>
              <w:pStyle w:val="EYTablebullet1"/>
              <w:spacing w:before="0" w:after="120"/>
              <w:rPr>
                <w:rFonts w:cs="Arial"/>
                <w:sz w:val="24"/>
              </w:rPr>
            </w:pPr>
            <w:r w:rsidRPr="00150CD2">
              <w:rPr>
                <w:rFonts w:cs="Arial"/>
                <w:sz w:val="24"/>
              </w:rPr>
              <w:t xml:space="preserve">5% of children (around 490) were involved in statutory </w:t>
            </w:r>
            <w:r w:rsidR="00961B68" w:rsidRPr="00150CD2">
              <w:rPr>
                <w:rFonts w:cs="Arial"/>
                <w:sz w:val="24"/>
              </w:rPr>
              <w:t>Care and</w:t>
            </w:r>
            <w:r w:rsidRPr="00150CD2">
              <w:rPr>
                <w:rFonts w:cs="Arial"/>
                <w:sz w:val="24"/>
              </w:rPr>
              <w:t xml:space="preserve"> </w:t>
            </w:r>
            <w:r w:rsidR="00A52C97" w:rsidRPr="00150CD2">
              <w:rPr>
                <w:rFonts w:cs="Arial"/>
                <w:sz w:val="24"/>
              </w:rPr>
              <w:t>P</w:t>
            </w:r>
            <w:r w:rsidRPr="00150CD2">
              <w:rPr>
                <w:rFonts w:cs="Arial"/>
                <w:sz w:val="24"/>
              </w:rPr>
              <w:t xml:space="preserve">rotection (CP) over the 3 year period, with 3% in </w:t>
            </w:r>
            <w:r w:rsidR="009F4531" w:rsidRPr="00150CD2">
              <w:rPr>
                <w:rFonts w:cs="Arial"/>
                <w:sz w:val="24"/>
              </w:rPr>
              <w:t>out of home care</w:t>
            </w:r>
            <w:r w:rsidRPr="00150CD2">
              <w:rPr>
                <w:rFonts w:cs="Arial"/>
                <w:sz w:val="24"/>
              </w:rPr>
              <w:t xml:space="preserve"> placements at some point. Although </w:t>
            </w:r>
            <w:r w:rsidR="002E67CE" w:rsidRPr="00150CD2">
              <w:rPr>
                <w:rFonts w:cs="Arial"/>
                <w:sz w:val="24"/>
              </w:rPr>
              <w:t xml:space="preserve">this was </w:t>
            </w:r>
            <w:r w:rsidRPr="00150CD2">
              <w:rPr>
                <w:rFonts w:cs="Arial"/>
                <w:sz w:val="24"/>
              </w:rPr>
              <w:t xml:space="preserve">a small proportion of the DSS population, this was significantly higher than for the broader 5-14 year old child population (where </w:t>
            </w:r>
            <w:r w:rsidR="009F4531" w:rsidRPr="00150CD2">
              <w:rPr>
                <w:rFonts w:cs="Arial"/>
                <w:sz w:val="24"/>
              </w:rPr>
              <w:t xml:space="preserve">less than </w:t>
            </w:r>
            <w:r w:rsidRPr="00150CD2">
              <w:rPr>
                <w:rFonts w:cs="Arial"/>
                <w:sz w:val="24"/>
              </w:rPr>
              <w:t xml:space="preserve">2% had statutory CP contact and </w:t>
            </w:r>
            <w:r w:rsidR="009F4531" w:rsidRPr="00150CD2">
              <w:rPr>
                <w:rFonts w:cs="Arial"/>
                <w:sz w:val="24"/>
              </w:rPr>
              <w:t xml:space="preserve">less than </w:t>
            </w:r>
            <w:r w:rsidRPr="00150CD2">
              <w:rPr>
                <w:rFonts w:cs="Arial"/>
                <w:sz w:val="24"/>
              </w:rPr>
              <w:t xml:space="preserve">1% had </w:t>
            </w:r>
            <w:r w:rsidR="009F4531" w:rsidRPr="00150CD2">
              <w:rPr>
                <w:rFonts w:cs="Arial"/>
                <w:sz w:val="24"/>
              </w:rPr>
              <w:t>out of home care</w:t>
            </w:r>
            <w:r w:rsidRPr="00150CD2">
              <w:rPr>
                <w:rFonts w:cs="Arial"/>
                <w:sz w:val="24"/>
              </w:rPr>
              <w:t xml:space="preserve"> placements).</w:t>
            </w:r>
          </w:p>
          <w:p w14:paraId="37A51C24" w14:textId="351A2454" w:rsidR="00310848" w:rsidRPr="00150CD2" w:rsidRDefault="00310848" w:rsidP="0039393C">
            <w:pPr>
              <w:pStyle w:val="EYTablebullet1"/>
              <w:spacing w:before="0" w:after="120"/>
              <w:rPr>
                <w:rFonts w:cs="Arial"/>
                <w:sz w:val="24"/>
              </w:rPr>
            </w:pPr>
            <w:r w:rsidRPr="00150CD2">
              <w:rPr>
                <w:rFonts w:cs="Arial"/>
                <w:sz w:val="24"/>
              </w:rPr>
              <w:t xml:space="preserve">12% of children were involved in Police Family Violence </w:t>
            </w:r>
            <w:r w:rsidR="004F7FD8" w:rsidRPr="00150CD2">
              <w:rPr>
                <w:rFonts w:cs="Arial"/>
                <w:sz w:val="24"/>
              </w:rPr>
              <w:t xml:space="preserve">Centre </w:t>
            </w:r>
            <w:r w:rsidRPr="00150CD2">
              <w:rPr>
                <w:rFonts w:cs="Arial"/>
                <w:sz w:val="24"/>
              </w:rPr>
              <w:t>notifications to O</w:t>
            </w:r>
            <w:r w:rsidR="0011491B" w:rsidRPr="00150CD2">
              <w:rPr>
                <w:rFonts w:cs="Arial"/>
                <w:sz w:val="24"/>
              </w:rPr>
              <w:t xml:space="preserve">ranga </w:t>
            </w:r>
            <w:r w:rsidRPr="00150CD2">
              <w:rPr>
                <w:rFonts w:cs="Arial"/>
                <w:sz w:val="24"/>
              </w:rPr>
              <w:t>T</w:t>
            </w:r>
            <w:r w:rsidR="0011491B" w:rsidRPr="00150CD2">
              <w:rPr>
                <w:rFonts w:cs="Arial"/>
                <w:sz w:val="24"/>
              </w:rPr>
              <w:t>amariki</w:t>
            </w:r>
            <w:r w:rsidRPr="00150CD2">
              <w:rPr>
                <w:rFonts w:cs="Arial"/>
                <w:sz w:val="24"/>
              </w:rPr>
              <w:t xml:space="preserve"> over the period, </w:t>
            </w:r>
            <w:r w:rsidR="002E67CE" w:rsidRPr="00150CD2">
              <w:rPr>
                <w:rFonts w:cs="Arial"/>
                <w:sz w:val="24"/>
              </w:rPr>
              <w:t xml:space="preserve">a rate </w:t>
            </w:r>
            <w:r w:rsidRPr="00150CD2">
              <w:rPr>
                <w:rFonts w:cs="Arial"/>
                <w:sz w:val="24"/>
              </w:rPr>
              <w:t>around 1.5</w:t>
            </w:r>
            <w:r w:rsidR="00CA4326" w:rsidRPr="00150CD2">
              <w:rPr>
                <w:rFonts w:cs="Arial"/>
                <w:sz w:val="24"/>
              </w:rPr>
              <w:t xml:space="preserve"> times </w:t>
            </w:r>
            <w:r w:rsidRPr="00150CD2">
              <w:rPr>
                <w:rFonts w:cs="Arial"/>
                <w:sz w:val="24"/>
              </w:rPr>
              <w:t>higher than for other 5-14 year olds in New Zealand (7%).</w:t>
            </w:r>
          </w:p>
          <w:p w14:paraId="54356DC3" w14:textId="32347C8D" w:rsidR="00310848" w:rsidRPr="00150CD2" w:rsidRDefault="00310848" w:rsidP="0039393C">
            <w:pPr>
              <w:pStyle w:val="EYTablebullet1"/>
              <w:spacing w:before="0" w:after="120"/>
              <w:rPr>
                <w:rFonts w:cs="Arial"/>
                <w:i/>
                <w:sz w:val="24"/>
              </w:rPr>
            </w:pPr>
            <w:r w:rsidRPr="00150CD2">
              <w:rPr>
                <w:rFonts w:cs="Arial"/>
                <w:sz w:val="24"/>
              </w:rPr>
              <w:t xml:space="preserve">Within the group of DSS children aged 5-14, those with an intellectual disability or </w:t>
            </w:r>
            <w:r w:rsidR="00DF5F17" w:rsidRPr="00150CD2">
              <w:rPr>
                <w:rFonts w:cs="Arial"/>
                <w:sz w:val="24"/>
              </w:rPr>
              <w:t>high/very high SPA</w:t>
            </w:r>
            <w:r w:rsidRPr="00150CD2">
              <w:rPr>
                <w:rFonts w:cs="Arial"/>
                <w:sz w:val="24"/>
              </w:rPr>
              <w:t xml:space="preserve"> levels experienced higher rates of CP contact:</w:t>
            </w:r>
          </w:p>
          <w:p w14:paraId="20C0C621" w14:textId="77777777" w:rsidR="00310848" w:rsidRPr="00150CD2" w:rsidRDefault="00310848" w:rsidP="0039393C">
            <w:pPr>
              <w:pStyle w:val="EYTablebullet2"/>
              <w:spacing w:before="0" w:after="120"/>
              <w:rPr>
                <w:rFonts w:cs="Arial"/>
                <w:i/>
                <w:sz w:val="24"/>
              </w:rPr>
            </w:pPr>
            <w:r w:rsidRPr="00150CD2">
              <w:rPr>
                <w:rFonts w:cs="Arial"/>
                <w:sz w:val="24"/>
              </w:rPr>
              <w:t>27% of children with intellectual disability and 24% of children with high/very high SPA levels were involved in reports of concern</w:t>
            </w:r>
          </w:p>
          <w:p w14:paraId="1E7DB63C" w14:textId="4BC708D5" w:rsidR="00310848" w:rsidRPr="00150CD2" w:rsidRDefault="00310848" w:rsidP="0039393C">
            <w:pPr>
              <w:pStyle w:val="EYTablebullet2"/>
              <w:spacing w:before="0" w:after="120"/>
              <w:rPr>
                <w:rFonts w:cs="Arial"/>
                <w:i/>
                <w:sz w:val="24"/>
              </w:rPr>
            </w:pPr>
            <w:r w:rsidRPr="00150CD2">
              <w:rPr>
                <w:rFonts w:cs="Arial"/>
                <w:sz w:val="24"/>
              </w:rPr>
              <w:t xml:space="preserve">7% of children with intellectual disability </w:t>
            </w:r>
            <w:r w:rsidR="007C10CD" w:rsidRPr="00150CD2">
              <w:rPr>
                <w:rFonts w:cs="Arial"/>
                <w:sz w:val="24"/>
              </w:rPr>
              <w:t xml:space="preserve">and 6% of children with </w:t>
            </w:r>
            <w:r w:rsidRPr="00150CD2">
              <w:rPr>
                <w:rFonts w:cs="Arial"/>
                <w:sz w:val="24"/>
              </w:rPr>
              <w:t>high</w:t>
            </w:r>
            <w:r w:rsidR="007C10CD" w:rsidRPr="00150CD2">
              <w:rPr>
                <w:rFonts w:cs="Arial"/>
                <w:sz w:val="24"/>
              </w:rPr>
              <w:t>/very high</w:t>
            </w:r>
            <w:r w:rsidRPr="00150CD2">
              <w:rPr>
                <w:rFonts w:cs="Arial"/>
                <w:sz w:val="24"/>
              </w:rPr>
              <w:t xml:space="preserve"> SPA levels were involved in statutory CP (compared with 3% of other DSS children)</w:t>
            </w:r>
          </w:p>
          <w:p w14:paraId="57C4D1E5" w14:textId="21096312" w:rsidR="00310848" w:rsidRPr="00150CD2" w:rsidRDefault="00310848" w:rsidP="0039393C">
            <w:pPr>
              <w:pStyle w:val="EYTablebullet1"/>
              <w:numPr>
                <w:ilvl w:val="0"/>
                <w:numId w:val="0"/>
              </w:numPr>
              <w:spacing w:before="0" w:after="120"/>
              <w:ind w:left="284"/>
              <w:rPr>
                <w:rFonts w:cs="Arial"/>
                <w:i/>
                <w:color w:val="C00000"/>
                <w:sz w:val="24"/>
              </w:rPr>
            </w:pPr>
            <w:r w:rsidRPr="00150CD2">
              <w:rPr>
                <w:rFonts w:cs="Arial"/>
                <w:sz w:val="24"/>
              </w:rPr>
              <w:t xml:space="preserve">Māori children also experienced higher </w:t>
            </w:r>
            <w:r w:rsidR="009E4F58" w:rsidRPr="00150CD2">
              <w:rPr>
                <w:rFonts w:cs="Arial"/>
                <w:sz w:val="24"/>
              </w:rPr>
              <w:t xml:space="preserve">rates </w:t>
            </w:r>
            <w:r w:rsidRPr="00150CD2">
              <w:rPr>
                <w:rFonts w:cs="Arial"/>
                <w:sz w:val="24"/>
              </w:rPr>
              <w:t>of CP contact, reflecting differences in the broader NZ population: 30% were involved in reports of concern and 8% were involved in statutory CP over a 3 year period.</w:t>
            </w:r>
          </w:p>
        </w:tc>
      </w:tr>
      <w:tr w:rsidR="00310848" w:rsidRPr="00150CD2" w14:paraId="71A86B8F" w14:textId="77777777" w:rsidTr="00534711">
        <w:tc>
          <w:tcPr>
            <w:tcW w:w="1584" w:type="dxa"/>
            <w:tcBorders>
              <w:top w:val="nil"/>
              <w:bottom w:val="single" w:sz="4" w:space="0" w:color="auto"/>
            </w:tcBorders>
          </w:tcPr>
          <w:p w14:paraId="233C7303" w14:textId="77777777" w:rsidR="00310848" w:rsidRPr="00150CD2" w:rsidRDefault="00310848" w:rsidP="0039393C">
            <w:pPr>
              <w:pStyle w:val="EYTableText"/>
              <w:rPr>
                <w:rFonts w:cs="Arial"/>
                <w:sz w:val="24"/>
              </w:rPr>
            </w:pPr>
          </w:p>
        </w:tc>
        <w:tc>
          <w:tcPr>
            <w:tcW w:w="2016" w:type="dxa"/>
          </w:tcPr>
          <w:p w14:paraId="6114EF10" w14:textId="77777777" w:rsidR="00310848" w:rsidRPr="00150CD2" w:rsidRDefault="00310848" w:rsidP="0039393C">
            <w:pPr>
              <w:pStyle w:val="EYTableText"/>
              <w:rPr>
                <w:rFonts w:cs="Arial"/>
                <w:sz w:val="24"/>
              </w:rPr>
            </w:pPr>
            <w:r w:rsidRPr="00150CD2">
              <w:rPr>
                <w:rFonts w:cs="Arial"/>
                <w:sz w:val="24"/>
              </w:rPr>
              <w:t>Offences</w:t>
            </w:r>
          </w:p>
        </w:tc>
        <w:tc>
          <w:tcPr>
            <w:tcW w:w="10512" w:type="dxa"/>
          </w:tcPr>
          <w:p w14:paraId="7B2422C2" w14:textId="47848A06" w:rsidR="00310848" w:rsidRPr="00150CD2" w:rsidRDefault="00310848" w:rsidP="0039393C">
            <w:pPr>
              <w:pStyle w:val="EYTablebullet1"/>
              <w:spacing w:before="0" w:after="120"/>
              <w:rPr>
                <w:rFonts w:cs="Arial"/>
                <w:sz w:val="24"/>
              </w:rPr>
            </w:pPr>
            <w:r w:rsidRPr="00150CD2">
              <w:rPr>
                <w:rFonts w:cs="Arial"/>
                <w:sz w:val="24"/>
              </w:rPr>
              <w:t xml:space="preserve">6% of DSS children aged 10-14 were involved in offences </w:t>
            </w:r>
            <w:r w:rsidR="00302B8D" w:rsidRPr="00150CD2">
              <w:rPr>
                <w:rFonts w:cs="Arial"/>
                <w:sz w:val="24"/>
              </w:rPr>
              <w:t xml:space="preserve">recorded by Police </w:t>
            </w:r>
            <w:r w:rsidRPr="00150CD2">
              <w:rPr>
                <w:rFonts w:cs="Arial"/>
                <w:sz w:val="24"/>
              </w:rPr>
              <w:t>over the 3 year period</w:t>
            </w:r>
            <w:r w:rsidR="00975542" w:rsidRPr="00150CD2">
              <w:rPr>
                <w:rFonts w:cs="Arial"/>
                <w:sz w:val="24"/>
              </w:rPr>
              <w:t xml:space="preserve">, with </w:t>
            </w:r>
            <w:r w:rsidRPr="00150CD2">
              <w:rPr>
                <w:rFonts w:cs="Arial"/>
                <w:sz w:val="24"/>
              </w:rPr>
              <w:t xml:space="preserve">3% of </w:t>
            </w:r>
            <w:r w:rsidR="00975542" w:rsidRPr="00150CD2">
              <w:rPr>
                <w:rFonts w:cs="Arial"/>
                <w:sz w:val="24"/>
              </w:rPr>
              <w:t xml:space="preserve">DSS children aged 10-14 </w:t>
            </w:r>
            <w:r w:rsidRPr="00150CD2">
              <w:rPr>
                <w:rFonts w:cs="Arial"/>
                <w:sz w:val="24"/>
              </w:rPr>
              <w:t>involved in high</w:t>
            </w:r>
            <w:r w:rsidR="00302B8D" w:rsidRPr="00150CD2">
              <w:rPr>
                <w:rFonts w:cs="Arial"/>
                <w:sz w:val="24"/>
              </w:rPr>
              <w:t>-</w:t>
            </w:r>
            <w:r w:rsidR="00C038E3" w:rsidRPr="00150CD2">
              <w:rPr>
                <w:rFonts w:cs="Arial"/>
                <w:sz w:val="24"/>
              </w:rPr>
              <w:t xml:space="preserve">seriousness </w:t>
            </w:r>
            <w:r w:rsidRPr="00150CD2">
              <w:rPr>
                <w:rFonts w:cs="Arial"/>
                <w:sz w:val="24"/>
              </w:rPr>
              <w:t>offending</w:t>
            </w:r>
            <w:r w:rsidR="008C7B3C" w:rsidRPr="00150CD2">
              <w:rPr>
                <w:rStyle w:val="FootnoteReference"/>
                <w:rFonts w:ascii="Arial" w:hAnsi="Arial" w:cs="Arial"/>
              </w:rPr>
              <w:footnoteReference w:id="50"/>
            </w:r>
            <w:r w:rsidRPr="00150CD2">
              <w:rPr>
                <w:rFonts w:cs="Arial"/>
                <w:sz w:val="24"/>
              </w:rPr>
              <w:t>. This was higher than for non-DSS children</w:t>
            </w:r>
            <w:r w:rsidR="00975542" w:rsidRPr="00150CD2">
              <w:rPr>
                <w:rFonts w:cs="Arial"/>
                <w:sz w:val="24"/>
              </w:rPr>
              <w:t>, where</w:t>
            </w:r>
            <w:r w:rsidR="008C7B3C" w:rsidRPr="00150CD2">
              <w:rPr>
                <w:rFonts w:cs="Arial"/>
                <w:sz w:val="24"/>
              </w:rPr>
              <w:t xml:space="preserve"> </w:t>
            </w:r>
            <w:r w:rsidRPr="00150CD2">
              <w:rPr>
                <w:rFonts w:cs="Arial"/>
                <w:sz w:val="24"/>
              </w:rPr>
              <w:t xml:space="preserve">4% </w:t>
            </w:r>
            <w:r w:rsidR="00975542" w:rsidRPr="00150CD2">
              <w:rPr>
                <w:rFonts w:cs="Arial"/>
                <w:sz w:val="24"/>
              </w:rPr>
              <w:t xml:space="preserve">were </w:t>
            </w:r>
            <w:r w:rsidRPr="00150CD2">
              <w:rPr>
                <w:rFonts w:cs="Arial"/>
                <w:sz w:val="24"/>
              </w:rPr>
              <w:t>involved in offending over the same period</w:t>
            </w:r>
            <w:r w:rsidR="00975542" w:rsidRPr="00150CD2">
              <w:rPr>
                <w:rFonts w:cs="Arial"/>
                <w:sz w:val="24"/>
              </w:rPr>
              <w:t xml:space="preserve"> and 2% were involved in high</w:t>
            </w:r>
            <w:r w:rsidR="00302B8D" w:rsidRPr="00150CD2">
              <w:rPr>
                <w:rFonts w:cs="Arial"/>
                <w:sz w:val="24"/>
              </w:rPr>
              <w:t>-</w:t>
            </w:r>
            <w:r w:rsidR="00975542" w:rsidRPr="00150CD2">
              <w:rPr>
                <w:rFonts w:cs="Arial"/>
                <w:sz w:val="24"/>
              </w:rPr>
              <w:t>seriousness offending</w:t>
            </w:r>
            <w:r w:rsidRPr="00150CD2">
              <w:rPr>
                <w:rFonts w:cs="Arial"/>
                <w:sz w:val="24"/>
              </w:rPr>
              <w:t>. Most children with offences were male (80%)</w:t>
            </w:r>
            <w:r w:rsidR="007C10CD" w:rsidRPr="00150CD2">
              <w:rPr>
                <w:rFonts w:cs="Arial"/>
                <w:sz w:val="24"/>
              </w:rPr>
              <w:t xml:space="preserve">, reflecting similar </w:t>
            </w:r>
            <w:r w:rsidRPr="00150CD2">
              <w:rPr>
                <w:rFonts w:cs="Arial"/>
                <w:sz w:val="24"/>
              </w:rPr>
              <w:t xml:space="preserve">differences in </w:t>
            </w:r>
            <w:r w:rsidR="007C10CD" w:rsidRPr="00150CD2">
              <w:rPr>
                <w:rFonts w:cs="Arial"/>
                <w:sz w:val="24"/>
              </w:rPr>
              <w:t xml:space="preserve">offending involvement by gender in </w:t>
            </w:r>
            <w:r w:rsidRPr="00150CD2">
              <w:rPr>
                <w:rFonts w:cs="Arial"/>
                <w:sz w:val="24"/>
              </w:rPr>
              <w:t>the broader population.</w:t>
            </w:r>
          </w:p>
          <w:p w14:paraId="34566689" w14:textId="7D6007F6" w:rsidR="00310848" w:rsidRPr="00150CD2" w:rsidRDefault="00310848" w:rsidP="0039393C">
            <w:pPr>
              <w:pStyle w:val="EYTablebullet1"/>
              <w:spacing w:before="0" w:after="120"/>
              <w:rPr>
                <w:rFonts w:cs="Arial"/>
                <w:i/>
                <w:color w:val="C00000"/>
                <w:sz w:val="24"/>
              </w:rPr>
            </w:pPr>
            <w:r w:rsidRPr="00150CD2">
              <w:rPr>
                <w:rFonts w:cs="Arial"/>
                <w:sz w:val="24"/>
              </w:rPr>
              <w:t>Within the DSS child population, offending rates were higher for those with intellectual disability (8%</w:t>
            </w:r>
            <w:r w:rsidR="007C10CD" w:rsidRPr="00150CD2">
              <w:rPr>
                <w:rFonts w:cs="Arial"/>
                <w:sz w:val="24"/>
              </w:rPr>
              <w:t>,compared with</w:t>
            </w:r>
            <w:r w:rsidR="00A52C97" w:rsidRPr="00150CD2">
              <w:rPr>
                <w:rFonts w:cs="Arial"/>
                <w:sz w:val="24"/>
              </w:rPr>
              <w:t xml:space="preserve"> </w:t>
            </w:r>
            <w:r w:rsidRPr="00150CD2">
              <w:rPr>
                <w:rFonts w:cs="Arial"/>
                <w:sz w:val="24"/>
              </w:rPr>
              <w:t xml:space="preserve">4% for those with other disabilities) and slightly higher for those with </w:t>
            </w:r>
            <w:r w:rsidR="00DF5F17" w:rsidRPr="00150CD2">
              <w:rPr>
                <w:rFonts w:cs="Arial"/>
                <w:sz w:val="24"/>
              </w:rPr>
              <w:t>high/very high SPA</w:t>
            </w:r>
            <w:r w:rsidRPr="00150CD2">
              <w:rPr>
                <w:rFonts w:cs="Arial"/>
                <w:sz w:val="24"/>
              </w:rPr>
              <w:t xml:space="preserve"> levels (7%</w:t>
            </w:r>
            <w:r w:rsidR="007C10CD" w:rsidRPr="00150CD2">
              <w:rPr>
                <w:rFonts w:cs="Arial"/>
                <w:sz w:val="24"/>
              </w:rPr>
              <w:t>, compared with</w:t>
            </w:r>
            <w:r w:rsidR="00A52C97" w:rsidRPr="00150CD2">
              <w:rPr>
                <w:rFonts w:cs="Arial"/>
                <w:sz w:val="24"/>
              </w:rPr>
              <w:t xml:space="preserve"> </w:t>
            </w:r>
            <w:r w:rsidRPr="00150CD2">
              <w:rPr>
                <w:rFonts w:cs="Arial"/>
                <w:sz w:val="24"/>
              </w:rPr>
              <w:t xml:space="preserve">5% for those with low/medium SPA levels). </w:t>
            </w:r>
            <w:r w:rsidR="007C10CD" w:rsidRPr="00150CD2">
              <w:rPr>
                <w:rFonts w:cs="Arial"/>
                <w:sz w:val="24"/>
              </w:rPr>
              <w:t xml:space="preserve">Reflecting similar differences within the national population of children and young people, </w:t>
            </w:r>
            <w:r w:rsidRPr="00150CD2">
              <w:rPr>
                <w:rFonts w:cs="Arial"/>
                <w:sz w:val="24"/>
              </w:rPr>
              <w:t xml:space="preserve">offending rates were higher for Māori children (10% </w:t>
            </w:r>
            <w:r w:rsidR="00CA4326" w:rsidRPr="00150CD2">
              <w:rPr>
                <w:rFonts w:cs="Arial"/>
                <w:sz w:val="24"/>
              </w:rPr>
              <w:t>compared with</w:t>
            </w:r>
            <w:r w:rsidRPr="00150CD2">
              <w:rPr>
                <w:rFonts w:cs="Arial"/>
                <w:sz w:val="24"/>
              </w:rPr>
              <w:t xml:space="preserve"> 5% for non-Māori children).</w:t>
            </w:r>
          </w:p>
        </w:tc>
      </w:tr>
      <w:tr w:rsidR="00310848" w:rsidRPr="00150CD2" w14:paraId="59EB3000" w14:textId="77777777" w:rsidTr="00534711">
        <w:tc>
          <w:tcPr>
            <w:tcW w:w="1584" w:type="dxa"/>
            <w:tcBorders>
              <w:bottom w:val="nil"/>
            </w:tcBorders>
          </w:tcPr>
          <w:p w14:paraId="65334C53" w14:textId="77777777" w:rsidR="00310848" w:rsidRPr="00150CD2" w:rsidRDefault="00310848" w:rsidP="0039393C">
            <w:pPr>
              <w:pStyle w:val="EYTableText"/>
              <w:rPr>
                <w:rFonts w:cs="Arial"/>
                <w:sz w:val="24"/>
              </w:rPr>
            </w:pPr>
            <w:r w:rsidRPr="00150CD2">
              <w:rPr>
                <w:rFonts w:cs="Arial"/>
                <w:sz w:val="24"/>
              </w:rPr>
              <w:t>Parents / family / whānau</w:t>
            </w:r>
          </w:p>
        </w:tc>
        <w:tc>
          <w:tcPr>
            <w:tcW w:w="2016" w:type="dxa"/>
          </w:tcPr>
          <w:p w14:paraId="7C040442" w14:textId="77777777" w:rsidR="00310848" w:rsidRPr="00150CD2" w:rsidRDefault="00310848" w:rsidP="0039393C">
            <w:pPr>
              <w:pStyle w:val="EYTableText"/>
              <w:rPr>
                <w:rFonts w:cs="Arial"/>
                <w:sz w:val="24"/>
              </w:rPr>
            </w:pPr>
            <w:r w:rsidRPr="00150CD2">
              <w:rPr>
                <w:rFonts w:cs="Arial"/>
                <w:sz w:val="24"/>
              </w:rPr>
              <w:t>Family units and parental employment</w:t>
            </w:r>
          </w:p>
        </w:tc>
        <w:tc>
          <w:tcPr>
            <w:tcW w:w="10512" w:type="dxa"/>
          </w:tcPr>
          <w:p w14:paraId="2BBE8FDD" w14:textId="24C1A081" w:rsidR="00936B58" w:rsidRPr="00150CD2" w:rsidRDefault="00936B58" w:rsidP="00936B58">
            <w:pPr>
              <w:pStyle w:val="EYTableText"/>
              <w:spacing w:before="0" w:after="120"/>
              <w:rPr>
                <w:rFonts w:cs="Arial"/>
                <w:i/>
                <w:iCs/>
                <w:sz w:val="24"/>
              </w:rPr>
            </w:pPr>
            <w:r w:rsidRPr="00150CD2">
              <w:rPr>
                <w:rFonts w:cs="Arial"/>
                <w:i/>
                <w:iCs/>
                <w:sz w:val="24"/>
              </w:rPr>
              <w:t xml:space="preserve">The following observations around family units should be treated as estimates and care taken in interpretation, due to limitations around the coverage of relationship records in administrative data. Refer to </w:t>
            </w:r>
            <w:r w:rsidRPr="00150CD2">
              <w:rPr>
                <w:rFonts w:cs="Arial"/>
                <w:i/>
                <w:iCs/>
                <w:sz w:val="24"/>
              </w:rPr>
              <w:fldChar w:fldCharType="begin"/>
            </w:r>
            <w:r w:rsidRPr="00150CD2">
              <w:rPr>
                <w:rFonts w:cs="Arial"/>
                <w:i/>
                <w:iCs/>
                <w:sz w:val="24"/>
              </w:rPr>
              <w:instrText xml:space="preserve"> REF _Ref44353599 \r \h  \* MERGEFORMAT </w:instrText>
            </w:r>
            <w:r w:rsidRPr="00150CD2">
              <w:rPr>
                <w:rFonts w:cs="Arial"/>
                <w:i/>
                <w:iCs/>
                <w:sz w:val="24"/>
              </w:rPr>
            </w:r>
            <w:r w:rsidRPr="00150CD2">
              <w:rPr>
                <w:rFonts w:cs="Arial"/>
                <w:i/>
                <w:iCs/>
                <w:sz w:val="24"/>
              </w:rPr>
              <w:fldChar w:fldCharType="separate"/>
            </w:r>
            <w:r w:rsidR="00053D9A" w:rsidRPr="00150CD2">
              <w:rPr>
                <w:rFonts w:cs="Arial"/>
                <w:i/>
                <w:iCs/>
                <w:sz w:val="24"/>
              </w:rPr>
              <w:t>Appendix D</w:t>
            </w:r>
            <w:r w:rsidRPr="00150CD2">
              <w:rPr>
                <w:rFonts w:cs="Arial"/>
                <w:i/>
                <w:iCs/>
                <w:sz w:val="24"/>
              </w:rPr>
              <w:fldChar w:fldCharType="end"/>
            </w:r>
            <w:r w:rsidRPr="00150CD2">
              <w:rPr>
                <w:rFonts w:cs="Arial"/>
                <w:i/>
                <w:iCs/>
                <w:sz w:val="24"/>
              </w:rPr>
              <w:t xml:space="preserve"> for further information.</w:t>
            </w:r>
          </w:p>
          <w:p w14:paraId="41245EB3" w14:textId="11560BC9" w:rsidR="00310848" w:rsidRPr="00150CD2" w:rsidRDefault="00310848" w:rsidP="0039393C">
            <w:pPr>
              <w:pStyle w:val="EYTableText"/>
              <w:spacing w:before="0" w:after="120"/>
              <w:rPr>
                <w:rFonts w:cs="Arial"/>
                <w:sz w:val="24"/>
              </w:rPr>
            </w:pPr>
            <w:r w:rsidRPr="00150CD2">
              <w:rPr>
                <w:rFonts w:cs="Arial"/>
                <w:sz w:val="24"/>
              </w:rPr>
              <w:t>For 5-14 year old DSS children at June 2018:</w:t>
            </w:r>
          </w:p>
          <w:p w14:paraId="2B51C348" w14:textId="662497D6" w:rsidR="00310848" w:rsidRPr="00150CD2" w:rsidRDefault="00310848" w:rsidP="0039393C">
            <w:pPr>
              <w:pStyle w:val="EYTablebullet1"/>
              <w:spacing w:before="0" w:after="120"/>
              <w:rPr>
                <w:rFonts w:cs="Arial"/>
                <w:sz w:val="24"/>
              </w:rPr>
            </w:pPr>
            <w:r w:rsidRPr="00150CD2">
              <w:rPr>
                <w:rFonts w:cs="Arial"/>
                <w:sz w:val="24"/>
              </w:rPr>
              <w:t xml:space="preserve">Just under 60% live with two parents/caregivers; 42% live with sole parents. </w:t>
            </w:r>
            <w:r w:rsidRPr="00150CD2">
              <w:rPr>
                <w:rFonts w:cs="Arial"/>
                <w:sz w:val="24"/>
              </w:rPr>
              <w:br/>
              <w:t>The proportion of this group supported by a sole parent/caregiver is higher than for non-DSS 5-14 year old children (around 30%). Children in this age group supported by sole parents were much more likely to require income support for some/all of the 3 year period.</w:t>
            </w:r>
          </w:p>
          <w:p w14:paraId="7ABD7B38" w14:textId="5ED2473B" w:rsidR="00310848" w:rsidRPr="00150CD2" w:rsidRDefault="00310848" w:rsidP="0039393C">
            <w:pPr>
              <w:pStyle w:val="EYTablebullet1"/>
              <w:spacing w:before="0" w:after="120"/>
              <w:rPr>
                <w:rFonts w:cs="Arial"/>
                <w:sz w:val="24"/>
              </w:rPr>
            </w:pPr>
            <w:r w:rsidRPr="00150CD2">
              <w:rPr>
                <w:rFonts w:cs="Arial"/>
                <w:sz w:val="24"/>
              </w:rPr>
              <w:t xml:space="preserve">The proportion of DSS children supported by two parents/caregivers and two incomes is lower than for the non-DSS child population </w:t>
            </w:r>
            <w:r w:rsidR="00A01006" w:rsidRPr="00150CD2">
              <w:rPr>
                <w:rFonts w:cs="Arial"/>
                <w:sz w:val="24"/>
              </w:rPr>
              <w:t>–</w:t>
            </w:r>
            <w:r w:rsidRPr="00150CD2">
              <w:rPr>
                <w:rFonts w:cs="Arial"/>
                <w:sz w:val="24"/>
              </w:rPr>
              <w:t xml:space="preserve"> 27% compared with 39% for the broader </w:t>
            </w:r>
            <w:r w:rsidR="007C10CD" w:rsidRPr="00150CD2">
              <w:rPr>
                <w:rFonts w:cs="Arial"/>
                <w:sz w:val="24"/>
              </w:rPr>
              <w:t xml:space="preserve">non-DSS </w:t>
            </w:r>
            <w:r w:rsidRPr="00150CD2">
              <w:rPr>
                <w:rFonts w:cs="Arial"/>
                <w:sz w:val="24"/>
              </w:rPr>
              <w:t xml:space="preserve">child population. 39% of DSS children had one parent with employment income (compared to 40% of non-DSS children) and 34% had no parents with employment income (compared with 21% of non-DSS children). </w:t>
            </w:r>
          </w:p>
          <w:p w14:paraId="522CF9EB" w14:textId="77777777" w:rsidR="00310848" w:rsidRPr="00150CD2" w:rsidRDefault="00310848" w:rsidP="0039393C">
            <w:pPr>
              <w:pStyle w:val="EYTableText"/>
              <w:spacing w:before="0" w:after="120"/>
              <w:rPr>
                <w:rFonts w:cs="Arial"/>
                <w:sz w:val="24"/>
              </w:rPr>
            </w:pPr>
            <w:r w:rsidRPr="00150CD2">
              <w:rPr>
                <w:rFonts w:cs="Arial"/>
                <w:sz w:val="24"/>
              </w:rPr>
              <w:t>Examining household transitions over a 3 year period from June 2015 to June 2018, for children aged 5-14 at June 2015:</w:t>
            </w:r>
          </w:p>
          <w:p w14:paraId="227C9FD6" w14:textId="77777777" w:rsidR="00310848" w:rsidRPr="00150CD2" w:rsidRDefault="00310848" w:rsidP="0039393C">
            <w:pPr>
              <w:pStyle w:val="EYTablebullet1"/>
              <w:spacing w:before="0" w:after="120"/>
              <w:rPr>
                <w:rFonts w:cs="Arial"/>
                <w:sz w:val="24"/>
              </w:rPr>
            </w:pPr>
            <w:r w:rsidRPr="00150CD2">
              <w:rPr>
                <w:rFonts w:cs="Arial"/>
                <w:sz w:val="24"/>
              </w:rPr>
              <w:t>DSS children supported by a sole parent with no employment income were more likely to remain in the same circumstances over time. For sole parents without employment income caring for disabled children aged 5-14, 84% were still in the same circumstances after 3 years, compared with 70% of other sole parents of similarly aged children.</w:t>
            </w:r>
          </w:p>
          <w:p w14:paraId="220CAB10" w14:textId="77777777" w:rsidR="00310848" w:rsidRPr="00150CD2" w:rsidRDefault="00310848" w:rsidP="0039393C">
            <w:pPr>
              <w:pStyle w:val="EYTablebullet1"/>
              <w:spacing w:before="0" w:after="120"/>
              <w:rPr>
                <w:rFonts w:cs="Arial"/>
                <w:sz w:val="24"/>
              </w:rPr>
            </w:pPr>
            <w:r w:rsidRPr="00150CD2">
              <w:rPr>
                <w:rFonts w:cs="Arial"/>
                <w:sz w:val="24"/>
              </w:rPr>
              <w:t>DSS children linked to two parents/caregivers with one parent having employment income were more likely to continue to be supported by one parent’s income at the end of the period (66% compared to 58% for non-DSS children). In other words, full time caring parents were less likely to return to employment over the period.</w:t>
            </w:r>
          </w:p>
          <w:p w14:paraId="5B0B41E1" w14:textId="77777777" w:rsidR="00310848" w:rsidRPr="00150CD2" w:rsidRDefault="00310848" w:rsidP="0039393C">
            <w:pPr>
              <w:pStyle w:val="EYTablebullet1"/>
              <w:spacing w:before="0" w:after="120"/>
              <w:rPr>
                <w:rFonts w:cs="Arial"/>
                <w:sz w:val="24"/>
              </w:rPr>
            </w:pPr>
            <w:r w:rsidRPr="00150CD2">
              <w:rPr>
                <w:rFonts w:cs="Arial"/>
                <w:sz w:val="24"/>
              </w:rPr>
              <w:t xml:space="preserve">In contrast to younger children, 5-14 year olds supported by two parent/caregiver incomes had a similar likelihood of remaining with two parent incomes at the end of the period as non-DSS children. </w:t>
            </w:r>
          </w:p>
        </w:tc>
      </w:tr>
      <w:tr w:rsidR="00310848" w:rsidRPr="00150CD2" w14:paraId="57FF7CA8" w14:textId="77777777" w:rsidTr="00534711">
        <w:tc>
          <w:tcPr>
            <w:tcW w:w="1584" w:type="dxa"/>
            <w:tcBorders>
              <w:top w:val="nil"/>
            </w:tcBorders>
          </w:tcPr>
          <w:p w14:paraId="2E9D52FB" w14:textId="77777777" w:rsidR="00310848" w:rsidRPr="00150CD2" w:rsidRDefault="00310848" w:rsidP="0039393C">
            <w:pPr>
              <w:pStyle w:val="EYTableText"/>
              <w:rPr>
                <w:rFonts w:cs="Arial"/>
                <w:sz w:val="24"/>
              </w:rPr>
            </w:pPr>
          </w:p>
        </w:tc>
        <w:tc>
          <w:tcPr>
            <w:tcW w:w="2016" w:type="dxa"/>
          </w:tcPr>
          <w:p w14:paraId="64853EFF" w14:textId="77777777" w:rsidR="00310848" w:rsidRPr="00150CD2" w:rsidRDefault="00310848" w:rsidP="0039393C">
            <w:pPr>
              <w:pStyle w:val="EYTableText"/>
              <w:rPr>
                <w:rFonts w:cs="Arial"/>
                <w:sz w:val="24"/>
              </w:rPr>
            </w:pPr>
            <w:r w:rsidRPr="00150CD2">
              <w:rPr>
                <w:rFonts w:cs="Arial"/>
                <w:sz w:val="24"/>
              </w:rPr>
              <w:t>Benefit income support, social housing and address changes</w:t>
            </w:r>
          </w:p>
        </w:tc>
        <w:tc>
          <w:tcPr>
            <w:tcW w:w="10512" w:type="dxa"/>
          </w:tcPr>
          <w:p w14:paraId="66CEB857" w14:textId="13EBE748" w:rsidR="00310848" w:rsidRPr="00150CD2" w:rsidRDefault="00310848" w:rsidP="00DC0A63">
            <w:pPr>
              <w:pStyle w:val="EYTablebullet1"/>
              <w:keepLines/>
              <w:spacing w:before="0" w:after="120"/>
              <w:ind w:left="288" w:hanging="288"/>
              <w:rPr>
                <w:rFonts w:cs="Arial"/>
                <w:sz w:val="24"/>
              </w:rPr>
            </w:pPr>
            <w:r w:rsidRPr="00150CD2">
              <w:rPr>
                <w:rFonts w:cs="Arial"/>
                <w:sz w:val="24"/>
              </w:rPr>
              <w:t>Around 1 in 3 were supported on a main benefit at some point over the 3 year period, and 17% had a parent who received sole parent support for some/all of the period. Overall benefit support rates were higher than for other similarly aged children in N</w:t>
            </w:r>
            <w:r w:rsidR="007C10CD" w:rsidRPr="00150CD2">
              <w:rPr>
                <w:rFonts w:cs="Arial"/>
                <w:sz w:val="24"/>
              </w:rPr>
              <w:t xml:space="preserve">ew </w:t>
            </w:r>
            <w:r w:rsidRPr="00150CD2">
              <w:rPr>
                <w:rFonts w:cs="Arial"/>
                <w:sz w:val="24"/>
              </w:rPr>
              <w:t>Z</w:t>
            </w:r>
            <w:r w:rsidR="007C10CD" w:rsidRPr="00150CD2">
              <w:rPr>
                <w:rFonts w:cs="Arial"/>
                <w:sz w:val="24"/>
              </w:rPr>
              <w:t>ealand</w:t>
            </w:r>
            <w:r w:rsidRPr="00150CD2">
              <w:rPr>
                <w:rFonts w:cs="Arial"/>
                <w:sz w:val="24"/>
              </w:rPr>
              <w:t xml:space="preserve"> (where around 23% were supported on a main benefit at some point over the 3 years).</w:t>
            </w:r>
          </w:p>
          <w:p w14:paraId="2382DD8A" w14:textId="77777777" w:rsidR="00310848" w:rsidRPr="00150CD2" w:rsidRDefault="00310848" w:rsidP="00DC0A63">
            <w:pPr>
              <w:pStyle w:val="EYTablebullet1"/>
              <w:keepLines/>
              <w:spacing w:before="0" w:after="120"/>
              <w:ind w:left="288" w:hanging="288"/>
              <w:rPr>
                <w:rFonts w:cs="Arial"/>
                <w:sz w:val="24"/>
              </w:rPr>
            </w:pPr>
            <w:r w:rsidRPr="00150CD2">
              <w:rPr>
                <w:rFonts w:cs="Arial"/>
                <w:sz w:val="24"/>
              </w:rPr>
              <w:t>13% of children lived in social housing for some/all of the period while 6% were ‘priority A’ or ‘B’ on the social housing register. These rates were higher than for the non-DSS child population (8% in social housing, 3% on the priority social housing register).</w:t>
            </w:r>
          </w:p>
          <w:p w14:paraId="6E79BB3D" w14:textId="002A6F00" w:rsidR="00310848" w:rsidRPr="00150CD2" w:rsidRDefault="00310848" w:rsidP="00DC0A63">
            <w:pPr>
              <w:pStyle w:val="EYTablebullet1"/>
              <w:keepLines/>
              <w:spacing w:before="0" w:after="120"/>
              <w:ind w:left="288" w:hanging="288"/>
              <w:rPr>
                <w:rFonts w:cs="Arial"/>
                <w:sz w:val="24"/>
              </w:rPr>
            </w:pPr>
            <w:r w:rsidRPr="00150CD2">
              <w:rPr>
                <w:rFonts w:cs="Arial"/>
                <w:sz w:val="24"/>
              </w:rPr>
              <w:t xml:space="preserve">Address changes over the period were at </w:t>
            </w:r>
            <w:r w:rsidR="009E4F58" w:rsidRPr="00150CD2">
              <w:rPr>
                <w:rFonts w:cs="Arial"/>
                <w:sz w:val="24"/>
              </w:rPr>
              <w:t xml:space="preserve">rates </w:t>
            </w:r>
            <w:r w:rsidRPr="00150CD2">
              <w:rPr>
                <w:rFonts w:cs="Arial"/>
                <w:sz w:val="24"/>
              </w:rPr>
              <w:t>broadly similar to other 5-14 year olds in N</w:t>
            </w:r>
            <w:r w:rsidR="007C10CD" w:rsidRPr="00150CD2">
              <w:rPr>
                <w:rFonts w:cs="Arial"/>
                <w:sz w:val="24"/>
              </w:rPr>
              <w:t xml:space="preserve">ew </w:t>
            </w:r>
            <w:r w:rsidRPr="00150CD2">
              <w:rPr>
                <w:rFonts w:cs="Arial"/>
                <w:sz w:val="24"/>
              </w:rPr>
              <w:t>Z</w:t>
            </w:r>
            <w:r w:rsidR="007C10CD" w:rsidRPr="00150CD2">
              <w:rPr>
                <w:rFonts w:cs="Arial"/>
                <w:sz w:val="24"/>
              </w:rPr>
              <w:t>ealand</w:t>
            </w:r>
            <w:r w:rsidRPr="00150CD2">
              <w:rPr>
                <w:rFonts w:cs="Arial"/>
                <w:sz w:val="24"/>
              </w:rPr>
              <w:t xml:space="preserve"> (43% changed address over a 3 year period, with 18% reporting 3 or more address changes)</w:t>
            </w:r>
          </w:p>
          <w:p w14:paraId="4F1117A2" w14:textId="5520328C" w:rsidR="00310848" w:rsidRPr="00150CD2" w:rsidRDefault="00310848" w:rsidP="00DC0A63">
            <w:pPr>
              <w:pStyle w:val="EYTablebullet1"/>
              <w:keepLines/>
              <w:spacing w:before="0" w:after="120"/>
              <w:ind w:left="288" w:hanging="288"/>
              <w:rPr>
                <w:rFonts w:cs="Arial"/>
                <w:sz w:val="24"/>
              </w:rPr>
            </w:pPr>
            <w:r w:rsidRPr="00150CD2">
              <w:rPr>
                <w:rFonts w:cs="Arial"/>
                <w:sz w:val="24"/>
              </w:rPr>
              <w:t xml:space="preserve">A significant proportion (35%) of DSS children aged 5-14 had parents/caregivers who drew on </w:t>
            </w:r>
            <w:r w:rsidR="00863216" w:rsidRPr="00150CD2">
              <w:rPr>
                <w:rFonts w:cs="Arial"/>
                <w:sz w:val="24"/>
              </w:rPr>
              <w:t xml:space="preserve">third-tier </w:t>
            </w:r>
            <w:r w:rsidRPr="00150CD2">
              <w:rPr>
                <w:rFonts w:cs="Arial"/>
                <w:sz w:val="24"/>
              </w:rPr>
              <w:t>MSD support payments</w:t>
            </w:r>
            <w:r w:rsidR="001E5F4B" w:rsidRPr="00150CD2">
              <w:rPr>
                <w:rStyle w:val="FootnoteReference"/>
                <w:rFonts w:ascii="Arial" w:hAnsi="Arial" w:cs="Arial"/>
                <w:sz w:val="24"/>
                <w:szCs w:val="24"/>
              </w:rPr>
              <w:footnoteReference w:id="51"/>
            </w:r>
            <w:r w:rsidRPr="00150CD2">
              <w:rPr>
                <w:rFonts w:cs="Arial"/>
                <w:sz w:val="24"/>
              </w:rPr>
              <w:t xml:space="preserve"> over the 3 year period, higher than for other 5-14 year old children (24%).</w:t>
            </w:r>
          </w:p>
          <w:p w14:paraId="5DC48115" w14:textId="59F71541" w:rsidR="00310848" w:rsidRPr="00150CD2" w:rsidRDefault="00310848" w:rsidP="00DC0A63">
            <w:pPr>
              <w:pStyle w:val="EYTablebullet1"/>
              <w:keepLines/>
              <w:spacing w:before="0" w:after="120"/>
              <w:ind w:left="288" w:hanging="288"/>
              <w:rPr>
                <w:rFonts w:cs="Arial"/>
                <w:sz w:val="24"/>
              </w:rPr>
            </w:pPr>
            <w:r w:rsidRPr="00150CD2">
              <w:rPr>
                <w:rFonts w:cs="Arial"/>
                <w:sz w:val="24"/>
              </w:rPr>
              <w:t xml:space="preserve">84% of </w:t>
            </w:r>
            <w:r w:rsidR="007C10CD" w:rsidRPr="00150CD2">
              <w:rPr>
                <w:rFonts w:cs="Arial"/>
                <w:sz w:val="24"/>
              </w:rPr>
              <w:t xml:space="preserve">DSS </w:t>
            </w:r>
            <w:r w:rsidRPr="00150CD2">
              <w:rPr>
                <w:rFonts w:cs="Arial"/>
                <w:sz w:val="24"/>
              </w:rPr>
              <w:t xml:space="preserve">children were linked to </w:t>
            </w:r>
            <w:r w:rsidR="00152FB8" w:rsidRPr="00150CD2">
              <w:rPr>
                <w:rFonts w:cs="Arial"/>
                <w:sz w:val="24"/>
              </w:rPr>
              <w:t xml:space="preserve">MSD </w:t>
            </w:r>
            <w:r w:rsidRPr="00150CD2">
              <w:rPr>
                <w:rFonts w:cs="Arial"/>
                <w:sz w:val="24"/>
              </w:rPr>
              <w:t>Child Disability Allowance payments.</w:t>
            </w:r>
            <w:r w:rsidR="00152FB8" w:rsidRPr="00150CD2">
              <w:rPr>
                <w:rFonts w:cs="Arial"/>
                <w:sz w:val="24"/>
              </w:rPr>
              <w:t xml:space="preserve"> The Child Disability Allowance is a fortnightly payment made to the main carer of a child or young person with a serious disability. It is paid in recognition of the extra care and attention needed for that child.</w:t>
            </w:r>
            <w:r w:rsidR="00152FB8" w:rsidRPr="00150CD2">
              <w:rPr>
                <w:rStyle w:val="FootnoteReference"/>
                <w:rFonts w:ascii="Arial" w:hAnsi="Arial" w:cs="Arial"/>
                <w:sz w:val="24"/>
                <w:szCs w:val="24"/>
              </w:rPr>
              <w:footnoteReference w:id="52"/>
            </w:r>
          </w:p>
          <w:p w14:paraId="5698FDA9" w14:textId="2783E307" w:rsidR="00310848" w:rsidRPr="00150CD2" w:rsidRDefault="00310848" w:rsidP="00DC0A63">
            <w:pPr>
              <w:pStyle w:val="EYTablebullet1"/>
              <w:keepLines/>
              <w:spacing w:before="0" w:after="120"/>
              <w:ind w:left="288" w:hanging="288"/>
              <w:rPr>
                <w:rFonts w:cs="Arial"/>
                <w:sz w:val="24"/>
              </w:rPr>
            </w:pPr>
            <w:r w:rsidRPr="00150CD2">
              <w:rPr>
                <w:rFonts w:cs="Arial"/>
                <w:sz w:val="24"/>
              </w:rPr>
              <w:t xml:space="preserve">6% of </w:t>
            </w:r>
            <w:r w:rsidR="007C10CD" w:rsidRPr="00150CD2">
              <w:rPr>
                <w:rFonts w:cs="Arial"/>
                <w:sz w:val="24"/>
              </w:rPr>
              <w:t xml:space="preserve">DSS </w:t>
            </w:r>
            <w:r w:rsidRPr="00150CD2">
              <w:rPr>
                <w:rFonts w:cs="Arial"/>
                <w:sz w:val="24"/>
              </w:rPr>
              <w:t xml:space="preserve">children were linked to </w:t>
            </w:r>
            <w:r w:rsidR="00152FB8" w:rsidRPr="00150CD2">
              <w:rPr>
                <w:rFonts w:cs="Arial"/>
                <w:sz w:val="24"/>
              </w:rPr>
              <w:t xml:space="preserve">MSD </w:t>
            </w:r>
            <w:r w:rsidRPr="00150CD2">
              <w:rPr>
                <w:rFonts w:cs="Arial"/>
                <w:sz w:val="24"/>
              </w:rPr>
              <w:t>Unsupported Child Benefit payments – these children are living with caregivers other than their parent(s) for a sustained period of time. The national average for children aged 5-14 was 2%.</w:t>
            </w:r>
          </w:p>
          <w:p w14:paraId="46481FF9" w14:textId="76F11515" w:rsidR="00310848" w:rsidRPr="00150CD2" w:rsidRDefault="00310848" w:rsidP="00DC0A63">
            <w:pPr>
              <w:pStyle w:val="EYTablebullet1"/>
              <w:keepLines/>
              <w:spacing w:before="0" w:after="120"/>
              <w:ind w:left="288" w:hanging="288"/>
              <w:rPr>
                <w:rFonts w:cs="Arial"/>
                <w:sz w:val="24"/>
              </w:rPr>
            </w:pPr>
            <w:r w:rsidRPr="00150CD2">
              <w:rPr>
                <w:rFonts w:cs="Arial"/>
                <w:sz w:val="24"/>
              </w:rPr>
              <w:t xml:space="preserve">36% </w:t>
            </w:r>
            <w:r w:rsidR="007C10CD" w:rsidRPr="00150CD2">
              <w:rPr>
                <w:rFonts w:cs="Arial"/>
                <w:sz w:val="24"/>
              </w:rPr>
              <w:t xml:space="preserve">of DSS children </w:t>
            </w:r>
            <w:r w:rsidRPr="00150CD2">
              <w:rPr>
                <w:rFonts w:cs="Arial"/>
                <w:sz w:val="24"/>
              </w:rPr>
              <w:t xml:space="preserve">had parents/caregivers in receipt of Accommodation Supplement and 14% received Temporary </w:t>
            </w:r>
            <w:r w:rsidR="00864253" w:rsidRPr="00150CD2">
              <w:rPr>
                <w:rFonts w:cs="Arial"/>
                <w:sz w:val="24"/>
              </w:rPr>
              <w:t>Additional Support</w:t>
            </w:r>
            <w:r w:rsidRPr="00150CD2">
              <w:rPr>
                <w:rFonts w:cs="Arial"/>
                <w:sz w:val="24"/>
              </w:rPr>
              <w:t>.</w:t>
            </w:r>
          </w:p>
        </w:tc>
      </w:tr>
    </w:tbl>
    <w:p w14:paraId="3C40439B" w14:textId="00C48FDE" w:rsidR="008C7B3C" w:rsidRPr="00150CD2" w:rsidRDefault="008C7B3C" w:rsidP="008C7B3C">
      <w:pPr>
        <w:pStyle w:val="EYTableText"/>
        <w:rPr>
          <w:rFonts w:cs="Arial"/>
          <w:sz w:val="24"/>
        </w:rPr>
      </w:pPr>
    </w:p>
    <w:p w14:paraId="0FCFE9EE" w14:textId="77777777" w:rsidR="008C7B3C" w:rsidRPr="00150CD2" w:rsidRDefault="008C7B3C">
      <w:pPr>
        <w:autoSpaceDE/>
        <w:autoSpaceDN/>
        <w:adjustRightInd/>
        <w:rPr>
          <w:rFonts w:cs="Arial"/>
          <w:sz w:val="24"/>
          <w:szCs w:val="24"/>
        </w:rPr>
      </w:pPr>
      <w:r w:rsidRPr="00150CD2">
        <w:rPr>
          <w:rFonts w:cs="Arial"/>
          <w:sz w:val="24"/>
        </w:rPr>
        <w:br w:type="page"/>
      </w:r>
    </w:p>
    <w:p w14:paraId="57294521" w14:textId="5C6E5B78" w:rsidR="00310848" w:rsidRPr="00150CD2" w:rsidRDefault="00310848" w:rsidP="0035354B">
      <w:pPr>
        <w:pStyle w:val="EYAppendixHeading2"/>
        <w:numPr>
          <w:ilvl w:val="0"/>
          <w:numId w:val="62"/>
        </w:numPr>
        <w:rPr>
          <w:rFonts w:cs="Arial"/>
          <w:lang w:val="en-NZ"/>
        </w:rPr>
      </w:pPr>
      <w:r w:rsidRPr="00150CD2">
        <w:rPr>
          <w:rFonts w:cs="Arial"/>
          <w:lang w:val="en-NZ"/>
        </w:rPr>
        <w:t xml:space="preserve">Young </w:t>
      </w:r>
      <w:r w:rsidRPr="0035354B">
        <w:rPr>
          <w:rFonts w:cs="Arial"/>
        </w:rPr>
        <w:t>people</w:t>
      </w:r>
      <w:r w:rsidRPr="00150CD2">
        <w:rPr>
          <w:rFonts w:cs="Arial"/>
          <w:lang w:val="en-NZ"/>
        </w:rPr>
        <w:t xml:space="preserve"> aged 15-24 years</w:t>
      </w:r>
    </w:p>
    <w:p w14:paraId="2E2DE29C" w14:textId="6E98C5A7" w:rsidR="00771834" w:rsidRPr="00150CD2" w:rsidRDefault="00310848" w:rsidP="00771834">
      <w:pPr>
        <w:pStyle w:val="EYSubheading"/>
        <w:rPr>
          <w:rFonts w:cs="Arial"/>
        </w:rPr>
      </w:pPr>
      <w:r w:rsidRPr="00150CD2">
        <w:rPr>
          <w:rFonts w:cs="Arial"/>
        </w:rPr>
        <w:t>Key transitions: The disabled young person is progressing through high school/vocational training, progressing through teenage years and embarking on adult life. Some transition into different living situations, while others continue to live with family. Parents and family/whānau supporting young people through key development and transition years.</w:t>
      </w:r>
    </w:p>
    <w:p w14:paraId="00BE00E2" w14:textId="268CE2C8" w:rsidR="00A01006" w:rsidRPr="00150CD2" w:rsidRDefault="00A01006" w:rsidP="00A01006">
      <w:pPr>
        <w:pStyle w:val="EYBodytextwithparaspace"/>
        <w:rPr>
          <w:rFonts w:cs="Arial"/>
          <w:lang w:eastAsia="en-AU"/>
        </w:rPr>
      </w:pPr>
      <w:r w:rsidRPr="00150CD2">
        <w:rPr>
          <w:rFonts w:cs="Arial"/>
          <w:lang w:eastAsia="en-AU"/>
        </w:rPr>
        <w:t xml:space="preserve">At 30 June 2018 there were </w:t>
      </w:r>
      <w:r w:rsidR="00972B50" w:rsidRPr="00150CD2">
        <w:rPr>
          <w:rFonts w:cs="Arial"/>
          <w:lang w:eastAsia="en-AU"/>
        </w:rPr>
        <w:t xml:space="preserve">around </w:t>
      </w:r>
      <w:r w:rsidRPr="00150CD2">
        <w:rPr>
          <w:rFonts w:cs="Arial"/>
          <w:lang w:eastAsia="en-AU"/>
        </w:rPr>
        <w:t>7,</w:t>
      </w:r>
      <w:r w:rsidR="00972B50" w:rsidRPr="00150CD2">
        <w:rPr>
          <w:rFonts w:cs="Arial"/>
          <w:lang w:eastAsia="en-AU"/>
        </w:rPr>
        <w:t>500</w:t>
      </w:r>
      <w:r w:rsidRPr="00150CD2">
        <w:rPr>
          <w:rFonts w:cs="Arial"/>
          <w:lang w:eastAsia="en-AU"/>
        </w:rPr>
        <w:t xml:space="preserve"> young people aged 15-24 allocated DSS funding over the year to 30 June 2018 in New Zealand. Key demographic and socioeconomic characteristics are summarised below.</w:t>
      </w:r>
    </w:p>
    <w:p w14:paraId="14348597" w14:textId="4BBE2D1F" w:rsidR="00A01006" w:rsidRPr="00150CD2" w:rsidRDefault="00A01006" w:rsidP="00A01006">
      <w:pPr>
        <w:pStyle w:val="EYBulletedText1"/>
        <w:rPr>
          <w:rFonts w:cs="Arial"/>
          <w:szCs w:val="20"/>
          <w:lang w:eastAsia="en-AU"/>
        </w:rPr>
      </w:pPr>
      <w:r w:rsidRPr="00150CD2">
        <w:rPr>
          <w:rFonts w:cs="Arial"/>
          <w:szCs w:val="20"/>
          <w:lang w:eastAsia="en-AU"/>
        </w:rPr>
        <w:t>The majority have Intellectual (</w:t>
      </w:r>
      <w:r w:rsidR="00972B50" w:rsidRPr="00150CD2">
        <w:rPr>
          <w:rFonts w:cs="Arial"/>
          <w:szCs w:val="20"/>
          <w:lang w:eastAsia="en-AU"/>
        </w:rPr>
        <w:t>55</w:t>
      </w:r>
      <w:r w:rsidRPr="00150CD2">
        <w:rPr>
          <w:rFonts w:cs="Arial"/>
          <w:szCs w:val="20"/>
          <w:lang w:eastAsia="en-AU"/>
        </w:rPr>
        <w:t>%) or Autism Spectrum Disorder (3</w:t>
      </w:r>
      <w:r w:rsidR="00972B50" w:rsidRPr="00150CD2">
        <w:rPr>
          <w:rFonts w:cs="Arial"/>
          <w:szCs w:val="20"/>
          <w:lang w:eastAsia="en-AU"/>
        </w:rPr>
        <w:t>3</w:t>
      </w:r>
      <w:r w:rsidRPr="00150CD2">
        <w:rPr>
          <w:rFonts w:cs="Arial"/>
          <w:szCs w:val="20"/>
          <w:lang w:eastAsia="en-AU"/>
        </w:rPr>
        <w:t xml:space="preserve">%) as their </w:t>
      </w:r>
      <w:r w:rsidR="009E4F58" w:rsidRPr="00150CD2">
        <w:rPr>
          <w:rFonts w:cs="Arial"/>
          <w:szCs w:val="20"/>
          <w:lang w:eastAsia="en-AU"/>
        </w:rPr>
        <w:t>prioritised</w:t>
      </w:r>
      <w:r w:rsidRPr="00150CD2">
        <w:rPr>
          <w:rFonts w:cs="Arial"/>
          <w:szCs w:val="20"/>
          <w:lang w:eastAsia="en-AU"/>
        </w:rPr>
        <w:t xml:space="preserve"> disability, followed by 9% with a physical disability.</w:t>
      </w:r>
    </w:p>
    <w:p w14:paraId="3DF5C122" w14:textId="7D91464B" w:rsidR="00A01006" w:rsidRPr="00150CD2" w:rsidRDefault="00A01006" w:rsidP="00A01006">
      <w:pPr>
        <w:pStyle w:val="EYBulletedText1"/>
        <w:rPr>
          <w:rFonts w:cs="Arial"/>
          <w:szCs w:val="20"/>
          <w:lang w:eastAsia="en-AU"/>
        </w:rPr>
      </w:pPr>
      <w:r w:rsidRPr="00150CD2">
        <w:rPr>
          <w:rFonts w:cs="Arial"/>
          <w:szCs w:val="20"/>
          <w:lang w:eastAsia="en-AU"/>
        </w:rPr>
        <w:t>Respite (8</w:t>
      </w:r>
      <w:r w:rsidR="00AE4EC3" w:rsidRPr="00150CD2">
        <w:rPr>
          <w:rFonts w:cs="Arial"/>
          <w:szCs w:val="20"/>
          <w:lang w:eastAsia="en-AU"/>
        </w:rPr>
        <w:t>5</w:t>
      </w:r>
      <w:r w:rsidRPr="00150CD2">
        <w:rPr>
          <w:rFonts w:cs="Arial"/>
          <w:szCs w:val="20"/>
          <w:lang w:eastAsia="en-AU"/>
        </w:rPr>
        <w:t>%), home and community support (3</w:t>
      </w:r>
      <w:r w:rsidR="00AE4EC3" w:rsidRPr="00150CD2">
        <w:rPr>
          <w:rFonts w:cs="Arial"/>
          <w:szCs w:val="20"/>
          <w:lang w:eastAsia="en-AU"/>
        </w:rPr>
        <w:t>6</w:t>
      </w:r>
      <w:r w:rsidRPr="00150CD2">
        <w:rPr>
          <w:rFonts w:cs="Arial"/>
          <w:szCs w:val="20"/>
          <w:lang w:eastAsia="en-AU"/>
        </w:rPr>
        <w:t>%), behavioural (</w:t>
      </w:r>
      <w:r w:rsidR="00AE4EC3" w:rsidRPr="00150CD2">
        <w:rPr>
          <w:rFonts w:cs="Arial"/>
          <w:szCs w:val="20"/>
          <w:lang w:eastAsia="en-AU"/>
        </w:rPr>
        <w:t>7</w:t>
      </w:r>
      <w:r w:rsidRPr="00150CD2">
        <w:rPr>
          <w:rFonts w:cs="Arial"/>
          <w:szCs w:val="20"/>
          <w:lang w:eastAsia="en-AU"/>
        </w:rPr>
        <w:t>%), supported living (</w:t>
      </w:r>
      <w:r w:rsidR="00AE4EC3" w:rsidRPr="00150CD2">
        <w:rPr>
          <w:rFonts w:cs="Arial"/>
          <w:szCs w:val="20"/>
          <w:lang w:eastAsia="en-AU"/>
        </w:rPr>
        <w:t>8</w:t>
      </w:r>
      <w:r w:rsidRPr="00150CD2">
        <w:rPr>
          <w:rFonts w:cs="Arial"/>
          <w:szCs w:val="20"/>
          <w:lang w:eastAsia="en-AU"/>
        </w:rPr>
        <w:t xml:space="preserve">%) and residential </w:t>
      </w:r>
      <w:r w:rsidR="00A15479" w:rsidRPr="00150CD2">
        <w:rPr>
          <w:rFonts w:cs="Arial"/>
          <w:szCs w:val="20"/>
          <w:lang w:eastAsia="en-AU"/>
        </w:rPr>
        <w:t xml:space="preserve">services </w:t>
      </w:r>
      <w:r w:rsidRPr="00150CD2">
        <w:rPr>
          <w:rFonts w:cs="Arial"/>
          <w:szCs w:val="20"/>
          <w:lang w:eastAsia="en-AU"/>
        </w:rPr>
        <w:t>(</w:t>
      </w:r>
      <w:r w:rsidR="00AE4EC3" w:rsidRPr="00150CD2">
        <w:rPr>
          <w:rFonts w:cs="Arial"/>
          <w:szCs w:val="20"/>
          <w:lang w:eastAsia="en-AU"/>
        </w:rPr>
        <w:t>8</w:t>
      </w:r>
      <w:r w:rsidRPr="00150CD2">
        <w:rPr>
          <w:rFonts w:cs="Arial"/>
          <w:szCs w:val="20"/>
          <w:lang w:eastAsia="en-AU"/>
        </w:rPr>
        <w:t xml:space="preserve">%) were key types of NASC allocated services. </w:t>
      </w:r>
    </w:p>
    <w:p w14:paraId="17FEFB13" w14:textId="1BB8838C" w:rsidR="00A01006" w:rsidRPr="00150CD2" w:rsidRDefault="00A01006" w:rsidP="00A01006">
      <w:pPr>
        <w:pStyle w:val="EYBulletedText1"/>
        <w:rPr>
          <w:rFonts w:cs="Arial"/>
          <w:szCs w:val="20"/>
          <w:lang w:eastAsia="en-AU"/>
        </w:rPr>
      </w:pPr>
      <w:r w:rsidRPr="00150CD2">
        <w:rPr>
          <w:rFonts w:cs="Arial"/>
          <w:szCs w:val="20"/>
          <w:lang w:eastAsia="en-AU"/>
        </w:rPr>
        <w:t xml:space="preserve">Apart from those in residential </w:t>
      </w:r>
      <w:r w:rsidR="003C6C3F" w:rsidRPr="00150CD2">
        <w:rPr>
          <w:rFonts w:cs="Arial"/>
          <w:szCs w:val="20"/>
          <w:lang w:eastAsia="en-AU"/>
        </w:rPr>
        <w:t>services</w:t>
      </w:r>
      <w:r w:rsidRPr="00150CD2">
        <w:rPr>
          <w:rFonts w:cs="Arial"/>
          <w:szCs w:val="20"/>
          <w:lang w:eastAsia="en-AU"/>
        </w:rPr>
        <w:t xml:space="preserve"> (</w:t>
      </w:r>
      <w:r w:rsidR="00AE4EC3" w:rsidRPr="00150CD2">
        <w:rPr>
          <w:rFonts w:cs="Arial"/>
          <w:szCs w:val="20"/>
          <w:lang w:eastAsia="en-AU"/>
        </w:rPr>
        <w:t>8</w:t>
      </w:r>
      <w:r w:rsidRPr="00150CD2">
        <w:rPr>
          <w:rFonts w:cs="Arial"/>
          <w:szCs w:val="20"/>
          <w:lang w:eastAsia="en-AU"/>
        </w:rPr>
        <w:t>%), family members living with the young person are likely to be the main carer for most of the remaining group (as suggested by responses from DSS clients aged 15-2</w:t>
      </w:r>
      <w:r w:rsidR="00AE4EC3" w:rsidRPr="00150CD2">
        <w:rPr>
          <w:rFonts w:cs="Arial"/>
          <w:szCs w:val="20"/>
          <w:lang w:eastAsia="en-AU"/>
        </w:rPr>
        <w:t>4</w:t>
      </w:r>
      <w:r w:rsidRPr="00150CD2">
        <w:rPr>
          <w:rFonts w:cs="Arial"/>
          <w:szCs w:val="20"/>
          <w:lang w:eastAsia="en-AU"/>
        </w:rPr>
        <w:t xml:space="preserve"> to the 2013 Disability Survey). </w:t>
      </w:r>
    </w:p>
    <w:p w14:paraId="2BF2CF3C" w14:textId="185CF840" w:rsidR="00A01006" w:rsidRPr="00150CD2" w:rsidRDefault="00A01006" w:rsidP="00A01006">
      <w:pPr>
        <w:pStyle w:val="EYBulletedText1"/>
        <w:rPr>
          <w:rFonts w:cs="Arial"/>
          <w:szCs w:val="20"/>
          <w:lang w:eastAsia="en-AU"/>
        </w:rPr>
      </w:pPr>
      <w:r w:rsidRPr="00150CD2">
        <w:rPr>
          <w:rFonts w:cs="Arial"/>
          <w:szCs w:val="20"/>
          <w:lang w:eastAsia="en-AU"/>
        </w:rPr>
        <w:t>18% live in the 20% least deprived areas of NZ while 25% live in the 20% most deprived areas.</w:t>
      </w:r>
      <w:r w:rsidR="00AC1E34" w:rsidRPr="00150CD2">
        <w:rPr>
          <w:rFonts w:cs="Arial"/>
          <w:szCs w:val="20"/>
          <w:lang w:eastAsia="en-AU"/>
        </w:rPr>
        <w:t xml:space="preserve"> This is a broadly similar </w:t>
      </w:r>
      <w:r w:rsidR="005F2A19" w:rsidRPr="00150CD2">
        <w:rPr>
          <w:rFonts w:cs="Arial"/>
          <w:szCs w:val="20"/>
          <w:lang w:eastAsia="en-AU"/>
        </w:rPr>
        <w:t>socioeconomic profile to non-DSS young people aged 15-24 (where 24% live in the 20% most deprived areas).</w:t>
      </w:r>
    </w:p>
    <w:p w14:paraId="75E37939" w14:textId="19056D6F" w:rsidR="0054784F" w:rsidRPr="00150CD2" w:rsidRDefault="00A01006" w:rsidP="00A01006">
      <w:pPr>
        <w:pStyle w:val="EYBodytextwithparaspace"/>
        <w:rPr>
          <w:rFonts w:cs="Arial"/>
        </w:rPr>
      </w:pPr>
      <w:r w:rsidRPr="00150CD2">
        <w:rPr>
          <w:rFonts w:cs="Arial"/>
          <w:lang w:eastAsia="en-AU"/>
        </w:rPr>
        <w:t>This section summarises some of the lifecourse outcomes and service contact indicators observed over the 3 year period to 30 June 2018</w:t>
      </w:r>
      <w:r w:rsidRPr="00150CD2">
        <w:rPr>
          <w:rStyle w:val="FootnoteReference"/>
          <w:rFonts w:ascii="Arial" w:hAnsi="Arial" w:cs="Arial"/>
          <w:lang w:eastAsia="en-AU"/>
        </w:rPr>
        <w:footnoteReference w:id="53"/>
      </w:r>
      <w:r w:rsidRPr="00150CD2">
        <w:rPr>
          <w:rFonts w:cs="Arial"/>
          <w:lang w:eastAsia="en-AU"/>
        </w:rPr>
        <w:t xml:space="preserve"> for young people who were allocated DSS funding over the year to June 2018 and were aged 15-24 at the start of the period. </w:t>
      </w:r>
      <w:r w:rsidRPr="00150CD2">
        <w:rPr>
          <w:rFonts w:cs="Arial"/>
        </w:rPr>
        <w:t>For some young people this will include time prior to them receiving DSS funding.</w:t>
      </w:r>
    </w:p>
    <w:p w14:paraId="00440BBA" w14:textId="77777777" w:rsidR="0054784F" w:rsidRPr="00150CD2" w:rsidRDefault="0054784F">
      <w:pPr>
        <w:autoSpaceDE/>
        <w:autoSpaceDN/>
        <w:adjustRightInd/>
        <w:rPr>
          <w:rFonts w:cs="Arial"/>
        </w:rPr>
      </w:pPr>
      <w:r w:rsidRPr="00150CD2">
        <w:rPr>
          <w:rFonts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115" w:type="dxa"/>
        </w:tblCellMar>
        <w:tblLook w:val="04A0" w:firstRow="1" w:lastRow="0" w:firstColumn="1" w:lastColumn="0" w:noHBand="0" w:noVBand="1"/>
      </w:tblPr>
      <w:tblGrid>
        <w:gridCol w:w="7124"/>
        <w:gridCol w:w="6830"/>
      </w:tblGrid>
      <w:tr w:rsidR="00AB63BF" w:rsidRPr="00150CD2" w14:paraId="5318AF9E" w14:textId="77777777" w:rsidTr="00AB63BF">
        <w:tc>
          <w:tcPr>
            <w:tcW w:w="7124" w:type="dxa"/>
            <w:tcBorders>
              <w:right w:val="single" w:sz="4" w:space="0" w:color="auto"/>
            </w:tcBorders>
            <w:tcMar>
              <w:right w:w="158" w:type="dxa"/>
            </w:tcMar>
          </w:tcPr>
          <w:p w14:paraId="37F6A0BB" w14:textId="145C7B0F" w:rsidR="00AB63BF" w:rsidRPr="00150CD2" w:rsidRDefault="00AB63BF" w:rsidP="00A01006">
            <w:pPr>
              <w:pStyle w:val="EYBodytextwithparaspace"/>
              <w:rPr>
                <w:rFonts w:cs="Arial"/>
                <w:szCs w:val="24"/>
                <w:lang w:eastAsia="en-AU"/>
              </w:rPr>
            </w:pPr>
            <w:r w:rsidRPr="00150CD2">
              <w:rPr>
                <w:rFonts w:cs="Arial"/>
                <w:szCs w:val="24"/>
                <w:lang w:eastAsia="en-AU"/>
              </w:rPr>
              <w:t>The graph to the right (</w:t>
            </w:r>
            <w:r w:rsidRPr="00150CD2">
              <w:rPr>
                <w:rFonts w:cs="Arial"/>
                <w:szCs w:val="24"/>
                <w:lang w:eastAsia="en-AU"/>
              </w:rPr>
              <w:fldChar w:fldCharType="begin"/>
            </w:r>
            <w:r w:rsidRPr="00150CD2">
              <w:rPr>
                <w:rFonts w:cs="Arial"/>
                <w:szCs w:val="24"/>
                <w:lang w:eastAsia="en-AU"/>
              </w:rPr>
              <w:instrText xml:space="preserve"> REF _Ref40563390 \h </w:instrText>
            </w:r>
            <w:r w:rsidR="00150CD2">
              <w:rPr>
                <w:rFonts w:cs="Arial"/>
                <w:szCs w:val="24"/>
                <w:lang w:eastAsia="en-AU"/>
              </w:rPr>
              <w:instrText xml:space="preserve"> \* MERGEFORMAT </w:instrText>
            </w:r>
            <w:r w:rsidRPr="00150CD2">
              <w:rPr>
                <w:rFonts w:cs="Arial"/>
                <w:szCs w:val="24"/>
                <w:lang w:eastAsia="en-AU"/>
              </w:rPr>
            </w:r>
            <w:r w:rsidRPr="00150CD2">
              <w:rPr>
                <w:rFonts w:cs="Arial"/>
                <w:szCs w:val="24"/>
                <w:lang w:eastAsia="en-AU"/>
              </w:rPr>
              <w:fldChar w:fldCharType="separate"/>
            </w:r>
            <w:r w:rsidRPr="00150CD2">
              <w:rPr>
                <w:rFonts w:cs="Arial"/>
              </w:rPr>
              <w:t xml:space="preserve">Figure </w:t>
            </w:r>
            <w:r w:rsidRPr="00150CD2">
              <w:rPr>
                <w:rFonts w:cs="Arial"/>
                <w:noProof/>
              </w:rPr>
              <w:t>12</w:t>
            </w:r>
            <w:r w:rsidRPr="00150CD2">
              <w:rPr>
                <w:rFonts w:cs="Arial"/>
                <w:szCs w:val="24"/>
                <w:lang w:eastAsia="en-AU"/>
              </w:rPr>
              <w:fldChar w:fldCharType="end"/>
            </w:r>
            <w:r w:rsidRPr="00150CD2">
              <w:rPr>
                <w:rFonts w:cs="Arial"/>
                <w:szCs w:val="24"/>
                <w:lang w:eastAsia="en-AU"/>
              </w:rPr>
              <w:t xml:space="preserve">) illustrates the proportion of DSS young people across New Zealand in education, employment and receiving income support at various ages over the period 1 July 2014 to 30 June 2017. In summary, </w:t>
            </w:r>
            <w:r w:rsidRPr="00150CD2">
              <w:rPr>
                <w:rFonts w:cs="Arial"/>
                <w:b/>
                <w:bCs/>
                <w:szCs w:val="24"/>
                <w:lang w:eastAsia="en-AU"/>
              </w:rPr>
              <w:t xml:space="preserve">the majority of DSS young people aged 16-21 are engaged in education or employment, with most enrolled in school or tertiary courses. </w:t>
            </w:r>
            <w:r w:rsidRPr="00150CD2">
              <w:rPr>
                <w:rFonts w:cs="Arial"/>
                <w:szCs w:val="24"/>
                <w:lang w:eastAsia="en-AU"/>
              </w:rPr>
              <w:t>This proportion decreases to around 30% in education or with employment by age 25.</w:t>
            </w:r>
          </w:p>
          <w:p w14:paraId="0B80EE51" w14:textId="5475C8D3" w:rsidR="00AB63BF" w:rsidRPr="00150CD2" w:rsidRDefault="00AB63BF" w:rsidP="00A01006">
            <w:pPr>
              <w:pStyle w:val="EYBulletedText1"/>
              <w:spacing w:after="120"/>
              <w:ind w:left="432" w:hanging="432"/>
              <w:rPr>
                <w:rFonts w:cs="Arial"/>
              </w:rPr>
            </w:pPr>
            <w:r w:rsidRPr="00150CD2">
              <w:rPr>
                <w:rFonts w:cs="Arial"/>
              </w:rPr>
              <w:t>Young people allocated DSS are more likely to remain enrolled in school for longer than their non-DSS counterparts, and complete on average an extra year of school.</w:t>
            </w:r>
          </w:p>
          <w:p w14:paraId="6C435EBB" w14:textId="377F0CF7" w:rsidR="00AB63BF" w:rsidRPr="00150CD2" w:rsidRDefault="00AB63BF" w:rsidP="00A01006">
            <w:pPr>
              <w:pStyle w:val="EYBulletedText2"/>
              <w:ind w:left="864" w:hanging="432"/>
              <w:contextualSpacing/>
              <w:rPr>
                <w:rFonts w:cs="Arial"/>
              </w:rPr>
            </w:pPr>
            <w:r w:rsidRPr="00150CD2">
              <w:rPr>
                <w:rFonts w:cs="Arial"/>
              </w:rPr>
              <w:t>At age 16, around 90% of DSS young people are enrolled in school.</w:t>
            </w:r>
          </w:p>
          <w:p w14:paraId="6F962CCF" w14:textId="695ADDE3" w:rsidR="00AB63BF" w:rsidRPr="00150CD2" w:rsidRDefault="00AB63BF" w:rsidP="00A01006">
            <w:pPr>
              <w:pStyle w:val="EYBulletedText2"/>
              <w:ind w:left="864" w:hanging="432"/>
              <w:contextualSpacing/>
              <w:rPr>
                <w:rFonts w:cs="Arial"/>
              </w:rPr>
            </w:pPr>
            <w:r w:rsidRPr="00150CD2">
              <w:rPr>
                <w:rFonts w:cs="Arial"/>
              </w:rPr>
              <w:t>By age 19, around 45% of DSS young people remain enrolled in school. This reduces to 18% of 21 year old DSS young people, with students finishing by age 22.</w:t>
            </w:r>
          </w:p>
          <w:p w14:paraId="6F41EB38" w14:textId="05162B07" w:rsidR="00AB63BF" w:rsidRPr="00150CD2" w:rsidRDefault="00AB63BF" w:rsidP="00A01006">
            <w:pPr>
              <w:pStyle w:val="EYBulletedText1"/>
              <w:spacing w:after="120"/>
              <w:ind w:left="432" w:hanging="432"/>
              <w:rPr>
                <w:rFonts w:cs="Arial"/>
              </w:rPr>
            </w:pPr>
            <w:r w:rsidRPr="00150CD2">
              <w:rPr>
                <w:rFonts w:cs="Arial"/>
              </w:rPr>
              <w:t>Around 34% of DSS young people aged 15-19 enrolled in tertiary education for some or all of the 3 year period, e.g. colleges, polytechnics and universities. Most enrolments related to courses classed as NZQA level 1, 2 or 3, with enrolments reducing after age 22. (Note that students can enrol in some tertiary courses while attending school.)</w:t>
            </w:r>
          </w:p>
          <w:p w14:paraId="4EE9C472" w14:textId="3E7D6F34" w:rsidR="00AB63BF" w:rsidRPr="00150CD2" w:rsidRDefault="00AB63BF" w:rsidP="00A01006">
            <w:pPr>
              <w:pStyle w:val="EYBulletedText1"/>
              <w:spacing w:after="120"/>
              <w:ind w:left="432" w:hanging="432"/>
              <w:rPr>
                <w:rFonts w:cs="Arial"/>
              </w:rPr>
            </w:pPr>
            <w:r w:rsidRPr="00150CD2">
              <w:rPr>
                <w:rFonts w:cs="Arial"/>
              </w:rPr>
              <w:t xml:space="preserve">Most DSS young people were partially or wholly reliant on income support once 18 years or older and able to receive adult benefit payments. Around 26% of DSS young people aged 15-24 reported employment income for some or all of the 3 year period, however in most cases these were relatively small amounts. A smaller number (13%) reported employment income of more than $5,000 over at least one year in the 3 year period. </w:t>
            </w:r>
          </w:p>
          <w:p w14:paraId="167860C2" w14:textId="118B43F8" w:rsidR="00AB63BF" w:rsidRPr="00150CD2" w:rsidRDefault="00AB63BF" w:rsidP="0039393C">
            <w:pPr>
              <w:pStyle w:val="EYBodytextwithparaspace"/>
              <w:rPr>
                <w:rFonts w:cs="Arial"/>
                <w:szCs w:val="24"/>
                <w:lang w:eastAsia="en-AU"/>
              </w:rPr>
            </w:pPr>
            <w:r w:rsidRPr="00150CD2">
              <w:rPr>
                <w:rFonts w:cs="Arial"/>
                <w:szCs w:val="24"/>
                <w:lang w:eastAsia="en-AU"/>
              </w:rPr>
              <w:t>Further information is described in the section below.</w:t>
            </w:r>
          </w:p>
        </w:tc>
        <w:tc>
          <w:tcPr>
            <w:tcW w:w="6830" w:type="dxa"/>
            <w:tcBorders>
              <w:left w:val="single" w:sz="4" w:space="0" w:color="auto"/>
            </w:tcBorders>
            <w:tcMar>
              <w:left w:w="115" w:type="dxa"/>
            </w:tcMar>
          </w:tcPr>
          <w:p w14:paraId="014F34B8" w14:textId="77777777" w:rsidR="00AB63BF" w:rsidRPr="00150CD2" w:rsidRDefault="00AB63BF" w:rsidP="0039393C">
            <w:pPr>
              <w:pStyle w:val="Caption"/>
              <w:rPr>
                <w:rFonts w:cs="Arial"/>
              </w:rPr>
            </w:pPr>
            <w:bookmarkStart w:id="207" w:name="_Ref40563390"/>
            <w:r w:rsidRPr="00150CD2">
              <w:rPr>
                <w:rFonts w:cs="Arial"/>
              </w:rPr>
              <w:t xml:space="preserve">Figure </w:t>
            </w:r>
            <w:r w:rsidRPr="00150CD2">
              <w:rPr>
                <w:rFonts w:cs="Arial"/>
              </w:rPr>
              <w:fldChar w:fldCharType="begin"/>
            </w:r>
            <w:r w:rsidRPr="00150CD2">
              <w:rPr>
                <w:rFonts w:cs="Arial"/>
              </w:rPr>
              <w:instrText xml:space="preserve"> SEQ Figure \* ARABIC </w:instrText>
            </w:r>
            <w:r w:rsidRPr="00150CD2">
              <w:rPr>
                <w:rFonts w:cs="Arial"/>
              </w:rPr>
              <w:fldChar w:fldCharType="separate"/>
            </w:r>
            <w:r w:rsidRPr="00150CD2">
              <w:rPr>
                <w:rFonts w:cs="Arial"/>
                <w:noProof/>
              </w:rPr>
              <w:t>12</w:t>
            </w:r>
            <w:r w:rsidRPr="00150CD2">
              <w:rPr>
                <w:rFonts w:cs="Arial"/>
              </w:rPr>
              <w:fldChar w:fldCharType="end"/>
            </w:r>
            <w:bookmarkEnd w:id="207"/>
            <w:r w:rsidRPr="00150CD2">
              <w:rPr>
                <w:rFonts w:cs="Arial"/>
              </w:rPr>
              <w:t>: Proportion of DSS young people in education, employment and supported by benefit, by age, over the years ending 30 June 2015, 30 June 2016 and 30 June 2017</w:t>
            </w:r>
          </w:p>
          <w:p w14:paraId="2324BAA2" w14:textId="56A63170" w:rsidR="00AB63BF" w:rsidRPr="00150CD2" w:rsidRDefault="00AB63BF" w:rsidP="0039393C">
            <w:pPr>
              <w:pStyle w:val="EYTableText"/>
              <w:rPr>
                <w:rFonts w:cs="Arial"/>
              </w:rPr>
            </w:pPr>
            <w:r w:rsidRPr="00150CD2">
              <w:rPr>
                <w:rFonts w:cs="Arial"/>
                <w:noProof/>
              </w:rPr>
              <w:drawing>
                <wp:inline distT="0" distB="0" distL="0" distR="0" wp14:anchorId="40C3712D" wp14:editId="07F1E2B2">
                  <wp:extent cx="4187952" cy="4535424"/>
                  <wp:effectExtent l="0" t="0" r="3175" b="17780"/>
                  <wp:docPr id="18" name="Chart 18" descr="Figure 12 shows the proportion of NZ DSS young people in education, employment and receiving income support at various ages over the period 1 July 2014 to 30 June 2017. Key trends by age are described in the text to the left and in the remainder of this section.">
                    <a:extLst xmlns:a="http://schemas.openxmlformats.org/drawingml/2006/main">
                      <a:ext uri="{FF2B5EF4-FFF2-40B4-BE49-F238E27FC236}">
                        <a16:creationId xmlns:a16="http://schemas.microsoft.com/office/drawing/2014/main" id="{2194D9D2-A457-4E63-908C-FAEEB3B3AF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304A1E95" w14:textId="3EE7A2EA" w:rsidR="009C2F81" w:rsidRPr="00150CD2" w:rsidRDefault="009C2F81" w:rsidP="0054784F">
      <w:pPr>
        <w:pStyle w:val="EYBodytextwithparaspace"/>
        <w:rPr>
          <w:rFonts w:cs="Arial"/>
        </w:rPr>
      </w:pPr>
    </w:p>
    <w:p w14:paraId="5761D208" w14:textId="3A3A8D6F" w:rsidR="009C2F81" w:rsidRPr="00150CD2" w:rsidRDefault="009C2F81">
      <w:pPr>
        <w:autoSpaceDE/>
        <w:autoSpaceDN/>
        <w:adjustRightInd/>
        <w:rPr>
          <w:rFonts w:cs="Arial"/>
          <w:sz w:val="24"/>
        </w:rPr>
      </w:pPr>
    </w:p>
    <w:tbl>
      <w:tblPr>
        <w:tblStyle w:val="TableGrid"/>
        <w:tblW w:w="0" w:type="auto"/>
        <w:tblCellMar>
          <w:top w:w="28" w:type="dxa"/>
          <w:bottom w:w="28" w:type="dxa"/>
        </w:tblCellMar>
        <w:tblLook w:val="04A0" w:firstRow="1" w:lastRow="0" w:firstColumn="1" w:lastColumn="0" w:noHBand="0" w:noVBand="1"/>
      </w:tblPr>
      <w:tblGrid>
        <w:gridCol w:w="1564"/>
        <w:gridCol w:w="1991"/>
        <w:gridCol w:w="10389"/>
      </w:tblGrid>
      <w:tr w:rsidR="00310848" w:rsidRPr="00150CD2" w14:paraId="79651347" w14:textId="77777777" w:rsidTr="00AB63BF">
        <w:trPr>
          <w:tblHeader/>
        </w:trPr>
        <w:tc>
          <w:tcPr>
            <w:tcW w:w="1323" w:type="dxa"/>
            <w:tcBorders>
              <w:bottom w:val="single" w:sz="4" w:space="0" w:color="auto"/>
            </w:tcBorders>
            <w:shd w:val="clear" w:color="auto" w:fill="F2F2F2" w:themeFill="background1" w:themeFillShade="F2"/>
          </w:tcPr>
          <w:p w14:paraId="1E40EA26" w14:textId="77777777" w:rsidR="00310848" w:rsidRPr="00150CD2" w:rsidRDefault="00310848" w:rsidP="0039393C">
            <w:pPr>
              <w:pStyle w:val="EYTableHeading"/>
              <w:rPr>
                <w:rFonts w:cs="Arial"/>
                <w:sz w:val="24"/>
              </w:rPr>
            </w:pPr>
            <w:r w:rsidRPr="00150CD2">
              <w:rPr>
                <w:rFonts w:cs="Arial"/>
                <w:sz w:val="24"/>
              </w:rPr>
              <w:t>Perspective</w:t>
            </w:r>
          </w:p>
        </w:tc>
        <w:tc>
          <w:tcPr>
            <w:tcW w:w="1872" w:type="dxa"/>
            <w:shd w:val="clear" w:color="auto" w:fill="F2F2F2" w:themeFill="background1" w:themeFillShade="F2"/>
          </w:tcPr>
          <w:p w14:paraId="3B638793" w14:textId="77777777" w:rsidR="00310848" w:rsidRPr="00150CD2" w:rsidRDefault="00310848" w:rsidP="0039393C">
            <w:pPr>
              <w:pStyle w:val="EYTableHeading"/>
              <w:rPr>
                <w:rFonts w:cs="Arial"/>
                <w:sz w:val="24"/>
              </w:rPr>
            </w:pPr>
            <w:r w:rsidRPr="00150CD2">
              <w:rPr>
                <w:rFonts w:cs="Arial"/>
                <w:sz w:val="24"/>
              </w:rPr>
              <w:t>Indicators</w:t>
            </w:r>
          </w:p>
        </w:tc>
        <w:tc>
          <w:tcPr>
            <w:tcW w:w="10699" w:type="dxa"/>
            <w:shd w:val="clear" w:color="auto" w:fill="F2F2F2" w:themeFill="background1" w:themeFillShade="F2"/>
          </w:tcPr>
          <w:p w14:paraId="7454EF16" w14:textId="77777777" w:rsidR="00310848" w:rsidRPr="00150CD2" w:rsidRDefault="00310848" w:rsidP="0039393C">
            <w:pPr>
              <w:pStyle w:val="EYTableHeading"/>
              <w:rPr>
                <w:rFonts w:cs="Arial"/>
                <w:sz w:val="24"/>
              </w:rPr>
            </w:pPr>
            <w:r w:rsidRPr="00150CD2">
              <w:rPr>
                <w:rFonts w:cs="Arial"/>
                <w:sz w:val="24"/>
              </w:rPr>
              <w:t>Insights for young people aged 15-24 allocated DSS over the year to 30 June 2018 across New Zealand, compared to other young people – outcomes and service contact indicators over the 3 year period to 30 June 2018 and lifetime educational outcomes</w:t>
            </w:r>
          </w:p>
        </w:tc>
      </w:tr>
      <w:tr w:rsidR="00310848" w:rsidRPr="00150CD2" w14:paraId="54194DFA" w14:textId="77777777" w:rsidTr="00AB63BF">
        <w:tc>
          <w:tcPr>
            <w:tcW w:w="1323" w:type="dxa"/>
            <w:tcBorders>
              <w:bottom w:val="nil"/>
            </w:tcBorders>
          </w:tcPr>
          <w:p w14:paraId="35A18766" w14:textId="77777777" w:rsidR="00310848" w:rsidRPr="00150CD2" w:rsidRDefault="00310848" w:rsidP="0039393C">
            <w:pPr>
              <w:pStyle w:val="EYTableText"/>
              <w:rPr>
                <w:rFonts w:cs="Arial"/>
                <w:sz w:val="24"/>
              </w:rPr>
            </w:pPr>
            <w:r w:rsidRPr="00150CD2">
              <w:rPr>
                <w:rFonts w:cs="Arial"/>
                <w:sz w:val="24"/>
              </w:rPr>
              <w:t>Young people</w:t>
            </w:r>
          </w:p>
        </w:tc>
        <w:tc>
          <w:tcPr>
            <w:tcW w:w="1872" w:type="dxa"/>
          </w:tcPr>
          <w:p w14:paraId="10D43098" w14:textId="77777777" w:rsidR="00310848" w:rsidRPr="00150CD2" w:rsidRDefault="00310848" w:rsidP="0039393C">
            <w:pPr>
              <w:pStyle w:val="EYTableText"/>
              <w:rPr>
                <w:rFonts w:cs="Arial"/>
                <w:sz w:val="24"/>
              </w:rPr>
            </w:pPr>
            <w:r w:rsidRPr="00150CD2">
              <w:rPr>
                <w:rFonts w:cs="Arial"/>
                <w:sz w:val="24"/>
              </w:rPr>
              <w:t>School enrolment and school leaving qualifications</w:t>
            </w:r>
          </w:p>
        </w:tc>
        <w:tc>
          <w:tcPr>
            <w:tcW w:w="10699" w:type="dxa"/>
          </w:tcPr>
          <w:p w14:paraId="3758F735" w14:textId="24FBD9D2" w:rsidR="00310848" w:rsidRPr="00150CD2" w:rsidRDefault="00310848" w:rsidP="0039393C">
            <w:pPr>
              <w:pStyle w:val="EYTablebullet1"/>
              <w:rPr>
                <w:rFonts w:cs="Arial"/>
                <w:sz w:val="24"/>
              </w:rPr>
            </w:pPr>
            <w:r w:rsidRPr="00150CD2">
              <w:rPr>
                <w:rFonts w:cs="Arial"/>
                <w:sz w:val="24"/>
              </w:rPr>
              <w:t xml:space="preserve">Young people allocated DSS are more likely to remain enrolled in school for longer than their non-DSS counterparts, and complete on average an extra year of school. </w:t>
            </w:r>
            <w:r w:rsidR="00A01006" w:rsidRPr="00150CD2">
              <w:rPr>
                <w:rFonts w:cs="Arial"/>
                <w:sz w:val="24"/>
              </w:rPr>
              <w:fldChar w:fldCharType="begin"/>
            </w:r>
            <w:r w:rsidR="00A01006" w:rsidRPr="00150CD2">
              <w:rPr>
                <w:rFonts w:cs="Arial"/>
                <w:sz w:val="24"/>
              </w:rPr>
              <w:instrText xml:space="preserve"> REF _Ref40563390 \h  \* MERGEFORMAT </w:instrText>
            </w:r>
            <w:r w:rsidR="00A01006" w:rsidRPr="00150CD2">
              <w:rPr>
                <w:rFonts w:cs="Arial"/>
                <w:sz w:val="24"/>
              </w:rPr>
            </w:r>
            <w:r w:rsidR="00A01006" w:rsidRPr="00150CD2">
              <w:rPr>
                <w:rFonts w:cs="Arial"/>
                <w:sz w:val="24"/>
              </w:rPr>
              <w:fldChar w:fldCharType="separate"/>
            </w:r>
            <w:r w:rsidR="00053D9A" w:rsidRPr="00150CD2">
              <w:rPr>
                <w:rFonts w:cs="Arial"/>
                <w:sz w:val="24"/>
              </w:rPr>
              <w:t>Figure 12</w:t>
            </w:r>
            <w:r w:rsidR="00A01006" w:rsidRPr="00150CD2">
              <w:rPr>
                <w:rFonts w:cs="Arial"/>
                <w:sz w:val="24"/>
              </w:rPr>
              <w:fldChar w:fldCharType="end"/>
            </w:r>
            <w:r w:rsidRPr="00150CD2">
              <w:rPr>
                <w:rFonts w:cs="Arial"/>
                <w:sz w:val="24"/>
              </w:rPr>
              <w:t xml:space="preserve"> shows the proportion of </w:t>
            </w:r>
            <w:r w:rsidR="00A01006" w:rsidRPr="00150CD2">
              <w:rPr>
                <w:rFonts w:cs="Arial"/>
                <w:sz w:val="24"/>
              </w:rPr>
              <w:t xml:space="preserve">DSS </w:t>
            </w:r>
            <w:r w:rsidRPr="00150CD2">
              <w:rPr>
                <w:rFonts w:cs="Arial"/>
                <w:sz w:val="24"/>
              </w:rPr>
              <w:t>young people enrolled in school for each age at 30 June 2017:</w:t>
            </w:r>
          </w:p>
          <w:p w14:paraId="6B108ABC" w14:textId="77777777" w:rsidR="00310848" w:rsidRPr="00150CD2" w:rsidRDefault="00310848" w:rsidP="0039393C">
            <w:pPr>
              <w:pStyle w:val="EYTablebullet2"/>
              <w:rPr>
                <w:rFonts w:cs="Arial"/>
                <w:sz w:val="24"/>
              </w:rPr>
            </w:pPr>
            <w:r w:rsidRPr="00150CD2">
              <w:rPr>
                <w:rFonts w:cs="Arial"/>
                <w:sz w:val="24"/>
              </w:rPr>
              <w:t>At age 16, around 90% of both DSS and non-DSS young people are enrolled in school.</w:t>
            </w:r>
          </w:p>
          <w:p w14:paraId="74A7505F" w14:textId="565EAA92" w:rsidR="00310848" w:rsidRPr="00150CD2" w:rsidRDefault="00310848" w:rsidP="0039393C">
            <w:pPr>
              <w:pStyle w:val="EYTablebullet2"/>
              <w:rPr>
                <w:rFonts w:cs="Arial"/>
                <w:sz w:val="24"/>
              </w:rPr>
            </w:pPr>
            <w:r w:rsidRPr="00150CD2">
              <w:rPr>
                <w:rFonts w:cs="Arial"/>
                <w:sz w:val="24"/>
              </w:rPr>
              <w:t xml:space="preserve">At age 19 the majority of non-DSS children have left school (around 5% remain), while half of DSS children remain enrolled in school. This reduces to </w:t>
            </w:r>
            <w:r w:rsidR="002C6168" w:rsidRPr="00150CD2">
              <w:rPr>
                <w:rFonts w:cs="Arial"/>
                <w:sz w:val="24"/>
              </w:rPr>
              <w:t>18</w:t>
            </w:r>
            <w:r w:rsidRPr="00150CD2">
              <w:rPr>
                <w:rFonts w:cs="Arial"/>
                <w:sz w:val="24"/>
              </w:rPr>
              <w:t>% of 21 year olds, the last age at which young people remain enrolled.</w:t>
            </w:r>
          </w:p>
          <w:p w14:paraId="51C332F0" w14:textId="06733018" w:rsidR="00310848" w:rsidRPr="00150CD2" w:rsidRDefault="00310848" w:rsidP="0039393C">
            <w:pPr>
              <w:pStyle w:val="EYTablebullet1"/>
              <w:rPr>
                <w:rFonts w:cs="Arial"/>
                <w:sz w:val="24"/>
              </w:rPr>
            </w:pPr>
            <w:r w:rsidRPr="00150CD2">
              <w:rPr>
                <w:rFonts w:cs="Arial"/>
                <w:sz w:val="24"/>
              </w:rPr>
              <w:t xml:space="preserve">Around </w:t>
            </w:r>
            <w:r w:rsidR="00A86C26" w:rsidRPr="00150CD2">
              <w:rPr>
                <w:rFonts w:cs="Arial"/>
                <w:sz w:val="24"/>
              </w:rPr>
              <w:t>23</w:t>
            </w:r>
            <w:r w:rsidRPr="00150CD2">
              <w:rPr>
                <w:rFonts w:cs="Arial"/>
                <w:sz w:val="24"/>
              </w:rPr>
              <w:t>% of DSS young people aged 17-24 at June 2018 had achieved a</w:t>
            </w:r>
            <w:r w:rsidR="00A86C26" w:rsidRPr="00150CD2">
              <w:rPr>
                <w:rFonts w:cs="Arial"/>
                <w:sz w:val="24"/>
              </w:rPr>
              <w:t>t least</w:t>
            </w:r>
            <w:r w:rsidRPr="00150CD2">
              <w:rPr>
                <w:rFonts w:cs="Arial"/>
                <w:sz w:val="24"/>
              </w:rPr>
              <w:t xml:space="preserve"> NCEA level 2 or </w:t>
            </w:r>
            <w:r w:rsidR="00A86C26" w:rsidRPr="00150CD2">
              <w:rPr>
                <w:rFonts w:cs="Arial"/>
                <w:sz w:val="24"/>
              </w:rPr>
              <w:t>equivalent</w:t>
            </w:r>
            <w:r w:rsidRPr="00150CD2">
              <w:rPr>
                <w:rFonts w:cs="Arial"/>
                <w:sz w:val="24"/>
              </w:rPr>
              <w:t xml:space="preserve">. For non-DSS young people aged 17-24 at June 2018, around 70% had received </w:t>
            </w:r>
            <w:r w:rsidR="00A86C26" w:rsidRPr="00150CD2">
              <w:rPr>
                <w:rFonts w:cs="Arial"/>
                <w:sz w:val="24"/>
              </w:rPr>
              <w:t xml:space="preserve">at least </w:t>
            </w:r>
            <w:r w:rsidRPr="00150CD2">
              <w:rPr>
                <w:rFonts w:cs="Arial"/>
                <w:sz w:val="24"/>
              </w:rPr>
              <w:t xml:space="preserve">NCEA level 2 or </w:t>
            </w:r>
            <w:r w:rsidR="00A86C26" w:rsidRPr="00150CD2">
              <w:rPr>
                <w:rFonts w:cs="Arial"/>
                <w:sz w:val="24"/>
              </w:rPr>
              <w:t>equivalent</w:t>
            </w:r>
            <w:r w:rsidRPr="00150CD2">
              <w:rPr>
                <w:rFonts w:cs="Arial"/>
                <w:sz w:val="24"/>
              </w:rPr>
              <w:t>.</w:t>
            </w:r>
            <w:r w:rsidR="00A86C26" w:rsidRPr="00150CD2">
              <w:rPr>
                <w:rStyle w:val="FootnoteReference"/>
                <w:rFonts w:ascii="Arial" w:hAnsi="Arial" w:cs="Arial"/>
                <w:sz w:val="24"/>
                <w:szCs w:val="24"/>
              </w:rPr>
              <w:footnoteReference w:id="54"/>
            </w:r>
          </w:p>
          <w:p w14:paraId="69A177CD" w14:textId="1C67E984" w:rsidR="00DE3929" w:rsidRPr="00150CD2" w:rsidRDefault="00DE3929" w:rsidP="00DE3929">
            <w:pPr>
              <w:pStyle w:val="EYTablebullet1"/>
              <w:spacing w:before="0" w:after="120"/>
              <w:ind w:left="288" w:hanging="288"/>
              <w:rPr>
                <w:rFonts w:cs="Arial"/>
                <w:sz w:val="24"/>
              </w:rPr>
            </w:pPr>
            <w:r w:rsidRPr="00150CD2">
              <w:rPr>
                <w:rFonts w:cs="Arial"/>
                <w:sz w:val="24"/>
              </w:rPr>
              <w:t>It is important to note that there is considerable variation between young people, with disability type and SPA levels being two factors that are associated with differing levels of school leaving qualification. For DSS young people aged 17-24 at June 2018, for example:</w:t>
            </w:r>
          </w:p>
          <w:p w14:paraId="10F992DB" w14:textId="77777777" w:rsidR="00DE3929" w:rsidRPr="00150CD2" w:rsidRDefault="00DE3929" w:rsidP="00DE3929">
            <w:pPr>
              <w:pStyle w:val="EYTablebullet2"/>
              <w:rPr>
                <w:rFonts w:cs="Arial"/>
                <w:sz w:val="24"/>
              </w:rPr>
            </w:pPr>
            <w:r w:rsidRPr="00150CD2">
              <w:rPr>
                <w:rFonts w:cs="Arial"/>
                <w:sz w:val="24"/>
              </w:rPr>
              <w:t>10% of those with intellectual disability received an NCEA level 2 or higher, compared with 32% of other DSS young people</w:t>
            </w:r>
          </w:p>
          <w:p w14:paraId="5183A6A3" w14:textId="3A817B8E" w:rsidR="00DE3929" w:rsidRPr="00150CD2" w:rsidRDefault="00DE3929" w:rsidP="00DE3929">
            <w:pPr>
              <w:pStyle w:val="EYTablebullet2"/>
              <w:rPr>
                <w:rFonts w:cs="Arial"/>
                <w:sz w:val="24"/>
              </w:rPr>
            </w:pPr>
            <w:r w:rsidRPr="00150CD2">
              <w:rPr>
                <w:rFonts w:cs="Arial"/>
                <w:sz w:val="24"/>
              </w:rPr>
              <w:t xml:space="preserve">12% of those with </w:t>
            </w:r>
            <w:r w:rsidR="00DF5F17" w:rsidRPr="00150CD2">
              <w:rPr>
                <w:rFonts w:cs="Arial"/>
                <w:sz w:val="24"/>
              </w:rPr>
              <w:t>high/very high SPA</w:t>
            </w:r>
            <w:r w:rsidRPr="00150CD2">
              <w:rPr>
                <w:rFonts w:cs="Arial"/>
                <w:sz w:val="24"/>
              </w:rPr>
              <w:t xml:space="preserve"> levels received an NCEA level 2 or higher, compared with 31% for those with low to medium SPA levels</w:t>
            </w:r>
          </w:p>
          <w:p w14:paraId="55373CE2" w14:textId="15E1AC70" w:rsidR="00DE3929" w:rsidRPr="00150CD2" w:rsidRDefault="00DE3929" w:rsidP="00DE3929">
            <w:pPr>
              <w:pStyle w:val="EYTablebullet1"/>
              <w:numPr>
                <w:ilvl w:val="0"/>
                <w:numId w:val="0"/>
              </w:numPr>
              <w:spacing w:before="0" w:after="120"/>
              <w:ind w:left="288"/>
              <w:rPr>
                <w:rFonts w:cs="Arial"/>
                <w:sz w:val="24"/>
              </w:rPr>
            </w:pPr>
            <w:r w:rsidRPr="00150CD2">
              <w:rPr>
                <w:rFonts w:cs="Arial"/>
                <w:sz w:val="24"/>
              </w:rPr>
              <w:t>Careful consideration needs to be made around whether NCEA</w:t>
            </w:r>
            <w:r w:rsidR="00F86900" w:rsidRPr="00150CD2">
              <w:rPr>
                <w:rFonts w:cs="Arial"/>
                <w:sz w:val="24"/>
              </w:rPr>
              <w:t xml:space="preserve"> result</w:t>
            </w:r>
            <w:r w:rsidRPr="00150CD2">
              <w:rPr>
                <w:rFonts w:cs="Arial"/>
                <w:sz w:val="24"/>
              </w:rPr>
              <w:t xml:space="preserve">s are appropriate indicators of education achievement for all DSS young people given varying levels of support needs and education enrolment profiles, as well as each young person’s own individual learning goals. </w:t>
            </w:r>
          </w:p>
          <w:p w14:paraId="2A2E7A5F" w14:textId="2EDCAE60" w:rsidR="00310848" w:rsidRPr="00150CD2" w:rsidRDefault="00DE3929" w:rsidP="00DE3929">
            <w:pPr>
              <w:pStyle w:val="EYTablebullet1"/>
              <w:rPr>
                <w:rFonts w:cs="Arial"/>
                <w:sz w:val="24"/>
              </w:rPr>
            </w:pPr>
            <w:r w:rsidRPr="00150CD2">
              <w:rPr>
                <w:rFonts w:cs="Arial"/>
                <w:sz w:val="24"/>
              </w:rPr>
              <w:t>More broadly, the Ministry of Education notes that socioeconomic factors and individual school characteristics also have an impact on education achievement of young people across NZ.</w:t>
            </w:r>
            <w:r w:rsidRPr="00150CD2">
              <w:rPr>
                <w:rStyle w:val="FootnoteReference"/>
                <w:rFonts w:ascii="Arial" w:hAnsi="Arial" w:cs="Arial"/>
                <w:sz w:val="24"/>
                <w:szCs w:val="24"/>
              </w:rPr>
              <w:footnoteReference w:id="55"/>
            </w:r>
          </w:p>
        </w:tc>
      </w:tr>
      <w:tr w:rsidR="00310848" w:rsidRPr="00150CD2" w14:paraId="5DF50388" w14:textId="77777777" w:rsidTr="00AB63BF">
        <w:tc>
          <w:tcPr>
            <w:tcW w:w="1323" w:type="dxa"/>
            <w:tcBorders>
              <w:top w:val="nil"/>
              <w:bottom w:val="nil"/>
            </w:tcBorders>
          </w:tcPr>
          <w:p w14:paraId="69D143E3" w14:textId="77777777" w:rsidR="00310848" w:rsidRPr="00150CD2" w:rsidRDefault="00310848" w:rsidP="0039393C">
            <w:pPr>
              <w:pStyle w:val="EYTableText"/>
              <w:rPr>
                <w:rFonts w:cs="Arial"/>
                <w:sz w:val="24"/>
              </w:rPr>
            </w:pPr>
          </w:p>
        </w:tc>
        <w:tc>
          <w:tcPr>
            <w:tcW w:w="1872" w:type="dxa"/>
          </w:tcPr>
          <w:p w14:paraId="1C265407" w14:textId="77777777" w:rsidR="00310848" w:rsidRPr="00150CD2" w:rsidRDefault="00310848" w:rsidP="0039393C">
            <w:pPr>
              <w:pStyle w:val="EYTableText"/>
              <w:rPr>
                <w:rFonts w:cs="Arial"/>
                <w:sz w:val="24"/>
              </w:rPr>
            </w:pPr>
            <w:r w:rsidRPr="00150CD2">
              <w:rPr>
                <w:rFonts w:cs="Arial"/>
                <w:sz w:val="24"/>
              </w:rPr>
              <w:t>Post school education and training</w:t>
            </w:r>
          </w:p>
        </w:tc>
        <w:tc>
          <w:tcPr>
            <w:tcW w:w="10699" w:type="dxa"/>
          </w:tcPr>
          <w:p w14:paraId="05724DFD" w14:textId="7DCC2D12" w:rsidR="00310848" w:rsidRPr="00150CD2" w:rsidRDefault="00310848" w:rsidP="0039393C">
            <w:pPr>
              <w:pStyle w:val="EYTablebullet1"/>
              <w:rPr>
                <w:rFonts w:cs="Arial"/>
                <w:sz w:val="24"/>
              </w:rPr>
            </w:pPr>
            <w:r w:rsidRPr="00150CD2">
              <w:rPr>
                <w:rFonts w:cs="Arial"/>
                <w:sz w:val="24"/>
              </w:rPr>
              <w:t>Around 34% of DSS young people aged 15-19 and 24% of young people aged 20-24 were enrolled in tertiary education and training for some/all of the three year period</w:t>
            </w:r>
            <w:r w:rsidR="00DE3929" w:rsidRPr="00150CD2">
              <w:rPr>
                <w:rFonts w:cs="Arial"/>
                <w:sz w:val="24"/>
              </w:rPr>
              <w:t>, such as colleges, polytechnics and universities</w:t>
            </w:r>
            <w:r w:rsidRPr="00150CD2">
              <w:rPr>
                <w:rFonts w:cs="Arial"/>
                <w:sz w:val="24"/>
              </w:rPr>
              <w:t>.</w:t>
            </w:r>
            <w:r w:rsidR="009C6AFE" w:rsidRPr="00150CD2">
              <w:rPr>
                <w:rFonts w:cs="Arial"/>
                <w:sz w:val="24"/>
              </w:rPr>
              <w:t xml:space="preserve"> (Note that students can enrol in some tertiary courses while attending school.)</w:t>
            </w:r>
          </w:p>
          <w:p w14:paraId="0D26944B" w14:textId="77777777" w:rsidR="00310848" w:rsidRPr="00150CD2" w:rsidRDefault="00310848" w:rsidP="0039393C">
            <w:pPr>
              <w:pStyle w:val="EYTablebullet2"/>
              <w:rPr>
                <w:rFonts w:cs="Arial"/>
                <w:sz w:val="24"/>
              </w:rPr>
            </w:pPr>
            <w:r w:rsidRPr="00150CD2">
              <w:rPr>
                <w:rFonts w:cs="Arial"/>
                <w:sz w:val="24"/>
              </w:rPr>
              <w:t>Most enrolments relate to courses classed as NZQA level 1, 2 or 3 (levels which are covered by NCEA). Approximately 2 out of 3 of the young people who undertook tertiary education enrolled in one of these courses</w:t>
            </w:r>
          </w:p>
          <w:p w14:paraId="1C13A943" w14:textId="77777777" w:rsidR="00310848" w:rsidRPr="00150CD2" w:rsidRDefault="00310848" w:rsidP="0039393C">
            <w:pPr>
              <w:pStyle w:val="EYTablebullet2"/>
              <w:rPr>
                <w:rFonts w:cs="Arial"/>
                <w:sz w:val="24"/>
              </w:rPr>
            </w:pPr>
            <w:r w:rsidRPr="00150CD2">
              <w:rPr>
                <w:rFonts w:cs="Arial"/>
                <w:sz w:val="24"/>
              </w:rPr>
              <w:t>4% of young people aged 20-24 enrolled in a bachelor level course (1 in 6 of those who enrolled over the period). A small proportion enrolled in Tertiary Education Commission (TEC) industry training courses (1%) over the 3 year period.</w:t>
            </w:r>
          </w:p>
          <w:p w14:paraId="395122AB" w14:textId="01A5A6F5" w:rsidR="00310848" w:rsidRPr="00150CD2" w:rsidRDefault="00310848" w:rsidP="0039393C">
            <w:pPr>
              <w:pStyle w:val="EYTablebullet1"/>
              <w:numPr>
                <w:ilvl w:val="0"/>
                <w:numId w:val="0"/>
              </w:numPr>
              <w:ind w:left="284"/>
              <w:rPr>
                <w:rFonts w:cs="Arial"/>
                <w:sz w:val="24"/>
              </w:rPr>
            </w:pPr>
            <w:r w:rsidRPr="00150CD2">
              <w:rPr>
                <w:rFonts w:cs="Arial"/>
                <w:sz w:val="24"/>
              </w:rPr>
              <w:t xml:space="preserve">Enrolment in tertiary education and training for 15-19 year olds were lower for those with intellectual disability (30% compared with 39% for those with other disability types) and </w:t>
            </w:r>
            <w:r w:rsidR="00DF5F17" w:rsidRPr="00150CD2">
              <w:rPr>
                <w:rFonts w:cs="Arial"/>
                <w:sz w:val="24"/>
              </w:rPr>
              <w:t>high/very high SPA</w:t>
            </w:r>
            <w:r w:rsidRPr="00150CD2">
              <w:rPr>
                <w:rFonts w:cs="Arial"/>
                <w:sz w:val="24"/>
              </w:rPr>
              <w:t xml:space="preserve"> levels (26% compared with 46% for those with low/medium SPA levels). Māori young people had slightly lower enrolment rates (31% compared with 35% for non-Māori young people). Men and women had similar rates of enrolment.</w:t>
            </w:r>
          </w:p>
          <w:p w14:paraId="78ABBDDA" w14:textId="77777777" w:rsidR="00310848" w:rsidRPr="00150CD2" w:rsidRDefault="00310848" w:rsidP="0039393C">
            <w:pPr>
              <w:pStyle w:val="EYTablebullet1"/>
              <w:rPr>
                <w:rFonts w:cs="Arial"/>
                <w:sz w:val="24"/>
              </w:rPr>
            </w:pPr>
            <w:r w:rsidRPr="00150CD2">
              <w:rPr>
                <w:rFonts w:cs="Arial"/>
                <w:sz w:val="24"/>
              </w:rPr>
              <w:t>For non-DSS young people across New Zealand:</w:t>
            </w:r>
          </w:p>
          <w:p w14:paraId="6F9F5C30" w14:textId="35B272E8" w:rsidR="00310848" w:rsidRPr="00150CD2" w:rsidRDefault="00310848" w:rsidP="0039393C">
            <w:pPr>
              <w:pStyle w:val="EYTablebullet2"/>
              <w:rPr>
                <w:rFonts w:cs="Arial"/>
                <w:sz w:val="24"/>
              </w:rPr>
            </w:pPr>
            <w:r w:rsidRPr="00150CD2">
              <w:rPr>
                <w:rFonts w:cs="Arial"/>
                <w:sz w:val="24"/>
              </w:rPr>
              <w:t>Around 66% of 15-19 year olds were enrolled in tertiary education at some point over the 3 year period, including 35% in bachelor level courses, 10% in TEC industry training</w:t>
            </w:r>
            <w:r w:rsidR="00565D55" w:rsidRPr="00150CD2">
              <w:rPr>
                <w:rFonts w:cs="Arial"/>
                <w:sz w:val="24"/>
              </w:rPr>
              <w:t>,</w:t>
            </w:r>
            <w:r w:rsidR="006D2F4A" w:rsidRPr="00150CD2">
              <w:rPr>
                <w:rFonts w:cs="Arial"/>
                <w:sz w:val="24"/>
              </w:rPr>
              <w:t xml:space="preserve"> </w:t>
            </w:r>
            <w:r w:rsidRPr="00150CD2">
              <w:rPr>
                <w:rFonts w:cs="Arial"/>
                <w:sz w:val="24"/>
              </w:rPr>
              <w:t>20% in level 4-7 courses</w:t>
            </w:r>
            <w:r w:rsidR="00565D55" w:rsidRPr="00150CD2">
              <w:rPr>
                <w:rFonts w:cs="Arial"/>
                <w:sz w:val="24"/>
              </w:rPr>
              <w:t xml:space="preserve"> and 19% in level 1 to 3 courses</w:t>
            </w:r>
            <w:r w:rsidRPr="00150CD2">
              <w:rPr>
                <w:rFonts w:cs="Arial"/>
                <w:sz w:val="24"/>
              </w:rPr>
              <w:t>.</w:t>
            </w:r>
          </w:p>
          <w:p w14:paraId="4FA0915A" w14:textId="77777777" w:rsidR="00310848" w:rsidRPr="00150CD2" w:rsidRDefault="00310848" w:rsidP="0039393C">
            <w:pPr>
              <w:pStyle w:val="EYTablebullet2"/>
              <w:rPr>
                <w:rFonts w:cs="Arial"/>
                <w:sz w:val="24"/>
              </w:rPr>
            </w:pPr>
            <w:r w:rsidRPr="00150CD2">
              <w:rPr>
                <w:rFonts w:cs="Arial"/>
                <w:sz w:val="24"/>
              </w:rPr>
              <w:t>Around 48% of 20-24 year olds were enrolled in tertiary education at some point over the 3 year period</w:t>
            </w:r>
          </w:p>
        </w:tc>
      </w:tr>
      <w:tr w:rsidR="00310848" w:rsidRPr="00150CD2" w14:paraId="6DCF9091" w14:textId="77777777" w:rsidTr="00AB63BF">
        <w:tc>
          <w:tcPr>
            <w:tcW w:w="1323" w:type="dxa"/>
            <w:tcBorders>
              <w:top w:val="nil"/>
              <w:bottom w:val="nil"/>
            </w:tcBorders>
          </w:tcPr>
          <w:p w14:paraId="1B957072" w14:textId="77777777" w:rsidR="00310848" w:rsidRPr="00150CD2" w:rsidRDefault="00310848" w:rsidP="0039393C">
            <w:pPr>
              <w:pStyle w:val="EYTableText"/>
              <w:rPr>
                <w:rFonts w:cs="Arial"/>
                <w:sz w:val="24"/>
              </w:rPr>
            </w:pPr>
          </w:p>
        </w:tc>
        <w:tc>
          <w:tcPr>
            <w:tcW w:w="1872" w:type="dxa"/>
          </w:tcPr>
          <w:p w14:paraId="4F077871" w14:textId="77777777" w:rsidR="00310848" w:rsidRPr="00150CD2" w:rsidRDefault="00310848" w:rsidP="0039393C">
            <w:pPr>
              <w:pStyle w:val="EYTableText"/>
              <w:rPr>
                <w:rFonts w:cs="Arial"/>
                <w:sz w:val="24"/>
              </w:rPr>
            </w:pPr>
            <w:r w:rsidRPr="00150CD2">
              <w:rPr>
                <w:rFonts w:cs="Arial"/>
                <w:sz w:val="24"/>
              </w:rPr>
              <w:t>Employment rates</w:t>
            </w:r>
          </w:p>
        </w:tc>
        <w:tc>
          <w:tcPr>
            <w:tcW w:w="10699" w:type="dxa"/>
          </w:tcPr>
          <w:p w14:paraId="6CA45546" w14:textId="77777777" w:rsidR="00310848" w:rsidRPr="00150CD2" w:rsidRDefault="00310848" w:rsidP="0039393C">
            <w:pPr>
              <w:pStyle w:val="EYTableText"/>
              <w:rPr>
                <w:rFonts w:cs="Arial"/>
                <w:sz w:val="24"/>
              </w:rPr>
            </w:pPr>
            <w:r w:rsidRPr="00150CD2">
              <w:rPr>
                <w:rFonts w:cs="Arial"/>
                <w:sz w:val="24"/>
              </w:rPr>
              <w:t>Most DSS young people were partially or wholly reliant on benefit income support over the 3 year period to June 2018. Some reported employment income, however in most cases these were relatively small amounts.</w:t>
            </w:r>
          </w:p>
          <w:p w14:paraId="7768508B" w14:textId="0A73FDF6" w:rsidR="00310848" w:rsidRPr="00150CD2" w:rsidRDefault="00310848" w:rsidP="0039393C">
            <w:pPr>
              <w:pStyle w:val="EYTablebullet1"/>
              <w:rPr>
                <w:rFonts w:cs="Arial"/>
                <w:sz w:val="24"/>
              </w:rPr>
            </w:pPr>
            <w:r w:rsidRPr="00150CD2">
              <w:rPr>
                <w:rFonts w:cs="Arial"/>
                <w:sz w:val="24"/>
              </w:rPr>
              <w:t>28% of DSS young people aged 20-24 reported any employment income over a three year period. Most of this group reported relatively small income amounts; a smaller number (14%) reported employment income of more than $5,000 over at least one year in the period.</w:t>
            </w:r>
            <w:r w:rsidRPr="00150CD2">
              <w:rPr>
                <w:rFonts w:cs="Arial"/>
                <w:sz w:val="24"/>
              </w:rPr>
              <w:br/>
              <w:t xml:space="preserve">Employment rates were lower for Māori young people, women, those with intellectual disability and </w:t>
            </w:r>
            <w:r w:rsidR="00DF5F17" w:rsidRPr="00150CD2">
              <w:rPr>
                <w:rFonts w:cs="Arial"/>
                <w:sz w:val="24"/>
              </w:rPr>
              <w:t>high/very high SPA</w:t>
            </w:r>
            <w:r w:rsidRPr="00150CD2">
              <w:rPr>
                <w:rFonts w:cs="Arial"/>
                <w:sz w:val="24"/>
              </w:rPr>
              <w:t xml:space="preserve"> levels.</w:t>
            </w:r>
          </w:p>
          <w:p w14:paraId="77E6D6E9" w14:textId="09DEAE3E" w:rsidR="00310848" w:rsidRPr="00150CD2" w:rsidRDefault="00310848" w:rsidP="0039393C">
            <w:pPr>
              <w:pStyle w:val="EYTablebullet1"/>
              <w:rPr>
                <w:rFonts w:cs="Arial"/>
                <w:sz w:val="24"/>
              </w:rPr>
            </w:pPr>
            <w:r w:rsidRPr="00150CD2">
              <w:rPr>
                <w:rFonts w:cs="Arial"/>
                <w:sz w:val="24"/>
              </w:rPr>
              <w:t xml:space="preserve">Employment rates in the broader non-DSS population were substantially higher; 91% of 20-24 year olds reported any income and 85% reported income of more than $5,000 over at least one year over the 3 year period. </w:t>
            </w:r>
          </w:p>
        </w:tc>
      </w:tr>
      <w:tr w:rsidR="00310848" w:rsidRPr="00150CD2" w14:paraId="4B9932C9" w14:textId="77777777" w:rsidTr="00AB63BF">
        <w:tc>
          <w:tcPr>
            <w:tcW w:w="1323" w:type="dxa"/>
            <w:tcBorders>
              <w:top w:val="nil"/>
              <w:bottom w:val="nil"/>
            </w:tcBorders>
          </w:tcPr>
          <w:p w14:paraId="4EEA087B" w14:textId="77777777" w:rsidR="00310848" w:rsidRPr="00150CD2" w:rsidRDefault="00310848" w:rsidP="0039393C">
            <w:pPr>
              <w:pStyle w:val="EYTableText"/>
              <w:rPr>
                <w:rFonts w:cs="Arial"/>
                <w:sz w:val="24"/>
              </w:rPr>
            </w:pPr>
          </w:p>
        </w:tc>
        <w:tc>
          <w:tcPr>
            <w:tcW w:w="1872" w:type="dxa"/>
          </w:tcPr>
          <w:p w14:paraId="03542FA1" w14:textId="02E2B619" w:rsidR="00310848" w:rsidRPr="00150CD2" w:rsidRDefault="00310848" w:rsidP="0039393C">
            <w:pPr>
              <w:pStyle w:val="EYTableText"/>
              <w:rPr>
                <w:rFonts w:cs="Arial"/>
                <w:sz w:val="24"/>
              </w:rPr>
            </w:pPr>
            <w:r w:rsidRPr="00150CD2">
              <w:rPr>
                <w:rFonts w:cs="Arial"/>
                <w:sz w:val="24"/>
              </w:rPr>
              <w:t>Driver licences</w:t>
            </w:r>
          </w:p>
        </w:tc>
        <w:tc>
          <w:tcPr>
            <w:tcW w:w="10699" w:type="dxa"/>
          </w:tcPr>
          <w:p w14:paraId="4FB3D7E7" w14:textId="6A9DB46C" w:rsidR="00310848" w:rsidRPr="00150CD2" w:rsidRDefault="00310848" w:rsidP="0039393C">
            <w:pPr>
              <w:pStyle w:val="EYTablebullet1"/>
              <w:rPr>
                <w:rFonts w:cs="Arial"/>
                <w:sz w:val="24"/>
              </w:rPr>
            </w:pPr>
            <w:r w:rsidRPr="00150CD2">
              <w:rPr>
                <w:rFonts w:cs="Arial"/>
                <w:sz w:val="24"/>
              </w:rPr>
              <w:t>5% of DSS young people aged 20-24 had their full driver licence at June 2018. For non-DSS young people aged 20-24, 36% had a current full licence.</w:t>
            </w:r>
          </w:p>
          <w:p w14:paraId="416E9D66" w14:textId="78134190" w:rsidR="00310848" w:rsidRPr="00150CD2" w:rsidRDefault="00310848" w:rsidP="0039393C">
            <w:pPr>
              <w:pStyle w:val="EYTablebullet1"/>
              <w:rPr>
                <w:rFonts w:cs="Arial"/>
                <w:sz w:val="24"/>
              </w:rPr>
            </w:pPr>
            <w:r w:rsidRPr="00150CD2">
              <w:rPr>
                <w:rFonts w:cs="Arial"/>
                <w:sz w:val="24"/>
              </w:rPr>
              <w:t xml:space="preserve">Within the DSS </w:t>
            </w:r>
            <w:r w:rsidR="007C10CD" w:rsidRPr="00150CD2">
              <w:rPr>
                <w:rFonts w:cs="Arial"/>
                <w:sz w:val="24"/>
              </w:rPr>
              <w:t xml:space="preserve">young person </w:t>
            </w:r>
            <w:r w:rsidRPr="00150CD2">
              <w:rPr>
                <w:rFonts w:cs="Arial"/>
                <w:sz w:val="24"/>
              </w:rPr>
              <w:t xml:space="preserve">group, licence rates are lower for those with intellectual disability (2% compared with 10% for those with other disability types), </w:t>
            </w:r>
            <w:r w:rsidR="00DF5F17" w:rsidRPr="00150CD2">
              <w:rPr>
                <w:rFonts w:cs="Arial"/>
                <w:sz w:val="24"/>
              </w:rPr>
              <w:t>high/very high SPA</w:t>
            </w:r>
            <w:r w:rsidRPr="00150CD2">
              <w:rPr>
                <w:rFonts w:cs="Arial"/>
                <w:sz w:val="24"/>
              </w:rPr>
              <w:t xml:space="preserve"> levels (4% have licences) and for Māori young people (4% have licences). </w:t>
            </w:r>
          </w:p>
        </w:tc>
      </w:tr>
      <w:tr w:rsidR="00310848" w:rsidRPr="00150CD2" w14:paraId="06E06FD3" w14:textId="77777777" w:rsidTr="00AB63BF">
        <w:tc>
          <w:tcPr>
            <w:tcW w:w="1323" w:type="dxa"/>
            <w:tcBorders>
              <w:top w:val="nil"/>
              <w:bottom w:val="nil"/>
            </w:tcBorders>
          </w:tcPr>
          <w:p w14:paraId="4F3E35F7" w14:textId="77777777" w:rsidR="00310848" w:rsidRPr="00150CD2" w:rsidRDefault="00310848" w:rsidP="0039393C">
            <w:pPr>
              <w:pStyle w:val="EYTableText"/>
              <w:rPr>
                <w:rFonts w:cs="Arial"/>
                <w:sz w:val="24"/>
                <w:highlight w:val="yellow"/>
              </w:rPr>
            </w:pPr>
          </w:p>
        </w:tc>
        <w:tc>
          <w:tcPr>
            <w:tcW w:w="1872" w:type="dxa"/>
          </w:tcPr>
          <w:p w14:paraId="20A9229E" w14:textId="77777777" w:rsidR="00310848" w:rsidRPr="00150CD2" w:rsidRDefault="00310848" w:rsidP="0039393C">
            <w:pPr>
              <w:pStyle w:val="EYTableText"/>
              <w:rPr>
                <w:rFonts w:cs="Arial"/>
                <w:sz w:val="24"/>
              </w:rPr>
            </w:pPr>
            <w:r w:rsidRPr="00150CD2">
              <w:rPr>
                <w:rFonts w:cs="Arial"/>
                <w:sz w:val="24"/>
              </w:rPr>
              <w:t>Ambulatory sensitive hospitalisations, ED contacts and injury related hospitalisations</w:t>
            </w:r>
          </w:p>
        </w:tc>
        <w:tc>
          <w:tcPr>
            <w:tcW w:w="10699" w:type="dxa"/>
          </w:tcPr>
          <w:p w14:paraId="13A1D1BB" w14:textId="5F571A01" w:rsidR="00310848" w:rsidRPr="00150CD2" w:rsidRDefault="00310848" w:rsidP="0039393C">
            <w:pPr>
              <w:pStyle w:val="EYTablebullet1"/>
              <w:rPr>
                <w:rFonts w:cs="Arial"/>
                <w:sz w:val="24"/>
              </w:rPr>
            </w:pPr>
            <w:r w:rsidRPr="00150CD2">
              <w:rPr>
                <w:rFonts w:cs="Arial"/>
                <w:sz w:val="24"/>
              </w:rPr>
              <w:t xml:space="preserve">15% of 15-24 year old DSS young people had ambulatory sensitive hospitalisations </w:t>
            </w:r>
            <w:r w:rsidR="007C10CD" w:rsidRPr="00150CD2">
              <w:rPr>
                <w:rFonts w:cs="Arial"/>
                <w:sz w:val="24"/>
              </w:rPr>
              <w:t xml:space="preserve">(ASH) </w:t>
            </w:r>
            <w:r w:rsidRPr="00150CD2">
              <w:rPr>
                <w:rFonts w:cs="Arial"/>
                <w:sz w:val="24"/>
              </w:rPr>
              <w:t>over the 3 year period, around 7</w:t>
            </w:r>
            <w:r w:rsidR="00CA4326" w:rsidRPr="00150CD2">
              <w:rPr>
                <w:rFonts w:cs="Arial"/>
                <w:sz w:val="24"/>
              </w:rPr>
              <w:t xml:space="preserve"> times </w:t>
            </w:r>
            <w:r w:rsidRPr="00150CD2">
              <w:rPr>
                <w:rFonts w:cs="Arial"/>
                <w:sz w:val="24"/>
              </w:rPr>
              <w:t xml:space="preserve">higher than the </w:t>
            </w:r>
            <w:r w:rsidR="007C10CD" w:rsidRPr="00150CD2">
              <w:rPr>
                <w:rFonts w:cs="Arial"/>
                <w:sz w:val="24"/>
              </w:rPr>
              <w:t xml:space="preserve">ASH </w:t>
            </w:r>
            <w:r w:rsidRPr="00150CD2">
              <w:rPr>
                <w:rFonts w:cs="Arial"/>
                <w:sz w:val="24"/>
              </w:rPr>
              <w:t>rate for other young people (2%).</w:t>
            </w:r>
          </w:p>
          <w:p w14:paraId="41F7AD9A" w14:textId="4340A777" w:rsidR="00310848" w:rsidRPr="00150CD2" w:rsidRDefault="00310848" w:rsidP="0039393C">
            <w:pPr>
              <w:pStyle w:val="EYTablebullet1"/>
              <w:rPr>
                <w:rFonts w:cs="Arial"/>
                <w:sz w:val="24"/>
              </w:rPr>
            </w:pPr>
            <w:r w:rsidRPr="00150CD2">
              <w:rPr>
                <w:rFonts w:cs="Arial"/>
                <w:sz w:val="24"/>
              </w:rPr>
              <w:t xml:space="preserve">ASH rates were significantly higher for </w:t>
            </w:r>
            <w:r w:rsidR="007C10CD" w:rsidRPr="00150CD2">
              <w:rPr>
                <w:rFonts w:cs="Arial"/>
                <w:sz w:val="24"/>
              </w:rPr>
              <w:t xml:space="preserve">DSS </w:t>
            </w:r>
            <w:r w:rsidRPr="00150CD2">
              <w:rPr>
                <w:rFonts w:cs="Arial"/>
                <w:sz w:val="24"/>
              </w:rPr>
              <w:t>young people with high/very high SPA levels (2.5</w:t>
            </w:r>
            <w:r w:rsidR="00CA4326" w:rsidRPr="00150CD2">
              <w:rPr>
                <w:rFonts w:cs="Arial"/>
                <w:sz w:val="24"/>
              </w:rPr>
              <w:t xml:space="preserve"> times </w:t>
            </w:r>
            <w:r w:rsidRPr="00150CD2">
              <w:rPr>
                <w:rFonts w:cs="Arial"/>
                <w:sz w:val="24"/>
              </w:rPr>
              <w:t xml:space="preserve">that of </w:t>
            </w:r>
            <w:r w:rsidR="007C10CD" w:rsidRPr="00150CD2">
              <w:rPr>
                <w:rFonts w:cs="Arial"/>
                <w:sz w:val="24"/>
              </w:rPr>
              <w:t>DSS young people</w:t>
            </w:r>
            <w:r w:rsidRPr="00150CD2">
              <w:rPr>
                <w:rFonts w:cs="Arial"/>
                <w:sz w:val="24"/>
              </w:rPr>
              <w:t xml:space="preserve"> with low/medium SPA levels). Māori young people, women and those with intellectual disability experienced slightly higher ASH rates (differences of around 1-2 percentage points).</w:t>
            </w:r>
          </w:p>
          <w:p w14:paraId="55CBCF66" w14:textId="77777777" w:rsidR="00310848" w:rsidRPr="00150CD2" w:rsidRDefault="00310848" w:rsidP="0039393C">
            <w:pPr>
              <w:pStyle w:val="EYTablebullet1"/>
              <w:rPr>
                <w:rFonts w:cs="Arial"/>
                <w:sz w:val="24"/>
              </w:rPr>
            </w:pPr>
            <w:r w:rsidRPr="00150CD2">
              <w:rPr>
                <w:rFonts w:cs="Arial"/>
                <w:sz w:val="24"/>
              </w:rPr>
              <w:t>Injury related ED contact and hospitalisation rates were broadly similar to those for other young people.</w:t>
            </w:r>
          </w:p>
        </w:tc>
      </w:tr>
      <w:tr w:rsidR="00310848" w:rsidRPr="00150CD2" w14:paraId="4175C328" w14:textId="77777777" w:rsidTr="00AB63BF">
        <w:tc>
          <w:tcPr>
            <w:tcW w:w="1323" w:type="dxa"/>
            <w:tcBorders>
              <w:top w:val="nil"/>
              <w:bottom w:val="nil"/>
            </w:tcBorders>
          </w:tcPr>
          <w:p w14:paraId="6B2E971D" w14:textId="77777777" w:rsidR="00310848" w:rsidRPr="00150CD2" w:rsidRDefault="00310848" w:rsidP="0039393C">
            <w:pPr>
              <w:pStyle w:val="EYTableText"/>
              <w:rPr>
                <w:rFonts w:cs="Arial"/>
                <w:sz w:val="24"/>
                <w:highlight w:val="yellow"/>
              </w:rPr>
            </w:pPr>
          </w:p>
        </w:tc>
        <w:tc>
          <w:tcPr>
            <w:tcW w:w="1872" w:type="dxa"/>
          </w:tcPr>
          <w:p w14:paraId="75682CD7" w14:textId="77777777" w:rsidR="00310848" w:rsidRPr="00150CD2" w:rsidRDefault="00310848" w:rsidP="0039393C">
            <w:pPr>
              <w:pStyle w:val="EYTableText"/>
              <w:rPr>
                <w:rFonts w:cs="Arial"/>
                <w:sz w:val="24"/>
              </w:rPr>
            </w:pPr>
            <w:r w:rsidRPr="00150CD2">
              <w:rPr>
                <w:rFonts w:cs="Arial"/>
                <w:sz w:val="24"/>
              </w:rPr>
              <w:t>Mental health service contact and treatment</w:t>
            </w:r>
          </w:p>
        </w:tc>
        <w:tc>
          <w:tcPr>
            <w:tcW w:w="10699" w:type="dxa"/>
          </w:tcPr>
          <w:p w14:paraId="388D374E" w14:textId="1DFFF100" w:rsidR="00310848" w:rsidRPr="00150CD2" w:rsidRDefault="00310848" w:rsidP="0039393C">
            <w:pPr>
              <w:pStyle w:val="EYTablebullet1"/>
              <w:spacing w:before="0" w:after="120"/>
              <w:rPr>
                <w:rFonts w:cs="Arial"/>
                <w:sz w:val="24"/>
              </w:rPr>
            </w:pPr>
            <w:r w:rsidRPr="00150CD2">
              <w:rPr>
                <w:rFonts w:cs="Arial"/>
                <w:sz w:val="24"/>
              </w:rPr>
              <w:t xml:space="preserve">Just under 1 in 3 </w:t>
            </w:r>
            <w:r w:rsidR="00807BA0" w:rsidRPr="00150CD2">
              <w:rPr>
                <w:rFonts w:cs="Arial"/>
                <w:sz w:val="24"/>
              </w:rPr>
              <w:t xml:space="preserve">DSS </w:t>
            </w:r>
            <w:r w:rsidRPr="00150CD2">
              <w:rPr>
                <w:rFonts w:cs="Arial"/>
                <w:sz w:val="24"/>
              </w:rPr>
              <w:t>young people (30%) had contact with mental health services from community providers or hospitals over the three year period.</w:t>
            </w:r>
            <w:r w:rsidR="00807BA0" w:rsidRPr="00150CD2">
              <w:rPr>
                <w:rFonts w:cs="Arial"/>
                <w:sz w:val="24"/>
              </w:rPr>
              <w:t xml:space="preserve"> </w:t>
            </w:r>
            <w:r w:rsidR="00B1532F" w:rsidRPr="00150CD2">
              <w:rPr>
                <w:rFonts w:cs="Arial"/>
                <w:sz w:val="24"/>
              </w:rPr>
              <w:t>This compares to 8% of non-DSS young people across New Zealand.</w:t>
            </w:r>
            <w:r w:rsidR="00B1532F" w:rsidRPr="00150CD2" w:rsidDel="00B1532F">
              <w:rPr>
                <w:rFonts w:cs="Arial"/>
                <w:sz w:val="24"/>
              </w:rPr>
              <w:t xml:space="preserve"> </w:t>
            </w:r>
            <w:r w:rsidRPr="00150CD2">
              <w:rPr>
                <w:rFonts w:cs="Arial"/>
                <w:sz w:val="24"/>
              </w:rPr>
              <w:br/>
              <w:t xml:space="preserve">Note that this includes some </w:t>
            </w:r>
            <w:r w:rsidR="000E4BD7" w:rsidRPr="00150CD2">
              <w:rPr>
                <w:rFonts w:cs="Arial"/>
                <w:sz w:val="24"/>
              </w:rPr>
              <w:t>disability-specific health services</w:t>
            </w:r>
            <w:r w:rsidRPr="00150CD2">
              <w:rPr>
                <w:rFonts w:cs="Arial"/>
                <w:sz w:val="24"/>
              </w:rPr>
              <w:t xml:space="preserve"> as well as other mental health services, as the data does not explicitly identify which contacts </w:t>
            </w:r>
            <w:r w:rsidR="000E4BD7" w:rsidRPr="00150CD2">
              <w:rPr>
                <w:rFonts w:cs="Arial"/>
                <w:sz w:val="24"/>
              </w:rPr>
              <w:t>are specifically related to disability</w:t>
            </w:r>
            <w:r w:rsidRPr="00150CD2">
              <w:rPr>
                <w:rFonts w:cs="Arial"/>
                <w:sz w:val="24"/>
              </w:rPr>
              <w:t xml:space="preserve">. The exception is Intellectual Disability teams which has been excluded from the above figures. </w:t>
            </w:r>
          </w:p>
          <w:p w14:paraId="1C8F8747" w14:textId="4D97067A" w:rsidR="00310848" w:rsidRPr="00150CD2" w:rsidRDefault="00310848" w:rsidP="0039393C">
            <w:pPr>
              <w:pStyle w:val="EYTablebullet1"/>
              <w:spacing w:before="0" w:after="120"/>
              <w:rPr>
                <w:rFonts w:cs="Arial"/>
                <w:sz w:val="24"/>
              </w:rPr>
            </w:pPr>
            <w:r w:rsidRPr="00150CD2">
              <w:rPr>
                <w:rFonts w:cs="Arial"/>
                <w:sz w:val="24"/>
              </w:rPr>
              <w:t xml:space="preserve">Within the DSS 15-24 year old group, </w:t>
            </w:r>
            <w:r w:rsidR="002B7341" w:rsidRPr="00150CD2">
              <w:rPr>
                <w:rFonts w:cs="Arial"/>
                <w:sz w:val="24"/>
              </w:rPr>
              <w:t xml:space="preserve">mental health </w:t>
            </w:r>
            <w:r w:rsidRPr="00150CD2">
              <w:rPr>
                <w:rFonts w:cs="Arial"/>
                <w:sz w:val="24"/>
              </w:rPr>
              <w:t xml:space="preserve">service contact rates were higher for Māori (34% compared with 29% for non-Māori) and men (31% </w:t>
            </w:r>
            <w:r w:rsidR="002B7341" w:rsidRPr="00150CD2">
              <w:rPr>
                <w:rFonts w:cs="Arial"/>
                <w:sz w:val="24"/>
              </w:rPr>
              <w:t xml:space="preserve">compared </w:t>
            </w:r>
            <w:r w:rsidR="006D2F4A" w:rsidRPr="00150CD2">
              <w:rPr>
                <w:rFonts w:cs="Arial"/>
                <w:sz w:val="24"/>
              </w:rPr>
              <w:t>w</w:t>
            </w:r>
            <w:r w:rsidR="002B7341" w:rsidRPr="00150CD2">
              <w:rPr>
                <w:rFonts w:cs="Arial"/>
                <w:sz w:val="24"/>
              </w:rPr>
              <w:t>ith</w:t>
            </w:r>
            <w:r w:rsidRPr="00150CD2">
              <w:rPr>
                <w:rFonts w:cs="Arial"/>
                <w:sz w:val="24"/>
              </w:rPr>
              <w:t xml:space="preserve"> 29% for women), and similar across disability types and SPA levels.</w:t>
            </w:r>
            <w:r w:rsidR="002B7341" w:rsidRPr="00150CD2">
              <w:rPr>
                <w:rFonts w:cs="Arial"/>
                <w:sz w:val="24"/>
              </w:rPr>
              <w:t xml:space="preserve"> This reflects higher mental health service contact rates for Māori young people outside the DSS population (13% had provider contact over the three year period compared with 7% for non-Māori young people). One difference is that in the non-DSS population aged 15-24, women are more likely than men to have mental health service provider contact (9% had provider contact over the three year period compared with 7% of men).</w:t>
            </w:r>
          </w:p>
          <w:p w14:paraId="051CEB26" w14:textId="20FB4A9E" w:rsidR="00310848" w:rsidRPr="00150CD2" w:rsidRDefault="00310848" w:rsidP="00565D55">
            <w:pPr>
              <w:pStyle w:val="EYTablebullet1"/>
              <w:spacing w:before="0" w:after="120"/>
              <w:rPr>
                <w:rFonts w:cs="Arial"/>
                <w:sz w:val="24"/>
              </w:rPr>
            </w:pPr>
            <w:r w:rsidRPr="00150CD2">
              <w:rPr>
                <w:rFonts w:cs="Arial"/>
                <w:sz w:val="24"/>
              </w:rPr>
              <w:t xml:space="preserve">A higher proportion of young people with ASD and </w:t>
            </w:r>
            <w:r w:rsidR="00DF5F17" w:rsidRPr="00150CD2">
              <w:rPr>
                <w:rFonts w:cs="Arial"/>
                <w:sz w:val="24"/>
              </w:rPr>
              <w:t>high/very high SPA</w:t>
            </w:r>
            <w:r w:rsidRPr="00150CD2">
              <w:rPr>
                <w:rFonts w:cs="Arial"/>
                <w:sz w:val="24"/>
              </w:rPr>
              <w:t xml:space="preserve"> levels had mental health related pharmaceutical treatment over the period (42% and 39% respectively, compared with 33% of young people with intellectual disability and 32% of those with low/medium SPA levels).</w:t>
            </w:r>
          </w:p>
        </w:tc>
      </w:tr>
      <w:tr w:rsidR="00565D55" w:rsidRPr="00150CD2" w14:paraId="14EE22F1" w14:textId="77777777" w:rsidTr="00AB63BF">
        <w:tc>
          <w:tcPr>
            <w:tcW w:w="1323" w:type="dxa"/>
            <w:tcBorders>
              <w:top w:val="nil"/>
              <w:bottom w:val="nil"/>
            </w:tcBorders>
          </w:tcPr>
          <w:p w14:paraId="714AEFEB" w14:textId="77777777" w:rsidR="00565D55" w:rsidRPr="00150CD2" w:rsidRDefault="00565D55" w:rsidP="0039393C">
            <w:pPr>
              <w:pStyle w:val="EYTableText"/>
              <w:rPr>
                <w:rFonts w:cs="Arial"/>
                <w:sz w:val="24"/>
                <w:highlight w:val="yellow"/>
              </w:rPr>
            </w:pPr>
          </w:p>
        </w:tc>
        <w:tc>
          <w:tcPr>
            <w:tcW w:w="1872" w:type="dxa"/>
          </w:tcPr>
          <w:p w14:paraId="62E30121" w14:textId="793596DD" w:rsidR="00565D55" w:rsidRPr="00150CD2" w:rsidRDefault="00565D55" w:rsidP="0039393C">
            <w:pPr>
              <w:pStyle w:val="EYTableText"/>
              <w:rPr>
                <w:rFonts w:cs="Arial"/>
                <w:sz w:val="24"/>
              </w:rPr>
            </w:pPr>
            <w:r w:rsidRPr="00150CD2">
              <w:rPr>
                <w:rFonts w:cs="Arial"/>
                <w:sz w:val="24"/>
              </w:rPr>
              <w:t>Pharmaceuticals</w:t>
            </w:r>
          </w:p>
        </w:tc>
        <w:tc>
          <w:tcPr>
            <w:tcW w:w="10699" w:type="dxa"/>
          </w:tcPr>
          <w:p w14:paraId="39AF4B72" w14:textId="203196A4" w:rsidR="00565D55" w:rsidRPr="00150CD2" w:rsidRDefault="00565D55" w:rsidP="0039393C">
            <w:pPr>
              <w:pStyle w:val="EYTablebullet1"/>
              <w:rPr>
                <w:rFonts w:cs="Arial"/>
                <w:sz w:val="24"/>
              </w:rPr>
            </w:pPr>
            <w:r w:rsidRPr="00150CD2">
              <w:rPr>
                <w:rFonts w:cs="Arial"/>
                <w:sz w:val="24"/>
              </w:rPr>
              <w:t xml:space="preserve">DSS young people received treatment from a wider range of pharmaceutical types than other young people, with an average of 4.3 pharmaceutical products </w:t>
            </w:r>
            <w:r w:rsidR="00B3056C" w:rsidRPr="00150CD2">
              <w:rPr>
                <w:rFonts w:cs="Arial"/>
                <w:sz w:val="24"/>
              </w:rPr>
              <w:t>dispensed</w:t>
            </w:r>
            <w:r w:rsidRPr="00150CD2">
              <w:rPr>
                <w:rFonts w:cs="Arial"/>
                <w:sz w:val="24"/>
              </w:rPr>
              <w:t xml:space="preserve"> compared with 2.4 for non-DSS young people over the year to 30 June 2017.</w:t>
            </w:r>
          </w:p>
        </w:tc>
      </w:tr>
      <w:tr w:rsidR="00310848" w:rsidRPr="00150CD2" w14:paraId="6679A010" w14:textId="77777777" w:rsidTr="00AB63BF">
        <w:tc>
          <w:tcPr>
            <w:tcW w:w="1323" w:type="dxa"/>
            <w:tcBorders>
              <w:top w:val="nil"/>
              <w:bottom w:val="nil"/>
            </w:tcBorders>
          </w:tcPr>
          <w:p w14:paraId="5DCCB1C4" w14:textId="77777777" w:rsidR="00310848" w:rsidRPr="00150CD2" w:rsidRDefault="00310848" w:rsidP="0039393C">
            <w:pPr>
              <w:pStyle w:val="EYTableText"/>
              <w:rPr>
                <w:rFonts w:cs="Arial"/>
                <w:sz w:val="24"/>
                <w:highlight w:val="yellow"/>
              </w:rPr>
            </w:pPr>
          </w:p>
        </w:tc>
        <w:tc>
          <w:tcPr>
            <w:tcW w:w="1872" w:type="dxa"/>
          </w:tcPr>
          <w:p w14:paraId="10CC9D0C" w14:textId="77777777" w:rsidR="00310848" w:rsidRPr="00150CD2" w:rsidRDefault="00310848" w:rsidP="0039393C">
            <w:pPr>
              <w:pStyle w:val="EYTableText"/>
              <w:rPr>
                <w:rFonts w:cs="Arial"/>
                <w:sz w:val="24"/>
              </w:rPr>
            </w:pPr>
            <w:r w:rsidRPr="00150CD2">
              <w:rPr>
                <w:rFonts w:cs="Arial"/>
                <w:sz w:val="24"/>
              </w:rPr>
              <w:t>Offences</w:t>
            </w:r>
          </w:p>
        </w:tc>
        <w:tc>
          <w:tcPr>
            <w:tcW w:w="10699" w:type="dxa"/>
          </w:tcPr>
          <w:p w14:paraId="14B19DF8" w14:textId="6CD28793" w:rsidR="00310848" w:rsidRPr="00150CD2" w:rsidRDefault="00310848" w:rsidP="0039393C">
            <w:pPr>
              <w:pStyle w:val="EYTablebullet1"/>
              <w:rPr>
                <w:rFonts w:cs="Arial"/>
                <w:sz w:val="24"/>
              </w:rPr>
            </w:pPr>
            <w:r w:rsidRPr="00150CD2">
              <w:rPr>
                <w:rFonts w:cs="Arial"/>
                <w:sz w:val="24"/>
              </w:rPr>
              <w:t>9% of 15-24 year old DSS young people were involved in Police recorded offences over the 3 year period. Overall offending rates were lower than for non-DSS young people (11% over the same 3 year period), however the proportion of DSS young people with high</w:t>
            </w:r>
            <w:r w:rsidR="008C7B3C" w:rsidRPr="00150CD2">
              <w:rPr>
                <w:rFonts w:cs="Arial"/>
                <w:sz w:val="24"/>
              </w:rPr>
              <w:t>-</w:t>
            </w:r>
            <w:r w:rsidRPr="00150CD2">
              <w:rPr>
                <w:rFonts w:cs="Arial"/>
                <w:sz w:val="24"/>
              </w:rPr>
              <w:t>level offences</w:t>
            </w:r>
            <w:r w:rsidR="008C7B3C" w:rsidRPr="00150CD2">
              <w:rPr>
                <w:rStyle w:val="FootnoteReference"/>
                <w:rFonts w:ascii="Arial" w:hAnsi="Arial" w:cs="Arial"/>
              </w:rPr>
              <w:footnoteReference w:id="56"/>
            </w:r>
            <w:r w:rsidRPr="00150CD2">
              <w:rPr>
                <w:rFonts w:cs="Arial"/>
                <w:sz w:val="24"/>
              </w:rPr>
              <w:t xml:space="preserve"> was slightly higher (4% had high</w:t>
            </w:r>
            <w:r w:rsidR="008C7B3C" w:rsidRPr="00150CD2">
              <w:rPr>
                <w:rFonts w:cs="Arial"/>
                <w:sz w:val="24"/>
              </w:rPr>
              <w:t>-</w:t>
            </w:r>
            <w:r w:rsidRPr="00150CD2">
              <w:rPr>
                <w:rFonts w:cs="Arial"/>
                <w:sz w:val="24"/>
              </w:rPr>
              <w:t>level offences over the period, compared with 3% for non-DSS young people).</w:t>
            </w:r>
          </w:p>
          <w:p w14:paraId="7D05E6F1" w14:textId="77777777" w:rsidR="00310848" w:rsidRPr="00150CD2" w:rsidRDefault="00310848" w:rsidP="0039393C">
            <w:pPr>
              <w:pStyle w:val="EYTablebullet1"/>
              <w:rPr>
                <w:rFonts w:cs="Arial"/>
                <w:sz w:val="24"/>
              </w:rPr>
            </w:pPr>
            <w:r w:rsidRPr="00150CD2">
              <w:rPr>
                <w:rFonts w:cs="Arial"/>
                <w:sz w:val="24"/>
              </w:rPr>
              <w:t>Offending rates were higher for men, Māori young people and those with intellectual disability. These reflect the profile of the broader population, although differences by gender and for Māori/non-Māori were smaller for DSS clients than for non-DSS young people.</w:t>
            </w:r>
          </w:p>
        </w:tc>
      </w:tr>
      <w:tr w:rsidR="00310848" w:rsidRPr="00150CD2" w14:paraId="27AD40E8" w14:textId="77777777" w:rsidTr="00AB63BF">
        <w:tc>
          <w:tcPr>
            <w:tcW w:w="1323" w:type="dxa"/>
            <w:tcBorders>
              <w:top w:val="nil"/>
              <w:bottom w:val="single" w:sz="4" w:space="0" w:color="auto"/>
            </w:tcBorders>
          </w:tcPr>
          <w:p w14:paraId="62FE7108" w14:textId="77777777" w:rsidR="00310848" w:rsidRPr="00150CD2" w:rsidRDefault="00310848" w:rsidP="0039393C">
            <w:pPr>
              <w:pStyle w:val="EYTableText"/>
              <w:rPr>
                <w:rFonts w:cs="Arial"/>
                <w:sz w:val="24"/>
                <w:highlight w:val="yellow"/>
              </w:rPr>
            </w:pPr>
          </w:p>
        </w:tc>
        <w:tc>
          <w:tcPr>
            <w:tcW w:w="1872" w:type="dxa"/>
          </w:tcPr>
          <w:p w14:paraId="56433D56" w14:textId="77777777" w:rsidR="00310848" w:rsidRPr="00150CD2" w:rsidRDefault="00310848" w:rsidP="0039393C">
            <w:pPr>
              <w:pStyle w:val="EYTableText"/>
              <w:rPr>
                <w:rFonts w:cs="Arial"/>
                <w:sz w:val="24"/>
              </w:rPr>
            </w:pPr>
            <w:r w:rsidRPr="00150CD2">
              <w:rPr>
                <w:rFonts w:cs="Arial"/>
                <w:sz w:val="24"/>
              </w:rPr>
              <w:t>Safety – victimisation</w:t>
            </w:r>
          </w:p>
        </w:tc>
        <w:tc>
          <w:tcPr>
            <w:tcW w:w="10699" w:type="dxa"/>
          </w:tcPr>
          <w:p w14:paraId="6C94E8A0" w14:textId="282C5630" w:rsidR="00310848" w:rsidRPr="00150CD2" w:rsidRDefault="00310848" w:rsidP="0039393C">
            <w:pPr>
              <w:pStyle w:val="EYTablebullet1"/>
              <w:rPr>
                <w:rFonts w:cs="Arial"/>
                <w:sz w:val="24"/>
              </w:rPr>
            </w:pPr>
            <w:r w:rsidRPr="00150CD2">
              <w:rPr>
                <w:rFonts w:cs="Arial"/>
                <w:sz w:val="24"/>
              </w:rPr>
              <w:t xml:space="preserve">10% of DSS young people were recorded by Police as </w:t>
            </w:r>
            <w:r w:rsidR="00212776" w:rsidRPr="00150CD2">
              <w:rPr>
                <w:rFonts w:cs="Arial"/>
                <w:sz w:val="24"/>
              </w:rPr>
              <w:t>being a victim of crime</w:t>
            </w:r>
            <w:r w:rsidRPr="00150CD2">
              <w:rPr>
                <w:rFonts w:cs="Arial"/>
                <w:sz w:val="24"/>
              </w:rPr>
              <w:t xml:space="preserve"> over the 3 year period to June 2018, similar to the national average for this age group. Māori young adults and those with intellectual disability were more likely to have recorded victimisations (12% of Māori young people compared with 9% of non-Māori young people, and 11% of young people with intellectual disability compared with 7% of those with ASD and physical disability).</w:t>
            </w:r>
          </w:p>
        </w:tc>
      </w:tr>
      <w:tr w:rsidR="00310848" w:rsidRPr="00150CD2" w14:paraId="7E474D17" w14:textId="77777777" w:rsidTr="00AB63BF">
        <w:tc>
          <w:tcPr>
            <w:tcW w:w="1323" w:type="dxa"/>
            <w:tcBorders>
              <w:bottom w:val="nil"/>
            </w:tcBorders>
          </w:tcPr>
          <w:p w14:paraId="3C9FC4A5" w14:textId="77777777" w:rsidR="00310848" w:rsidRPr="00150CD2" w:rsidRDefault="00310848" w:rsidP="0039393C">
            <w:pPr>
              <w:pStyle w:val="EYTableText"/>
              <w:rPr>
                <w:rFonts w:cs="Arial"/>
                <w:sz w:val="24"/>
              </w:rPr>
            </w:pPr>
            <w:r w:rsidRPr="00150CD2">
              <w:rPr>
                <w:rFonts w:cs="Arial"/>
                <w:sz w:val="24"/>
              </w:rPr>
              <w:t>Family / whānau and household</w:t>
            </w:r>
          </w:p>
        </w:tc>
        <w:tc>
          <w:tcPr>
            <w:tcW w:w="1872" w:type="dxa"/>
          </w:tcPr>
          <w:p w14:paraId="5847C8E7" w14:textId="77777777" w:rsidR="00310848" w:rsidRPr="00150CD2" w:rsidRDefault="00310848" w:rsidP="0039393C">
            <w:pPr>
              <w:pStyle w:val="EYTableText"/>
              <w:rPr>
                <w:rFonts w:cs="Arial"/>
                <w:sz w:val="24"/>
              </w:rPr>
            </w:pPr>
            <w:r w:rsidRPr="00150CD2">
              <w:rPr>
                <w:rFonts w:cs="Arial"/>
                <w:sz w:val="24"/>
              </w:rPr>
              <w:t>Family units, parental employment and relationships</w:t>
            </w:r>
          </w:p>
        </w:tc>
        <w:tc>
          <w:tcPr>
            <w:tcW w:w="10699" w:type="dxa"/>
          </w:tcPr>
          <w:p w14:paraId="7FCB22D5" w14:textId="6BFCB4AC" w:rsidR="00936B58" w:rsidRPr="00150CD2" w:rsidRDefault="00936B58" w:rsidP="00936B58">
            <w:pPr>
              <w:pStyle w:val="EYTableText"/>
              <w:spacing w:before="0" w:after="120"/>
              <w:rPr>
                <w:rFonts w:cs="Arial"/>
                <w:i/>
                <w:iCs/>
                <w:sz w:val="24"/>
              </w:rPr>
            </w:pPr>
            <w:r w:rsidRPr="00150CD2">
              <w:rPr>
                <w:rFonts w:cs="Arial"/>
                <w:i/>
                <w:iCs/>
                <w:sz w:val="24"/>
              </w:rPr>
              <w:t xml:space="preserve">The following observations around family units should be treated as estimates and care taken in interpretation, due to limitations around the coverage of relationship records in administrative data. Refer to </w:t>
            </w:r>
            <w:r w:rsidRPr="00150CD2">
              <w:rPr>
                <w:rFonts w:cs="Arial"/>
                <w:i/>
                <w:iCs/>
                <w:sz w:val="24"/>
              </w:rPr>
              <w:fldChar w:fldCharType="begin"/>
            </w:r>
            <w:r w:rsidRPr="00150CD2">
              <w:rPr>
                <w:rFonts w:cs="Arial"/>
                <w:i/>
                <w:iCs/>
                <w:sz w:val="24"/>
              </w:rPr>
              <w:instrText xml:space="preserve"> REF _Ref44353599 \r \h  \* MERGEFORMAT </w:instrText>
            </w:r>
            <w:r w:rsidRPr="00150CD2">
              <w:rPr>
                <w:rFonts w:cs="Arial"/>
                <w:i/>
                <w:iCs/>
                <w:sz w:val="24"/>
              </w:rPr>
            </w:r>
            <w:r w:rsidRPr="00150CD2">
              <w:rPr>
                <w:rFonts w:cs="Arial"/>
                <w:i/>
                <w:iCs/>
                <w:sz w:val="24"/>
              </w:rPr>
              <w:fldChar w:fldCharType="separate"/>
            </w:r>
            <w:r w:rsidR="00053D9A" w:rsidRPr="00150CD2">
              <w:rPr>
                <w:rFonts w:cs="Arial"/>
                <w:i/>
                <w:iCs/>
                <w:sz w:val="24"/>
              </w:rPr>
              <w:t>Appendix D</w:t>
            </w:r>
            <w:r w:rsidRPr="00150CD2">
              <w:rPr>
                <w:rFonts w:cs="Arial"/>
                <w:i/>
                <w:iCs/>
                <w:sz w:val="24"/>
              </w:rPr>
              <w:fldChar w:fldCharType="end"/>
            </w:r>
            <w:r w:rsidRPr="00150CD2">
              <w:rPr>
                <w:rFonts w:cs="Arial"/>
                <w:i/>
                <w:iCs/>
                <w:sz w:val="24"/>
              </w:rPr>
              <w:t xml:space="preserve"> for further information.</w:t>
            </w:r>
          </w:p>
          <w:p w14:paraId="54F33363" w14:textId="671C8C8D" w:rsidR="00310848" w:rsidRPr="00150CD2" w:rsidRDefault="002B7341" w:rsidP="0039393C">
            <w:pPr>
              <w:pStyle w:val="EYTableText"/>
              <w:rPr>
                <w:rFonts w:cs="Arial"/>
                <w:sz w:val="24"/>
              </w:rPr>
            </w:pPr>
            <w:r w:rsidRPr="00150CD2">
              <w:rPr>
                <w:rFonts w:cs="Arial"/>
                <w:sz w:val="24"/>
              </w:rPr>
              <w:t>DSS y</w:t>
            </w:r>
            <w:r w:rsidR="00310848" w:rsidRPr="00150CD2">
              <w:rPr>
                <w:rFonts w:cs="Arial"/>
                <w:sz w:val="24"/>
              </w:rPr>
              <w:t xml:space="preserve">oung people for whom we have information on parent links (ages 15-17) had similar household profiles to that of other child cohorts: </w:t>
            </w:r>
          </w:p>
          <w:p w14:paraId="11074545" w14:textId="77777777" w:rsidR="00310848" w:rsidRPr="00150CD2" w:rsidRDefault="00310848" w:rsidP="0039393C">
            <w:pPr>
              <w:pStyle w:val="EYTablebullet1"/>
              <w:rPr>
                <w:rFonts w:cs="Arial"/>
                <w:sz w:val="24"/>
              </w:rPr>
            </w:pPr>
            <w:r w:rsidRPr="00150CD2">
              <w:rPr>
                <w:rFonts w:cs="Arial"/>
                <w:sz w:val="24"/>
              </w:rPr>
              <w:t>43% lived with sole parents, and 57% were linked to two parents/caregivers</w:t>
            </w:r>
          </w:p>
          <w:p w14:paraId="5EF9158C" w14:textId="77777777" w:rsidR="00310848" w:rsidRPr="00150CD2" w:rsidRDefault="00310848" w:rsidP="0039393C">
            <w:pPr>
              <w:pStyle w:val="EYTablebullet1"/>
              <w:rPr>
                <w:rFonts w:cs="Arial"/>
                <w:sz w:val="24"/>
              </w:rPr>
            </w:pPr>
            <w:r w:rsidRPr="00150CD2">
              <w:rPr>
                <w:rFonts w:cs="Arial"/>
                <w:sz w:val="24"/>
              </w:rPr>
              <w:t>27% had two parents/caregivers with employment income, 40% had one parent with employment income and 33% had no parents with employment income.</w:t>
            </w:r>
          </w:p>
          <w:p w14:paraId="14BC7F84" w14:textId="5EC23E6D" w:rsidR="00310848" w:rsidRPr="00150CD2" w:rsidRDefault="00310848" w:rsidP="0039393C">
            <w:pPr>
              <w:pStyle w:val="EYTableText"/>
              <w:rPr>
                <w:rFonts w:cs="Arial"/>
                <w:sz w:val="24"/>
              </w:rPr>
            </w:pPr>
            <w:r w:rsidRPr="00150CD2">
              <w:rPr>
                <w:rFonts w:cs="Arial"/>
                <w:sz w:val="24"/>
              </w:rPr>
              <w:t xml:space="preserve">A small proportion of DSS young people aged 20-24 (3%) reported being in a </w:t>
            </w:r>
            <w:r w:rsidR="002B7341" w:rsidRPr="00150CD2">
              <w:rPr>
                <w:rFonts w:cs="Arial"/>
                <w:sz w:val="24"/>
              </w:rPr>
              <w:t xml:space="preserve">formal relationship over the 3 year period. “Formal relationships” include </w:t>
            </w:r>
            <w:r w:rsidRPr="00150CD2">
              <w:rPr>
                <w:rFonts w:cs="Arial"/>
                <w:sz w:val="24"/>
              </w:rPr>
              <w:t>marriage</w:t>
            </w:r>
            <w:r w:rsidR="002B7341" w:rsidRPr="00150CD2">
              <w:rPr>
                <w:rFonts w:cs="Arial"/>
                <w:sz w:val="24"/>
              </w:rPr>
              <w:t xml:space="preserve">s and civil unions, and de facto relationships reported to MSD </w:t>
            </w:r>
            <w:r w:rsidRPr="00150CD2">
              <w:rPr>
                <w:rFonts w:cs="Arial"/>
                <w:sz w:val="24"/>
              </w:rPr>
              <w:t>(as part of receiving benefits). A similar proportion had children.</w:t>
            </w:r>
          </w:p>
          <w:p w14:paraId="1E74B4C3" w14:textId="15634F4C" w:rsidR="00310848" w:rsidRPr="00150CD2" w:rsidRDefault="00310848" w:rsidP="0039393C">
            <w:pPr>
              <w:pStyle w:val="EYTableText"/>
              <w:rPr>
                <w:rFonts w:cs="Arial"/>
                <w:sz w:val="24"/>
              </w:rPr>
            </w:pPr>
            <w:r w:rsidRPr="00150CD2">
              <w:rPr>
                <w:rFonts w:cs="Arial"/>
                <w:sz w:val="24"/>
              </w:rPr>
              <w:t xml:space="preserve">For the broader </w:t>
            </w:r>
            <w:r w:rsidR="00CE3CA5" w:rsidRPr="00150CD2">
              <w:rPr>
                <w:rFonts w:cs="Arial"/>
                <w:sz w:val="24"/>
              </w:rPr>
              <w:t xml:space="preserve">non-DSS </w:t>
            </w:r>
            <w:r w:rsidRPr="00150CD2">
              <w:rPr>
                <w:rFonts w:cs="Arial"/>
                <w:sz w:val="24"/>
              </w:rPr>
              <w:t xml:space="preserve">population aged 20-24, 16% reported </w:t>
            </w:r>
            <w:r w:rsidR="00CE3CA5" w:rsidRPr="00150CD2">
              <w:rPr>
                <w:rFonts w:cs="Arial"/>
                <w:sz w:val="24"/>
              </w:rPr>
              <w:t>formal relationships</w:t>
            </w:r>
            <w:r w:rsidRPr="00150CD2">
              <w:rPr>
                <w:rFonts w:cs="Arial"/>
                <w:sz w:val="24"/>
              </w:rPr>
              <w:t xml:space="preserve"> and 19% reported having children over the 3 year period.</w:t>
            </w:r>
          </w:p>
        </w:tc>
      </w:tr>
      <w:tr w:rsidR="00310848" w:rsidRPr="00150CD2" w14:paraId="2689DF4C" w14:textId="77777777" w:rsidTr="00AB63BF">
        <w:tc>
          <w:tcPr>
            <w:tcW w:w="1323" w:type="dxa"/>
            <w:tcBorders>
              <w:top w:val="nil"/>
              <w:bottom w:val="nil"/>
            </w:tcBorders>
          </w:tcPr>
          <w:p w14:paraId="10656AA9" w14:textId="77777777" w:rsidR="00310848" w:rsidRPr="00150CD2" w:rsidRDefault="00310848" w:rsidP="0039393C">
            <w:pPr>
              <w:pStyle w:val="EYTableText"/>
              <w:rPr>
                <w:rFonts w:cs="Arial"/>
                <w:sz w:val="24"/>
              </w:rPr>
            </w:pPr>
          </w:p>
        </w:tc>
        <w:tc>
          <w:tcPr>
            <w:tcW w:w="1872" w:type="dxa"/>
          </w:tcPr>
          <w:p w14:paraId="1DB9A040" w14:textId="3E98701D" w:rsidR="00310848" w:rsidRPr="00150CD2" w:rsidRDefault="00310848" w:rsidP="0039393C">
            <w:pPr>
              <w:pStyle w:val="EYTableText"/>
              <w:rPr>
                <w:rFonts w:cs="Arial"/>
                <w:sz w:val="24"/>
              </w:rPr>
            </w:pPr>
            <w:r w:rsidRPr="00150CD2">
              <w:rPr>
                <w:rFonts w:cs="Arial"/>
                <w:sz w:val="24"/>
              </w:rPr>
              <w:t xml:space="preserve">Transitioning into residential </w:t>
            </w:r>
            <w:r w:rsidR="00D54C26" w:rsidRPr="00150CD2">
              <w:rPr>
                <w:rFonts w:cs="Arial"/>
                <w:sz w:val="24"/>
              </w:rPr>
              <w:t>services</w:t>
            </w:r>
          </w:p>
        </w:tc>
        <w:tc>
          <w:tcPr>
            <w:tcW w:w="10699" w:type="dxa"/>
          </w:tcPr>
          <w:p w14:paraId="75457C55" w14:textId="3E90A9C3" w:rsidR="00310848" w:rsidRPr="00150CD2" w:rsidRDefault="00310848" w:rsidP="0039393C">
            <w:pPr>
              <w:pStyle w:val="EYTablebullet1"/>
              <w:rPr>
                <w:rFonts w:cs="Arial"/>
                <w:sz w:val="24"/>
              </w:rPr>
            </w:pPr>
            <w:r w:rsidRPr="00150CD2">
              <w:rPr>
                <w:rFonts w:cs="Arial"/>
                <w:sz w:val="24"/>
              </w:rPr>
              <w:t xml:space="preserve">Around 4% of 15-19 year old and 16% of 20-24 year old DSS young people lived in residential </w:t>
            </w:r>
            <w:r w:rsidR="00EE6FBD" w:rsidRPr="00150CD2">
              <w:rPr>
                <w:rFonts w:cs="Arial"/>
                <w:sz w:val="24"/>
              </w:rPr>
              <w:t xml:space="preserve">services </w:t>
            </w:r>
            <w:r w:rsidRPr="00150CD2">
              <w:rPr>
                <w:rFonts w:cs="Arial"/>
                <w:sz w:val="24"/>
              </w:rPr>
              <w:t xml:space="preserve">at June 2018; 4% of 15-24 year olds transitioned into residential </w:t>
            </w:r>
            <w:r w:rsidR="00FA79B9" w:rsidRPr="00150CD2">
              <w:rPr>
                <w:rFonts w:cs="Arial"/>
                <w:sz w:val="24"/>
              </w:rPr>
              <w:t xml:space="preserve">services </w:t>
            </w:r>
            <w:r w:rsidRPr="00150CD2">
              <w:rPr>
                <w:rFonts w:cs="Arial"/>
                <w:sz w:val="24"/>
              </w:rPr>
              <w:t>for the first time during the 3 year period.</w:t>
            </w:r>
          </w:p>
          <w:p w14:paraId="05BFB4DB" w14:textId="37068C19" w:rsidR="00310848" w:rsidRPr="00150CD2" w:rsidRDefault="00310848" w:rsidP="0039393C">
            <w:pPr>
              <w:pStyle w:val="EYTablebullet1"/>
              <w:rPr>
                <w:rFonts w:cs="Arial"/>
                <w:sz w:val="24"/>
              </w:rPr>
            </w:pPr>
            <w:r w:rsidRPr="00150CD2">
              <w:rPr>
                <w:rFonts w:cs="Arial"/>
                <w:sz w:val="24"/>
              </w:rPr>
              <w:t>Young people with intellectual disabilities were around 2.7</w:t>
            </w:r>
            <w:r w:rsidR="00CA4326" w:rsidRPr="00150CD2">
              <w:rPr>
                <w:rFonts w:cs="Arial"/>
                <w:sz w:val="24"/>
              </w:rPr>
              <w:t xml:space="preserve"> times </w:t>
            </w:r>
            <w:r w:rsidRPr="00150CD2">
              <w:rPr>
                <w:rFonts w:cs="Arial"/>
                <w:sz w:val="24"/>
              </w:rPr>
              <w:t xml:space="preserve">as likely to transition into residential </w:t>
            </w:r>
            <w:r w:rsidR="0003180D" w:rsidRPr="00150CD2">
              <w:rPr>
                <w:rFonts w:cs="Arial"/>
                <w:sz w:val="24"/>
              </w:rPr>
              <w:t>services</w:t>
            </w:r>
            <w:r w:rsidRPr="00150CD2">
              <w:rPr>
                <w:rFonts w:cs="Arial"/>
                <w:sz w:val="24"/>
              </w:rPr>
              <w:t>, while young people with high/very high SPA levels were around 5.5</w:t>
            </w:r>
            <w:r w:rsidR="00CA4326" w:rsidRPr="00150CD2">
              <w:rPr>
                <w:rFonts w:cs="Arial"/>
                <w:sz w:val="24"/>
              </w:rPr>
              <w:t xml:space="preserve"> times </w:t>
            </w:r>
            <w:r w:rsidRPr="00150CD2">
              <w:rPr>
                <w:rFonts w:cs="Arial"/>
                <w:sz w:val="24"/>
              </w:rPr>
              <w:t>as likely to transition into</w:t>
            </w:r>
            <w:r w:rsidR="0003180D" w:rsidRPr="00150CD2">
              <w:rPr>
                <w:rFonts w:cs="Arial"/>
                <w:sz w:val="24"/>
              </w:rPr>
              <w:t xml:space="preserve"> </w:t>
            </w:r>
            <w:r w:rsidRPr="00150CD2">
              <w:rPr>
                <w:rFonts w:cs="Arial"/>
                <w:sz w:val="24"/>
              </w:rPr>
              <w:t xml:space="preserve">residential </w:t>
            </w:r>
            <w:r w:rsidR="0003180D" w:rsidRPr="00150CD2">
              <w:rPr>
                <w:rFonts w:cs="Arial"/>
                <w:sz w:val="24"/>
              </w:rPr>
              <w:t>services</w:t>
            </w:r>
            <w:r w:rsidRPr="00150CD2">
              <w:rPr>
                <w:rFonts w:cs="Arial"/>
                <w:sz w:val="24"/>
              </w:rPr>
              <w:t>. Māori and non-Māori transition rates appeared broadly similar.</w:t>
            </w:r>
          </w:p>
        </w:tc>
      </w:tr>
      <w:tr w:rsidR="00310848" w:rsidRPr="00150CD2" w14:paraId="704CE28B" w14:textId="77777777" w:rsidTr="00AB63BF">
        <w:trPr>
          <w:trHeight w:val="3000"/>
        </w:trPr>
        <w:tc>
          <w:tcPr>
            <w:tcW w:w="1323" w:type="dxa"/>
            <w:tcBorders>
              <w:top w:val="nil"/>
              <w:bottom w:val="nil"/>
            </w:tcBorders>
          </w:tcPr>
          <w:p w14:paraId="124820C2" w14:textId="77777777" w:rsidR="00310848" w:rsidRPr="00150CD2" w:rsidRDefault="00310848" w:rsidP="0039393C">
            <w:pPr>
              <w:pStyle w:val="EYTableText"/>
              <w:rPr>
                <w:rFonts w:cs="Arial"/>
                <w:sz w:val="24"/>
              </w:rPr>
            </w:pPr>
          </w:p>
        </w:tc>
        <w:tc>
          <w:tcPr>
            <w:tcW w:w="1872" w:type="dxa"/>
          </w:tcPr>
          <w:p w14:paraId="741D6427" w14:textId="77777777" w:rsidR="00310848" w:rsidRPr="00150CD2" w:rsidRDefault="00310848" w:rsidP="0039393C">
            <w:pPr>
              <w:pStyle w:val="EYTableText"/>
              <w:rPr>
                <w:rFonts w:cs="Arial"/>
                <w:sz w:val="24"/>
              </w:rPr>
            </w:pPr>
            <w:r w:rsidRPr="00150CD2">
              <w:rPr>
                <w:rFonts w:cs="Arial"/>
                <w:sz w:val="24"/>
              </w:rPr>
              <w:t>Benefit income support</w:t>
            </w:r>
          </w:p>
        </w:tc>
        <w:tc>
          <w:tcPr>
            <w:tcW w:w="10699" w:type="dxa"/>
          </w:tcPr>
          <w:p w14:paraId="2698166B" w14:textId="4ECD7847" w:rsidR="00310848" w:rsidRPr="00150CD2" w:rsidRDefault="00310848" w:rsidP="0039393C">
            <w:pPr>
              <w:pStyle w:val="EYTablebullet1"/>
              <w:rPr>
                <w:rFonts w:cs="Arial"/>
                <w:sz w:val="24"/>
              </w:rPr>
            </w:pPr>
            <w:r w:rsidRPr="00150CD2">
              <w:rPr>
                <w:rFonts w:cs="Arial"/>
                <w:sz w:val="24"/>
              </w:rPr>
              <w:t>Almost all DSS young people received a main benefit for some/all of the 3 year period</w:t>
            </w:r>
            <w:r w:rsidR="00565D55" w:rsidRPr="00150CD2">
              <w:rPr>
                <w:rFonts w:cs="Arial"/>
                <w:sz w:val="24"/>
              </w:rPr>
              <w:t xml:space="preserve"> (84% of 15-19 year olds and 95% of 20-24 year olds)</w:t>
            </w:r>
            <w:r w:rsidRPr="00150CD2">
              <w:rPr>
                <w:rFonts w:cs="Arial"/>
                <w:sz w:val="24"/>
              </w:rPr>
              <w:t>; the majority received Supported Living Payments with a minority receiving Jobseeker type payments.</w:t>
            </w:r>
            <w:r w:rsidR="006E78F4" w:rsidRPr="00150CD2">
              <w:rPr>
                <w:rFonts w:cs="Arial"/>
                <w:sz w:val="24"/>
              </w:rPr>
              <w:t xml:space="preserve"> </w:t>
            </w:r>
            <w:r w:rsidRPr="00150CD2">
              <w:rPr>
                <w:rFonts w:cs="Arial"/>
                <w:sz w:val="24"/>
              </w:rPr>
              <w:t xml:space="preserve">Young people with an intellectual disability or high/very high SPA levels experienced marginally higher </w:t>
            </w:r>
            <w:r w:rsidR="009E4F58" w:rsidRPr="00150CD2">
              <w:rPr>
                <w:rFonts w:cs="Arial"/>
                <w:sz w:val="24"/>
              </w:rPr>
              <w:t xml:space="preserve">rates </w:t>
            </w:r>
            <w:r w:rsidRPr="00150CD2">
              <w:rPr>
                <w:rFonts w:cs="Arial"/>
                <w:sz w:val="24"/>
              </w:rPr>
              <w:t>of benefit support.</w:t>
            </w:r>
          </w:p>
          <w:p w14:paraId="33A0D03A" w14:textId="77777777" w:rsidR="00310848" w:rsidRPr="00150CD2" w:rsidRDefault="00310848" w:rsidP="0039393C">
            <w:pPr>
              <w:pStyle w:val="EYTablebullet1"/>
              <w:numPr>
                <w:ilvl w:val="0"/>
                <w:numId w:val="0"/>
              </w:numPr>
              <w:ind w:left="284"/>
              <w:rPr>
                <w:rFonts w:cs="Arial"/>
                <w:sz w:val="24"/>
              </w:rPr>
            </w:pPr>
            <w:r w:rsidRPr="00150CD2">
              <w:rPr>
                <w:rFonts w:cs="Arial"/>
                <w:sz w:val="24"/>
              </w:rPr>
              <w:t>In comparison, around 1 in 5 (21%) non-DSS young people aged 20-24 received a main benefit for some/all of the same period.</w:t>
            </w:r>
          </w:p>
          <w:p w14:paraId="3B61143E" w14:textId="0988499F" w:rsidR="00310848" w:rsidRPr="00150CD2" w:rsidRDefault="00310848" w:rsidP="0039393C">
            <w:pPr>
              <w:pStyle w:val="EYTablebullet1"/>
              <w:rPr>
                <w:rFonts w:cs="Arial"/>
                <w:sz w:val="24"/>
              </w:rPr>
            </w:pPr>
            <w:r w:rsidRPr="00150CD2">
              <w:rPr>
                <w:rFonts w:cs="Arial"/>
                <w:sz w:val="24"/>
              </w:rPr>
              <w:t xml:space="preserve">54% of DSS young people aged 20-24 received Disability Allowance payments. Just over half (58%) received Accommodation Supplement and 13% received Temporary </w:t>
            </w:r>
            <w:r w:rsidR="00864253" w:rsidRPr="00150CD2">
              <w:rPr>
                <w:rFonts w:cs="Arial"/>
                <w:sz w:val="24"/>
              </w:rPr>
              <w:t>Additional Support</w:t>
            </w:r>
            <w:r w:rsidRPr="00150CD2">
              <w:rPr>
                <w:rFonts w:cs="Arial"/>
                <w:sz w:val="24"/>
              </w:rPr>
              <w:t>.</w:t>
            </w:r>
          </w:p>
          <w:p w14:paraId="165259D4" w14:textId="5ADA32E9" w:rsidR="00310848" w:rsidRPr="00150CD2" w:rsidRDefault="00310848" w:rsidP="0039393C">
            <w:pPr>
              <w:pStyle w:val="EYTablebullet1"/>
              <w:rPr>
                <w:rFonts w:cs="Arial"/>
                <w:sz w:val="24"/>
              </w:rPr>
            </w:pPr>
            <w:r w:rsidRPr="00150CD2">
              <w:rPr>
                <w:rFonts w:cs="Arial"/>
                <w:sz w:val="24"/>
              </w:rPr>
              <w:t xml:space="preserve">30% of young people aged 20-24 also drew on </w:t>
            </w:r>
            <w:r w:rsidR="00595EE3" w:rsidRPr="00150CD2">
              <w:rPr>
                <w:rFonts w:cs="Arial"/>
                <w:sz w:val="24"/>
              </w:rPr>
              <w:t xml:space="preserve">third-tier </w:t>
            </w:r>
            <w:r w:rsidRPr="00150CD2">
              <w:rPr>
                <w:rFonts w:cs="Arial"/>
                <w:sz w:val="24"/>
              </w:rPr>
              <w:t>MSD support payments</w:t>
            </w:r>
            <w:r w:rsidR="001E5F4B" w:rsidRPr="00150CD2">
              <w:rPr>
                <w:rStyle w:val="FootnoteReference"/>
                <w:rFonts w:ascii="Arial" w:hAnsi="Arial" w:cs="Arial"/>
                <w:sz w:val="24"/>
                <w:szCs w:val="24"/>
              </w:rPr>
              <w:footnoteReference w:id="57"/>
            </w:r>
            <w:r w:rsidRPr="00150CD2">
              <w:rPr>
                <w:rFonts w:cs="Arial"/>
                <w:sz w:val="24"/>
              </w:rPr>
              <w:t xml:space="preserve"> during the 3 year period, a rate twice that of other 20-24 year olds (15%). Māori young people and those with low/medium SPA levels were 1.5-2.5</w:t>
            </w:r>
            <w:r w:rsidR="00CA4326" w:rsidRPr="00150CD2">
              <w:rPr>
                <w:rFonts w:cs="Arial"/>
                <w:sz w:val="24"/>
              </w:rPr>
              <w:t xml:space="preserve"> times </w:t>
            </w:r>
            <w:r w:rsidRPr="00150CD2">
              <w:rPr>
                <w:rFonts w:cs="Arial"/>
                <w:sz w:val="24"/>
              </w:rPr>
              <w:t>more likely to draw on these payments as other DSS young people.</w:t>
            </w:r>
          </w:p>
        </w:tc>
      </w:tr>
      <w:tr w:rsidR="00310848" w:rsidRPr="00150CD2" w14:paraId="608E7BA4" w14:textId="77777777" w:rsidTr="00AB63BF">
        <w:tc>
          <w:tcPr>
            <w:tcW w:w="1323" w:type="dxa"/>
            <w:tcBorders>
              <w:top w:val="nil"/>
            </w:tcBorders>
          </w:tcPr>
          <w:p w14:paraId="509BE81B" w14:textId="77777777" w:rsidR="00310848" w:rsidRPr="00150CD2" w:rsidRDefault="00310848" w:rsidP="0039393C">
            <w:pPr>
              <w:pStyle w:val="EYTableText"/>
              <w:rPr>
                <w:rFonts w:cs="Arial"/>
                <w:sz w:val="24"/>
              </w:rPr>
            </w:pPr>
          </w:p>
        </w:tc>
        <w:tc>
          <w:tcPr>
            <w:tcW w:w="1872" w:type="dxa"/>
          </w:tcPr>
          <w:p w14:paraId="08242629" w14:textId="77777777" w:rsidR="00310848" w:rsidRPr="00150CD2" w:rsidRDefault="00310848" w:rsidP="0039393C">
            <w:pPr>
              <w:pStyle w:val="EYTableText"/>
              <w:rPr>
                <w:rFonts w:cs="Arial"/>
                <w:sz w:val="24"/>
              </w:rPr>
            </w:pPr>
            <w:r w:rsidRPr="00150CD2">
              <w:rPr>
                <w:rFonts w:cs="Arial"/>
                <w:sz w:val="24"/>
              </w:rPr>
              <w:t>Address changes and social housing</w:t>
            </w:r>
          </w:p>
        </w:tc>
        <w:tc>
          <w:tcPr>
            <w:tcW w:w="10699" w:type="dxa"/>
          </w:tcPr>
          <w:p w14:paraId="6DD897E8" w14:textId="77777777" w:rsidR="00310848" w:rsidRPr="00150CD2" w:rsidRDefault="00310848" w:rsidP="0039393C">
            <w:pPr>
              <w:pStyle w:val="EYTablebullet1"/>
              <w:rPr>
                <w:rFonts w:cs="Arial"/>
                <w:sz w:val="24"/>
              </w:rPr>
            </w:pPr>
            <w:r w:rsidRPr="00150CD2">
              <w:rPr>
                <w:rFonts w:cs="Arial"/>
                <w:sz w:val="24"/>
              </w:rPr>
              <w:t>The cohort reported fewer residential address changes than other young people – around 54% reported no address changes over the 3 year period, compared to 39% of non-DSS young people. Non-Māori young people were less likely to report address changes.</w:t>
            </w:r>
          </w:p>
          <w:p w14:paraId="29489525" w14:textId="5ED59875" w:rsidR="00310848" w:rsidRPr="00150CD2" w:rsidRDefault="00310848" w:rsidP="0039393C">
            <w:pPr>
              <w:pStyle w:val="EYTablebullet1"/>
              <w:rPr>
                <w:rFonts w:cs="Arial"/>
                <w:i/>
                <w:sz w:val="24"/>
              </w:rPr>
            </w:pPr>
            <w:r w:rsidRPr="00150CD2">
              <w:rPr>
                <w:rFonts w:cs="Arial"/>
                <w:sz w:val="24"/>
              </w:rPr>
              <w:t>14% of DSS young people aged 15-24 lived in social housing and 5% were on the public housing register as priority A or B for some or all of the 3 year period. Social housing tenancy rates are around 2.5</w:t>
            </w:r>
            <w:r w:rsidR="00CA4326" w:rsidRPr="00150CD2">
              <w:rPr>
                <w:rFonts w:cs="Arial"/>
                <w:sz w:val="24"/>
              </w:rPr>
              <w:t xml:space="preserve"> times </w:t>
            </w:r>
            <w:r w:rsidRPr="00150CD2">
              <w:rPr>
                <w:rFonts w:cs="Arial"/>
                <w:sz w:val="24"/>
              </w:rPr>
              <w:t xml:space="preserve">higher than for non-DSS young people across New Zealand. </w:t>
            </w:r>
            <w:r w:rsidRPr="00150CD2">
              <w:rPr>
                <w:rFonts w:cs="Arial"/>
                <w:sz w:val="24"/>
              </w:rPr>
              <w:br/>
              <w:t>Within this group, Māori young people were twice as likely to live in or be on the priority waitlist for social housing, reflecting the profile of the broader population. Young people with intellectual disability were 1.5</w:t>
            </w:r>
            <w:r w:rsidR="00CA4326" w:rsidRPr="00150CD2">
              <w:rPr>
                <w:rFonts w:cs="Arial"/>
                <w:sz w:val="24"/>
              </w:rPr>
              <w:t xml:space="preserve"> times </w:t>
            </w:r>
            <w:r w:rsidRPr="00150CD2">
              <w:rPr>
                <w:rFonts w:cs="Arial"/>
                <w:sz w:val="24"/>
              </w:rPr>
              <w:t>more likely to be living in social housing.</w:t>
            </w:r>
          </w:p>
        </w:tc>
      </w:tr>
    </w:tbl>
    <w:p w14:paraId="417100E4" w14:textId="77777777" w:rsidR="009614A5" w:rsidRPr="00150CD2" w:rsidRDefault="009614A5">
      <w:pPr>
        <w:autoSpaceDE/>
        <w:autoSpaceDN/>
        <w:adjustRightInd/>
        <w:rPr>
          <w:rFonts w:cs="Arial"/>
        </w:rPr>
      </w:pPr>
      <w:r w:rsidRPr="00150CD2">
        <w:rPr>
          <w:rFonts w:cs="Arial"/>
        </w:rPr>
        <w:br w:type="page"/>
      </w:r>
    </w:p>
    <w:p w14:paraId="552A1C31" w14:textId="6C1477A7" w:rsidR="00310848" w:rsidRPr="00150CD2" w:rsidRDefault="00310848" w:rsidP="0035354B">
      <w:pPr>
        <w:pStyle w:val="EYAppendixHeading2"/>
        <w:numPr>
          <w:ilvl w:val="0"/>
          <w:numId w:val="62"/>
        </w:numPr>
        <w:rPr>
          <w:rFonts w:cs="Arial"/>
        </w:rPr>
      </w:pPr>
      <w:r w:rsidRPr="0035354B">
        <w:rPr>
          <w:rFonts w:cs="Arial"/>
          <w:lang w:val="en-NZ"/>
        </w:rPr>
        <w:t>Adults aged 25-64 years</w:t>
      </w:r>
    </w:p>
    <w:p w14:paraId="4B8866EE" w14:textId="5AA38384" w:rsidR="00310848" w:rsidRPr="00150CD2" w:rsidRDefault="00310848" w:rsidP="00310848">
      <w:pPr>
        <w:pStyle w:val="EYSubheading"/>
        <w:rPr>
          <w:rFonts w:cs="Arial"/>
        </w:rPr>
      </w:pPr>
      <w:r w:rsidRPr="00150CD2">
        <w:rPr>
          <w:rFonts w:cs="Arial"/>
        </w:rPr>
        <w:t xml:space="preserve">Key transitions: Some people in this cohort are transitioning into a new living situation, while others remain at home, with their family, in residential </w:t>
      </w:r>
      <w:r w:rsidR="00A96158" w:rsidRPr="00150CD2">
        <w:rPr>
          <w:rFonts w:cs="Arial"/>
        </w:rPr>
        <w:t xml:space="preserve">services </w:t>
      </w:r>
      <w:r w:rsidRPr="00150CD2">
        <w:rPr>
          <w:rFonts w:cs="Arial"/>
        </w:rPr>
        <w:t>or other living situations, supported by family/whānau and other key support people (e.g. carers</w:t>
      </w:r>
      <w:r w:rsidR="00B60DAB" w:rsidRPr="00150CD2">
        <w:rPr>
          <w:rFonts w:cs="Arial"/>
        </w:rPr>
        <w:t>, support workers</w:t>
      </w:r>
      <w:r w:rsidRPr="00150CD2">
        <w:rPr>
          <w:rFonts w:cs="Arial"/>
        </w:rPr>
        <w:t>). People progress through their middle adult years with income, housing, health, relationships with family and friends and connection to community important areas of wellbeing.</w:t>
      </w:r>
    </w:p>
    <w:p w14:paraId="4AE19E37" w14:textId="7DB6F8F0" w:rsidR="00310848" w:rsidRPr="00150CD2" w:rsidRDefault="00310848" w:rsidP="00310848">
      <w:pPr>
        <w:pStyle w:val="EYBodytextwithparaspace"/>
        <w:rPr>
          <w:rFonts w:cs="Arial"/>
          <w:lang w:eastAsia="en-AU"/>
        </w:rPr>
      </w:pPr>
      <w:r w:rsidRPr="00150CD2">
        <w:rPr>
          <w:rFonts w:cs="Arial"/>
          <w:lang w:eastAsia="en-AU"/>
        </w:rPr>
        <w:t xml:space="preserve">At 30 June 2018 there were </w:t>
      </w:r>
      <w:r w:rsidR="00972B50" w:rsidRPr="00150CD2">
        <w:rPr>
          <w:rFonts w:cs="Arial"/>
          <w:lang w:eastAsia="en-AU"/>
        </w:rPr>
        <w:t>around 16,500</w:t>
      </w:r>
      <w:r w:rsidRPr="00150CD2">
        <w:rPr>
          <w:rFonts w:cs="Arial"/>
          <w:lang w:eastAsia="en-AU"/>
        </w:rPr>
        <w:t xml:space="preserve"> adults aged 25-64 across New Zealand who were allocated DSS funding over the year to 30 June 2018. Of these, </w:t>
      </w:r>
      <w:r w:rsidR="00972B50" w:rsidRPr="00150CD2">
        <w:rPr>
          <w:rFonts w:cs="Arial"/>
          <w:lang w:eastAsia="en-AU"/>
        </w:rPr>
        <w:t>around 7,100</w:t>
      </w:r>
      <w:r w:rsidRPr="00150CD2">
        <w:rPr>
          <w:rFonts w:cs="Arial"/>
          <w:lang w:eastAsia="en-AU"/>
        </w:rPr>
        <w:t xml:space="preserve"> were aged 25-44 and around 9,400 were aged 45-64. Key demographic and socioeconomic characteristics are summarised below.</w:t>
      </w:r>
    </w:p>
    <w:p w14:paraId="4C7F7115" w14:textId="3460749D" w:rsidR="00310848" w:rsidRPr="00150CD2" w:rsidRDefault="00310848" w:rsidP="00310848">
      <w:pPr>
        <w:pStyle w:val="EYBulletedText1"/>
        <w:rPr>
          <w:rFonts w:eastAsiaTheme="minorHAnsi" w:cs="Arial"/>
          <w:szCs w:val="20"/>
          <w:lang w:eastAsia="en-AU"/>
        </w:rPr>
      </w:pPr>
      <w:r w:rsidRPr="00150CD2">
        <w:rPr>
          <w:rFonts w:eastAsiaTheme="minorHAnsi" w:cs="Arial"/>
          <w:szCs w:val="20"/>
          <w:lang w:eastAsia="en-AU"/>
        </w:rPr>
        <w:t>The majority have intellectual disability (5</w:t>
      </w:r>
      <w:r w:rsidR="00972B50" w:rsidRPr="00150CD2">
        <w:rPr>
          <w:rFonts w:eastAsiaTheme="minorHAnsi" w:cs="Arial"/>
          <w:szCs w:val="20"/>
          <w:lang w:eastAsia="en-AU"/>
        </w:rPr>
        <w:t>7</w:t>
      </w:r>
      <w:r w:rsidRPr="00150CD2">
        <w:rPr>
          <w:rFonts w:eastAsiaTheme="minorHAnsi" w:cs="Arial"/>
          <w:szCs w:val="20"/>
          <w:lang w:eastAsia="en-AU"/>
        </w:rPr>
        <w:t>%) or physical disability (3</w:t>
      </w:r>
      <w:r w:rsidR="00972B50" w:rsidRPr="00150CD2">
        <w:rPr>
          <w:rFonts w:eastAsiaTheme="minorHAnsi" w:cs="Arial"/>
          <w:szCs w:val="20"/>
          <w:lang w:eastAsia="en-AU"/>
        </w:rPr>
        <w:t>2</w:t>
      </w:r>
      <w:r w:rsidRPr="00150CD2">
        <w:rPr>
          <w:rFonts w:eastAsiaTheme="minorHAnsi" w:cs="Arial"/>
          <w:szCs w:val="20"/>
          <w:lang w:eastAsia="en-AU"/>
        </w:rPr>
        <w:t xml:space="preserve">%) as their </w:t>
      </w:r>
      <w:r w:rsidR="009E4F58" w:rsidRPr="00150CD2">
        <w:rPr>
          <w:rFonts w:eastAsiaTheme="minorHAnsi" w:cs="Arial"/>
          <w:szCs w:val="20"/>
          <w:lang w:eastAsia="en-AU"/>
        </w:rPr>
        <w:t>prioritised</w:t>
      </w:r>
      <w:r w:rsidRPr="00150CD2">
        <w:rPr>
          <w:rFonts w:eastAsiaTheme="minorHAnsi" w:cs="Arial"/>
          <w:szCs w:val="20"/>
          <w:lang w:eastAsia="en-AU"/>
        </w:rPr>
        <w:t xml:space="preserve"> disability, followed by 6% with Autism Spectrum Disorder and </w:t>
      </w:r>
      <w:r w:rsidR="00972B50" w:rsidRPr="00150CD2">
        <w:rPr>
          <w:rFonts w:eastAsiaTheme="minorHAnsi" w:cs="Arial"/>
          <w:szCs w:val="20"/>
          <w:lang w:eastAsia="en-AU"/>
        </w:rPr>
        <w:t>4</w:t>
      </w:r>
      <w:r w:rsidRPr="00150CD2">
        <w:rPr>
          <w:rFonts w:eastAsiaTheme="minorHAnsi" w:cs="Arial"/>
          <w:szCs w:val="20"/>
          <w:lang w:eastAsia="en-AU"/>
        </w:rPr>
        <w:t xml:space="preserve">% with a sensory disability. Home and community support (44%), residential </w:t>
      </w:r>
      <w:r w:rsidR="00BC061C" w:rsidRPr="00150CD2">
        <w:rPr>
          <w:rFonts w:eastAsiaTheme="minorHAnsi" w:cs="Arial"/>
          <w:szCs w:val="20"/>
          <w:lang w:eastAsia="en-AU"/>
        </w:rPr>
        <w:t xml:space="preserve">services </w:t>
      </w:r>
      <w:r w:rsidRPr="00150CD2">
        <w:rPr>
          <w:rFonts w:eastAsiaTheme="minorHAnsi" w:cs="Arial"/>
          <w:szCs w:val="20"/>
          <w:lang w:eastAsia="en-AU"/>
        </w:rPr>
        <w:t>(3</w:t>
      </w:r>
      <w:r w:rsidR="00AE4EC3" w:rsidRPr="00150CD2">
        <w:rPr>
          <w:rFonts w:eastAsiaTheme="minorHAnsi" w:cs="Arial"/>
          <w:szCs w:val="20"/>
          <w:lang w:eastAsia="en-AU"/>
        </w:rPr>
        <w:t>6</w:t>
      </w:r>
      <w:r w:rsidRPr="00150CD2">
        <w:rPr>
          <w:rFonts w:eastAsiaTheme="minorHAnsi" w:cs="Arial"/>
          <w:szCs w:val="20"/>
          <w:lang w:eastAsia="en-AU"/>
        </w:rPr>
        <w:t>%), respite (</w:t>
      </w:r>
      <w:r w:rsidR="00AE4EC3" w:rsidRPr="00150CD2">
        <w:rPr>
          <w:rFonts w:eastAsiaTheme="minorHAnsi" w:cs="Arial"/>
          <w:szCs w:val="20"/>
          <w:lang w:eastAsia="en-AU"/>
        </w:rPr>
        <w:t>28</w:t>
      </w:r>
      <w:r w:rsidRPr="00150CD2">
        <w:rPr>
          <w:rFonts w:eastAsiaTheme="minorHAnsi" w:cs="Arial"/>
          <w:szCs w:val="20"/>
          <w:lang w:eastAsia="en-AU"/>
        </w:rPr>
        <w:t>%), supported living (2</w:t>
      </w:r>
      <w:r w:rsidR="00AE4EC3" w:rsidRPr="00150CD2">
        <w:rPr>
          <w:rFonts w:eastAsiaTheme="minorHAnsi" w:cs="Arial"/>
          <w:szCs w:val="20"/>
          <w:lang w:eastAsia="en-AU"/>
        </w:rPr>
        <w:t>0</w:t>
      </w:r>
      <w:r w:rsidRPr="00150CD2">
        <w:rPr>
          <w:rFonts w:eastAsiaTheme="minorHAnsi" w:cs="Arial"/>
          <w:szCs w:val="20"/>
          <w:lang w:eastAsia="en-AU"/>
        </w:rPr>
        <w:t>%) and day services (</w:t>
      </w:r>
      <w:r w:rsidR="00AE4EC3" w:rsidRPr="00150CD2">
        <w:rPr>
          <w:rFonts w:eastAsiaTheme="minorHAnsi" w:cs="Arial"/>
          <w:szCs w:val="20"/>
          <w:lang w:eastAsia="en-AU"/>
        </w:rPr>
        <w:t>7</w:t>
      </w:r>
      <w:r w:rsidRPr="00150CD2">
        <w:rPr>
          <w:rFonts w:eastAsiaTheme="minorHAnsi" w:cs="Arial"/>
          <w:szCs w:val="20"/>
          <w:lang w:eastAsia="en-AU"/>
        </w:rPr>
        <w:t>%) were key types of NASC allocated services.</w:t>
      </w:r>
    </w:p>
    <w:p w14:paraId="502208F2" w14:textId="295D6A4E" w:rsidR="00310848" w:rsidRPr="00150CD2" w:rsidRDefault="00310848" w:rsidP="00310848">
      <w:pPr>
        <w:pStyle w:val="EYBulletedText1"/>
        <w:rPr>
          <w:rFonts w:eastAsiaTheme="minorHAnsi" w:cs="Arial"/>
          <w:szCs w:val="20"/>
          <w:lang w:eastAsia="en-AU"/>
        </w:rPr>
      </w:pPr>
      <w:r w:rsidRPr="00150CD2">
        <w:rPr>
          <w:rFonts w:eastAsiaTheme="minorHAnsi" w:cs="Arial"/>
          <w:szCs w:val="20"/>
          <w:lang w:eastAsia="en-AU"/>
        </w:rPr>
        <w:t>At a national level, responses from DSS clients aged 25-64 to the 2013 Disability Survey</w:t>
      </w:r>
      <w:r w:rsidR="006E78F4" w:rsidRPr="00150CD2">
        <w:rPr>
          <w:rStyle w:val="FootnoteReference"/>
          <w:rFonts w:ascii="Arial" w:eastAsiaTheme="minorHAnsi" w:hAnsi="Arial" w:cs="Arial"/>
          <w:lang w:eastAsia="en-AU"/>
        </w:rPr>
        <w:footnoteReference w:id="58"/>
      </w:r>
      <w:r w:rsidRPr="00150CD2">
        <w:rPr>
          <w:rFonts w:eastAsiaTheme="minorHAnsi" w:cs="Arial"/>
          <w:szCs w:val="20"/>
          <w:lang w:eastAsia="en-AU"/>
        </w:rPr>
        <w:t xml:space="preserve"> suggest that family members living with the disabled person are the main carer for around half of adult DSS clients. Another 10% have family members as carers who live separately from the respondents. Around 40% are in residential </w:t>
      </w:r>
      <w:r w:rsidR="001B7493" w:rsidRPr="00150CD2">
        <w:rPr>
          <w:rFonts w:eastAsiaTheme="minorHAnsi" w:cs="Arial"/>
          <w:szCs w:val="20"/>
          <w:lang w:eastAsia="en-AU"/>
        </w:rPr>
        <w:t xml:space="preserve">services </w:t>
      </w:r>
      <w:r w:rsidRPr="00150CD2">
        <w:rPr>
          <w:rFonts w:eastAsiaTheme="minorHAnsi" w:cs="Arial"/>
          <w:szCs w:val="20"/>
          <w:lang w:eastAsia="en-AU"/>
        </w:rPr>
        <w:t xml:space="preserve">or have </w:t>
      </w:r>
      <w:r w:rsidR="00BC061C" w:rsidRPr="00150CD2">
        <w:rPr>
          <w:rFonts w:eastAsiaTheme="minorHAnsi" w:cs="Arial"/>
          <w:szCs w:val="20"/>
          <w:lang w:eastAsia="en-AU"/>
        </w:rPr>
        <w:t xml:space="preserve">support </w:t>
      </w:r>
      <w:r w:rsidRPr="00150CD2">
        <w:rPr>
          <w:rFonts w:eastAsiaTheme="minorHAnsi" w:cs="Arial"/>
          <w:szCs w:val="20"/>
          <w:lang w:eastAsia="en-AU"/>
        </w:rPr>
        <w:t>provided by a non-family member.</w:t>
      </w:r>
    </w:p>
    <w:p w14:paraId="44BE0F58" w14:textId="23512057" w:rsidR="00310848" w:rsidRPr="00150CD2" w:rsidRDefault="00310848" w:rsidP="00310848">
      <w:pPr>
        <w:pStyle w:val="EYBulletedText1"/>
        <w:rPr>
          <w:rFonts w:eastAsiaTheme="minorHAnsi" w:cs="Arial"/>
          <w:szCs w:val="20"/>
          <w:lang w:eastAsia="en-AU"/>
        </w:rPr>
      </w:pPr>
      <w:r w:rsidRPr="00150CD2">
        <w:rPr>
          <w:rFonts w:eastAsiaTheme="minorHAnsi" w:cs="Arial"/>
          <w:szCs w:val="20"/>
          <w:lang w:eastAsia="en-AU"/>
        </w:rPr>
        <w:t>11% live in the 20% least deprived areas of NZ while 30% live in the 20% most deprived areas.</w:t>
      </w:r>
      <w:r w:rsidR="005F2A19" w:rsidRPr="00150CD2">
        <w:rPr>
          <w:rFonts w:eastAsiaTheme="minorHAnsi" w:cs="Arial"/>
          <w:szCs w:val="20"/>
          <w:lang w:eastAsia="en-AU"/>
        </w:rPr>
        <w:br/>
      </w:r>
      <w:r w:rsidR="005F2A19" w:rsidRPr="00150CD2">
        <w:rPr>
          <w:rFonts w:cs="Arial"/>
          <w:lang w:eastAsia="en-AU"/>
        </w:rPr>
        <w:t>DSS adults aged 25-64 are more likely to live in areas with deprivation, compared to non-DSS adults aged 25-64 across New Zealand (where 19% live in the 20% most deprived areas).</w:t>
      </w:r>
    </w:p>
    <w:p w14:paraId="4A5F7E3B" w14:textId="653FEC4D" w:rsidR="00310848" w:rsidRPr="00150CD2" w:rsidRDefault="00310848" w:rsidP="00310848">
      <w:pPr>
        <w:pStyle w:val="EYBodytextwithparaspace"/>
        <w:rPr>
          <w:rFonts w:cs="Arial"/>
          <w:lang w:eastAsia="en-AU"/>
        </w:rPr>
      </w:pPr>
      <w:r w:rsidRPr="00150CD2">
        <w:rPr>
          <w:rFonts w:cs="Arial"/>
          <w:lang w:eastAsia="en-AU"/>
        </w:rPr>
        <w:t>This section summarises some of the lifecourse outcomes and service contact indicators observed</w:t>
      </w:r>
      <w:r w:rsidR="00BB5133" w:rsidRPr="00150CD2">
        <w:rPr>
          <w:rFonts w:cs="Arial"/>
          <w:lang w:eastAsia="en-AU"/>
        </w:rPr>
        <w:t xml:space="preserve"> for</w:t>
      </w:r>
      <w:r w:rsidRPr="00150CD2">
        <w:rPr>
          <w:rFonts w:cs="Arial"/>
          <w:lang w:eastAsia="en-AU"/>
        </w:rPr>
        <w:t xml:space="preserve"> the 3 year period to 30 June 2018</w:t>
      </w:r>
      <w:r w:rsidRPr="00150CD2">
        <w:rPr>
          <w:rStyle w:val="FootnoteReference"/>
          <w:rFonts w:ascii="Arial" w:hAnsi="Arial" w:cs="Arial"/>
          <w:lang w:eastAsia="en-AU"/>
        </w:rPr>
        <w:footnoteReference w:id="59"/>
      </w:r>
      <w:r w:rsidRPr="00150CD2">
        <w:rPr>
          <w:rFonts w:cs="Arial"/>
          <w:lang w:eastAsia="en-AU"/>
        </w:rPr>
        <w:t xml:space="preserve"> for adults who were aged 25-64 at the start of the period and who were allocated DSS funding over the year to 30 June 2018. For some people this will include time prior to being allocated DSS funding.</w:t>
      </w:r>
    </w:p>
    <w:p w14:paraId="6059443A" w14:textId="5B9B4161" w:rsidR="00717D44" w:rsidRPr="00150CD2" w:rsidRDefault="00717D44">
      <w:pPr>
        <w:autoSpaceDE/>
        <w:autoSpaceDN/>
        <w:adjustRightInd/>
        <w:rPr>
          <w:rFonts w:cs="Arial"/>
          <w:lang w:eastAsia="en-AU"/>
        </w:rPr>
      </w:pPr>
      <w:r w:rsidRPr="00150CD2">
        <w:rPr>
          <w:rFonts w:cs="Arial"/>
          <w:lang w:eastAsia="en-AU"/>
        </w:rPr>
        <w:br w:type="page"/>
      </w:r>
    </w:p>
    <w:tbl>
      <w:tblPr>
        <w:tblStyle w:val="TableGrid"/>
        <w:tblW w:w="13968" w:type="dxa"/>
        <w:tblLayout w:type="fixed"/>
        <w:tblCellMar>
          <w:top w:w="28" w:type="dxa"/>
          <w:bottom w:w="28" w:type="dxa"/>
        </w:tblCellMar>
        <w:tblLook w:val="04A0" w:firstRow="1" w:lastRow="0" w:firstColumn="1" w:lastColumn="0" w:noHBand="0" w:noVBand="1"/>
      </w:tblPr>
      <w:tblGrid>
        <w:gridCol w:w="1584"/>
        <w:gridCol w:w="2016"/>
        <w:gridCol w:w="10368"/>
      </w:tblGrid>
      <w:tr w:rsidR="00310848" w:rsidRPr="00150CD2" w14:paraId="2AD078B5" w14:textId="77777777" w:rsidTr="00AB63BF">
        <w:trPr>
          <w:tblHeader/>
        </w:trPr>
        <w:tc>
          <w:tcPr>
            <w:tcW w:w="1584" w:type="dxa"/>
            <w:tcBorders>
              <w:bottom w:val="single" w:sz="4" w:space="0" w:color="auto"/>
            </w:tcBorders>
            <w:shd w:val="clear" w:color="auto" w:fill="F2F2F2" w:themeFill="background1" w:themeFillShade="F2"/>
          </w:tcPr>
          <w:p w14:paraId="4C7A806A" w14:textId="77777777" w:rsidR="00310848" w:rsidRPr="00150CD2" w:rsidRDefault="00310848" w:rsidP="0039393C">
            <w:pPr>
              <w:pStyle w:val="EYTableHeading"/>
              <w:rPr>
                <w:rFonts w:cs="Arial"/>
                <w:sz w:val="24"/>
              </w:rPr>
            </w:pPr>
            <w:r w:rsidRPr="00150CD2">
              <w:rPr>
                <w:rFonts w:cs="Arial"/>
                <w:sz w:val="24"/>
              </w:rPr>
              <w:t>Perspective</w:t>
            </w:r>
          </w:p>
        </w:tc>
        <w:tc>
          <w:tcPr>
            <w:tcW w:w="2016" w:type="dxa"/>
            <w:shd w:val="clear" w:color="auto" w:fill="F2F2F2" w:themeFill="background1" w:themeFillShade="F2"/>
          </w:tcPr>
          <w:p w14:paraId="129D3A54" w14:textId="77777777" w:rsidR="00310848" w:rsidRPr="00150CD2" w:rsidRDefault="00310848" w:rsidP="0039393C">
            <w:pPr>
              <w:pStyle w:val="EYTableHeading"/>
              <w:rPr>
                <w:rFonts w:cs="Arial"/>
                <w:sz w:val="24"/>
              </w:rPr>
            </w:pPr>
            <w:r w:rsidRPr="00150CD2">
              <w:rPr>
                <w:rFonts w:cs="Arial"/>
                <w:sz w:val="24"/>
              </w:rPr>
              <w:t>Indicators</w:t>
            </w:r>
          </w:p>
        </w:tc>
        <w:tc>
          <w:tcPr>
            <w:tcW w:w="10368" w:type="dxa"/>
            <w:shd w:val="clear" w:color="auto" w:fill="F2F2F2" w:themeFill="background1" w:themeFillShade="F2"/>
          </w:tcPr>
          <w:p w14:paraId="34D3577F" w14:textId="77777777" w:rsidR="00310848" w:rsidRPr="00150CD2" w:rsidRDefault="00310848" w:rsidP="0039393C">
            <w:pPr>
              <w:pStyle w:val="EYTableHeading"/>
              <w:rPr>
                <w:rFonts w:cs="Arial"/>
                <w:sz w:val="24"/>
              </w:rPr>
            </w:pPr>
            <w:r w:rsidRPr="00150CD2">
              <w:rPr>
                <w:rFonts w:cs="Arial"/>
                <w:sz w:val="24"/>
              </w:rPr>
              <w:t>Insights for adults aged 25-64 allocated DSS over the year to 30 June 2018 across New Zealand, compared to other adults aged 25-64 – outcomes and service contact indicators over the 3 year period to 30 June 2018</w:t>
            </w:r>
          </w:p>
        </w:tc>
      </w:tr>
      <w:tr w:rsidR="00310848" w:rsidRPr="00150CD2" w14:paraId="6C43FDBE" w14:textId="77777777" w:rsidTr="00AB63BF">
        <w:tc>
          <w:tcPr>
            <w:tcW w:w="1584" w:type="dxa"/>
            <w:tcBorders>
              <w:bottom w:val="nil"/>
            </w:tcBorders>
          </w:tcPr>
          <w:p w14:paraId="1AB37BDE" w14:textId="77777777" w:rsidR="00310848" w:rsidRPr="00150CD2" w:rsidRDefault="00310848" w:rsidP="0039393C">
            <w:pPr>
              <w:pStyle w:val="EYTableText"/>
              <w:rPr>
                <w:rFonts w:cs="Arial"/>
                <w:sz w:val="24"/>
              </w:rPr>
            </w:pPr>
            <w:r w:rsidRPr="00150CD2">
              <w:rPr>
                <w:rFonts w:cs="Arial"/>
                <w:sz w:val="24"/>
              </w:rPr>
              <w:t>Adult</w:t>
            </w:r>
          </w:p>
        </w:tc>
        <w:tc>
          <w:tcPr>
            <w:tcW w:w="2016" w:type="dxa"/>
          </w:tcPr>
          <w:p w14:paraId="72A3AB64" w14:textId="77777777" w:rsidR="00310848" w:rsidRPr="00150CD2" w:rsidRDefault="00310848" w:rsidP="0039393C">
            <w:pPr>
              <w:pStyle w:val="EYTableText"/>
              <w:rPr>
                <w:rFonts w:cs="Arial"/>
                <w:sz w:val="24"/>
              </w:rPr>
            </w:pPr>
            <w:r w:rsidRPr="00150CD2">
              <w:rPr>
                <w:rFonts w:cs="Arial"/>
                <w:sz w:val="24"/>
              </w:rPr>
              <w:t>Education</w:t>
            </w:r>
          </w:p>
        </w:tc>
        <w:tc>
          <w:tcPr>
            <w:tcW w:w="10368" w:type="dxa"/>
            <w:shd w:val="clear" w:color="auto" w:fill="auto"/>
          </w:tcPr>
          <w:p w14:paraId="0BF320EE" w14:textId="77777777" w:rsidR="00310848" w:rsidRPr="00150CD2" w:rsidRDefault="00310848" w:rsidP="0039393C">
            <w:pPr>
              <w:pStyle w:val="EYTableText"/>
              <w:rPr>
                <w:rFonts w:cs="Arial"/>
                <w:sz w:val="24"/>
              </w:rPr>
            </w:pPr>
            <w:r w:rsidRPr="00150CD2">
              <w:rPr>
                <w:rFonts w:cs="Arial"/>
                <w:sz w:val="24"/>
              </w:rPr>
              <w:t>A small proportion of DSS adults continued with education or training during a 3 year period:</w:t>
            </w:r>
          </w:p>
          <w:p w14:paraId="0942F8D8" w14:textId="0515CFEE" w:rsidR="00310848" w:rsidRPr="00150CD2" w:rsidRDefault="00310848" w:rsidP="0039393C">
            <w:pPr>
              <w:pStyle w:val="EYTablebullet1"/>
              <w:rPr>
                <w:rFonts w:cs="Arial"/>
                <w:sz w:val="24"/>
              </w:rPr>
            </w:pPr>
            <w:r w:rsidRPr="00150CD2">
              <w:rPr>
                <w:rFonts w:cs="Arial"/>
                <w:sz w:val="24"/>
              </w:rPr>
              <w:t xml:space="preserve">Around 9% of DSS adults aged 25-44 and 4% of 45-64 year olds were enrolled in tertiary education and training during the three year period. Enrolment rates were higher for women and Māori, and lower for those with intellectual disability and </w:t>
            </w:r>
            <w:r w:rsidR="00DF5F17" w:rsidRPr="00150CD2">
              <w:rPr>
                <w:rFonts w:cs="Arial"/>
                <w:sz w:val="24"/>
              </w:rPr>
              <w:t>high/very high SPA</w:t>
            </w:r>
            <w:r w:rsidRPr="00150CD2">
              <w:rPr>
                <w:rFonts w:cs="Arial"/>
                <w:sz w:val="24"/>
              </w:rPr>
              <w:t xml:space="preserve"> levels.</w:t>
            </w:r>
          </w:p>
          <w:p w14:paraId="69513AA7" w14:textId="21A98D98" w:rsidR="00310848" w:rsidRPr="00150CD2" w:rsidRDefault="00310848" w:rsidP="0039393C">
            <w:pPr>
              <w:pStyle w:val="EYTablebullet1"/>
              <w:rPr>
                <w:rFonts w:cs="Arial"/>
                <w:sz w:val="24"/>
              </w:rPr>
            </w:pPr>
            <w:r w:rsidRPr="00150CD2">
              <w:rPr>
                <w:rFonts w:cs="Arial"/>
                <w:sz w:val="24"/>
              </w:rPr>
              <w:t>For non-DSS adults, 23% of 25-44 year olds and 10% of 45-64 year olds enrolled in a tertiary</w:t>
            </w:r>
            <w:r w:rsidR="00BB5133" w:rsidRPr="00150CD2">
              <w:rPr>
                <w:rFonts w:cs="Arial"/>
                <w:sz w:val="24"/>
              </w:rPr>
              <w:t xml:space="preserve"> </w:t>
            </w:r>
            <w:r w:rsidR="001F75B3" w:rsidRPr="00150CD2">
              <w:rPr>
                <w:rFonts w:cs="Arial"/>
                <w:sz w:val="24"/>
              </w:rPr>
              <w:t xml:space="preserve">education </w:t>
            </w:r>
            <w:r w:rsidR="00552B64" w:rsidRPr="00150CD2">
              <w:rPr>
                <w:rFonts w:cs="Arial"/>
                <w:sz w:val="24"/>
              </w:rPr>
              <w:t>and</w:t>
            </w:r>
            <w:r w:rsidR="00BB5133" w:rsidRPr="00150CD2">
              <w:rPr>
                <w:rFonts w:cs="Arial"/>
                <w:sz w:val="24"/>
              </w:rPr>
              <w:t xml:space="preserve"> training</w:t>
            </w:r>
            <w:r w:rsidRPr="00150CD2">
              <w:rPr>
                <w:rFonts w:cs="Arial"/>
                <w:sz w:val="24"/>
              </w:rPr>
              <w:t xml:space="preserve"> course over the same period.</w:t>
            </w:r>
          </w:p>
        </w:tc>
      </w:tr>
      <w:tr w:rsidR="00310848" w:rsidRPr="00150CD2" w14:paraId="2734CE0F" w14:textId="77777777" w:rsidTr="00AB63BF">
        <w:tc>
          <w:tcPr>
            <w:tcW w:w="1584" w:type="dxa"/>
            <w:tcBorders>
              <w:top w:val="nil"/>
              <w:bottom w:val="nil"/>
            </w:tcBorders>
          </w:tcPr>
          <w:p w14:paraId="076A6381" w14:textId="77777777" w:rsidR="00310848" w:rsidRPr="00150CD2" w:rsidRDefault="00310848" w:rsidP="0039393C">
            <w:pPr>
              <w:pStyle w:val="EYTableText"/>
              <w:rPr>
                <w:rFonts w:cs="Arial"/>
                <w:sz w:val="24"/>
              </w:rPr>
            </w:pPr>
          </w:p>
        </w:tc>
        <w:tc>
          <w:tcPr>
            <w:tcW w:w="2016" w:type="dxa"/>
          </w:tcPr>
          <w:p w14:paraId="1777FA8C" w14:textId="77777777" w:rsidR="00310848" w:rsidRPr="00150CD2" w:rsidRDefault="00310848" w:rsidP="0039393C">
            <w:pPr>
              <w:pStyle w:val="EYTableText"/>
              <w:rPr>
                <w:rFonts w:cs="Arial"/>
                <w:sz w:val="24"/>
              </w:rPr>
            </w:pPr>
            <w:r w:rsidRPr="00150CD2">
              <w:rPr>
                <w:rFonts w:cs="Arial"/>
                <w:sz w:val="24"/>
              </w:rPr>
              <w:t>Employment and income</w:t>
            </w:r>
          </w:p>
        </w:tc>
        <w:tc>
          <w:tcPr>
            <w:tcW w:w="10368" w:type="dxa"/>
            <w:shd w:val="clear" w:color="auto" w:fill="auto"/>
          </w:tcPr>
          <w:p w14:paraId="70D3868D" w14:textId="7E76B4F9" w:rsidR="00310848" w:rsidRPr="00150CD2" w:rsidRDefault="00310848" w:rsidP="0039393C">
            <w:pPr>
              <w:pStyle w:val="EYTableText"/>
              <w:rPr>
                <w:rFonts w:cs="Arial"/>
                <w:sz w:val="24"/>
              </w:rPr>
            </w:pPr>
            <w:r w:rsidRPr="00150CD2">
              <w:rPr>
                <w:rFonts w:cs="Arial"/>
                <w:sz w:val="24"/>
              </w:rPr>
              <w:t>Most DSS adults were partially or wholly reliant on benefit income support over a 3 year period. Some reported employment income, however in most cases these were relatively small amounts. Employment rates are substantially lower than the non-DSS population</w:t>
            </w:r>
            <w:r w:rsidR="00C038E3" w:rsidRPr="00150CD2">
              <w:rPr>
                <w:rFonts w:cs="Arial"/>
                <w:sz w:val="24"/>
              </w:rPr>
              <w:t>:</w:t>
            </w:r>
          </w:p>
          <w:p w14:paraId="7DDDCA2D" w14:textId="0975540C" w:rsidR="00310848" w:rsidRPr="00150CD2" w:rsidRDefault="00310848" w:rsidP="0039393C">
            <w:pPr>
              <w:pStyle w:val="EYTablebullet1"/>
              <w:rPr>
                <w:rFonts w:cs="Arial"/>
                <w:sz w:val="24"/>
              </w:rPr>
            </w:pPr>
            <w:r w:rsidRPr="00150CD2">
              <w:rPr>
                <w:rFonts w:cs="Arial"/>
                <w:sz w:val="24"/>
              </w:rPr>
              <w:t>24% of 25-44 year olds and 17% of 45-64 year olds reported any employment income over a three year period. Most of this group reported relatively small income amounts; a smaller number (13% of 25-44 year olds and 11% of 45-64 year olds) reported employment income of more than $5,000 over at least one year in the period.</w:t>
            </w:r>
            <w:r w:rsidRPr="00150CD2">
              <w:rPr>
                <w:rFonts w:cs="Arial"/>
                <w:sz w:val="24"/>
              </w:rPr>
              <w:br/>
              <w:t xml:space="preserve">Within the DSS adult population, employment rates were marginally lower for Māori adults and considerably lower for adults with an intellectual disability and/or </w:t>
            </w:r>
            <w:r w:rsidR="00DF5F17" w:rsidRPr="00150CD2">
              <w:rPr>
                <w:rFonts w:cs="Arial"/>
                <w:sz w:val="24"/>
              </w:rPr>
              <w:t>high/very high SPA</w:t>
            </w:r>
            <w:r w:rsidRPr="00150CD2">
              <w:rPr>
                <w:rFonts w:cs="Arial"/>
                <w:sz w:val="24"/>
              </w:rPr>
              <w:t xml:space="preserve"> levels, compared to those with other disability types or low/medium SPA levels.</w:t>
            </w:r>
          </w:p>
          <w:p w14:paraId="40A22366" w14:textId="4CE2D6BA" w:rsidR="00310848" w:rsidRPr="00150CD2" w:rsidRDefault="00310848" w:rsidP="0039393C">
            <w:pPr>
              <w:pStyle w:val="EYTablebullet1"/>
              <w:rPr>
                <w:rFonts w:cs="Arial"/>
                <w:sz w:val="24"/>
              </w:rPr>
            </w:pPr>
            <w:r w:rsidRPr="00150CD2">
              <w:rPr>
                <w:rFonts w:cs="Arial"/>
                <w:sz w:val="24"/>
              </w:rPr>
              <w:t xml:space="preserve">For non-DSS adults, 90% of 25-44 year olds and 80% of 45-64 year olds reported any employment income over a 3 year period. 82% </w:t>
            </w:r>
            <w:r w:rsidR="00F36E47" w:rsidRPr="00150CD2">
              <w:rPr>
                <w:rFonts w:cs="Arial"/>
                <w:sz w:val="24"/>
              </w:rPr>
              <w:t xml:space="preserve">of 25-64 year olds </w:t>
            </w:r>
            <w:r w:rsidRPr="00150CD2">
              <w:rPr>
                <w:rFonts w:cs="Arial"/>
                <w:sz w:val="24"/>
              </w:rPr>
              <w:t>reported income over $5,000 over at least one year in the 3 year period.</w:t>
            </w:r>
          </w:p>
        </w:tc>
      </w:tr>
      <w:tr w:rsidR="00310848" w:rsidRPr="00150CD2" w14:paraId="08D68ECB" w14:textId="77777777" w:rsidTr="00AB63BF">
        <w:tc>
          <w:tcPr>
            <w:tcW w:w="1584" w:type="dxa"/>
            <w:tcBorders>
              <w:top w:val="nil"/>
              <w:bottom w:val="nil"/>
            </w:tcBorders>
          </w:tcPr>
          <w:p w14:paraId="2FD1CC4C" w14:textId="77777777" w:rsidR="00310848" w:rsidRPr="00150CD2" w:rsidRDefault="00310848" w:rsidP="0039393C">
            <w:pPr>
              <w:pStyle w:val="EYTableText"/>
              <w:rPr>
                <w:rFonts w:cs="Arial"/>
                <w:sz w:val="24"/>
              </w:rPr>
            </w:pPr>
          </w:p>
        </w:tc>
        <w:tc>
          <w:tcPr>
            <w:tcW w:w="2016" w:type="dxa"/>
          </w:tcPr>
          <w:p w14:paraId="1E9757F4" w14:textId="7A544CBB" w:rsidR="00310848" w:rsidRPr="00150CD2" w:rsidRDefault="00310848" w:rsidP="0039393C">
            <w:pPr>
              <w:pStyle w:val="EYTableText"/>
              <w:rPr>
                <w:rFonts w:cs="Arial"/>
                <w:sz w:val="24"/>
              </w:rPr>
            </w:pPr>
            <w:r w:rsidRPr="00150CD2">
              <w:rPr>
                <w:rFonts w:cs="Arial"/>
                <w:sz w:val="24"/>
              </w:rPr>
              <w:t>Driver licences</w:t>
            </w:r>
          </w:p>
        </w:tc>
        <w:tc>
          <w:tcPr>
            <w:tcW w:w="10368" w:type="dxa"/>
            <w:shd w:val="clear" w:color="auto" w:fill="auto"/>
          </w:tcPr>
          <w:p w14:paraId="2F15E509" w14:textId="5EC3401F" w:rsidR="00310848" w:rsidRPr="00150CD2" w:rsidRDefault="00310848" w:rsidP="0039393C">
            <w:pPr>
              <w:pStyle w:val="EYTablebullet1"/>
              <w:rPr>
                <w:rFonts w:cs="Arial"/>
                <w:sz w:val="24"/>
              </w:rPr>
            </w:pPr>
            <w:r w:rsidRPr="00150CD2">
              <w:rPr>
                <w:rFonts w:cs="Arial"/>
                <w:sz w:val="24"/>
              </w:rPr>
              <w:t>20% of DSS adults aged 25-64 had their full driver licence at June 2018. For the broader 25-64 year old population, around 80% had a current full licence at June 2018.</w:t>
            </w:r>
          </w:p>
          <w:p w14:paraId="7600695A" w14:textId="1F4BE769" w:rsidR="00310848" w:rsidRPr="00150CD2" w:rsidRDefault="00310848" w:rsidP="0039393C">
            <w:pPr>
              <w:pStyle w:val="EYTablebullet1"/>
              <w:rPr>
                <w:rFonts w:cs="Arial"/>
                <w:sz w:val="24"/>
              </w:rPr>
            </w:pPr>
            <w:r w:rsidRPr="00150CD2">
              <w:rPr>
                <w:rFonts w:cs="Arial"/>
                <w:sz w:val="24"/>
              </w:rPr>
              <w:t xml:space="preserve">Within the DSS group, licence rates are lower for those with intellectual disability (7% compared with 36% for those with physical and other disability types) and </w:t>
            </w:r>
            <w:r w:rsidR="00DF5F17" w:rsidRPr="00150CD2">
              <w:rPr>
                <w:rFonts w:cs="Arial"/>
                <w:sz w:val="24"/>
              </w:rPr>
              <w:t>high/very high SPA</w:t>
            </w:r>
            <w:r w:rsidRPr="00150CD2">
              <w:rPr>
                <w:rFonts w:cs="Arial"/>
                <w:sz w:val="24"/>
              </w:rPr>
              <w:t xml:space="preserve"> levels (14% have licences). Licence rates were similar across Māori and non-Māori adults.</w:t>
            </w:r>
          </w:p>
        </w:tc>
      </w:tr>
      <w:tr w:rsidR="00310848" w:rsidRPr="00150CD2" w14:paraId="7D6C19CA" w14:textId="77777777" w:rsidTr="00AB63BF">
        <w:tc>
          <w:tcPr>
            <w:tcW w:w="1584" w:type="dxa"/>
            <w:tcBorders>
              <w:top w:val="nil"/>
              <w:bottom w:val="nil"/>
            </w:tcBorders>
          </w:tcPr>
          <w:p w14:paraId="2A30C735" w14:textId="77777777" w:rsidR="00310848" w:rsidRPr="00150CD2" w:rsidRDefault="00310848" w:rsidP="0039393C">
            <w:pPr>
              <w:pStyle w:val="EYTableText"/>
              <w:rPr>
                <w:rFonts w:cs="Arial"/>
                <w:sz w:val="24"/>
              </w:rPr>
            </w:pPr>
          </w:p>
        </w:tc>
        <w:tc>
          <w:tcPr>
            <w:tcW w:w="2016" w:type="dxa"/>
          </w:tcPr>
          <w:p w14:paraId="2C56FE58" w14:textId="77777777" w:rsidR="00310848" w:rsidRPr="00150CD2" w:rsidRDefault="00310848" w:rsidP="0039393C">
            <w:pPr>
              <w:pStyle w:val="EYTableText"/>
              <w:rPr>
                <w:rFonts w:cs="Arial"/>
                <w:sz w:val="24"/>
              </w:rPr>
            </w:pPr>
            <w:r w:rsidRPr="00150CD2">
              <w:rPr>
                <w:rFonts w:cs="Arial"/>
                <w:sz w:val="24"/>
              </w:rPr>
              <w:t>Offences</w:t>
            </w:r>
          </w:p>
        </w:tc>
        <w:tc>
          <w:tcPr>
            <w:tcW w:w="10368" w:type="dxa"/>
            <w:shd w:val="clear" w:color="auto" w:fill="auto"/>
          </w:tcPr>
          <w:p w14:paraId="20683164" w14:textId="77777777" w:rsidR="00310848" w:rsidRPr="00150CD2" w:rsidRDefault="00310848" w:rsidP="0039393C">
            <w:pPr>
              <w:pStyle w:val="EYTablebullet1"/>
              <w:rPr>
                <w:rFonts w:cs="Arial"/>
                <w:sz w:val="24"/>
              </w:rPr>
            </w:pPr>
            <w:r w:rsidRPr="00150CD2">
              <w:rPr>
                <w:rFonts w:cs="Arial"/>
                <w:sz w:val="24"/>
              </w:rPr>
              <w:t>4% of DSS 25-64 year olds were involved in a Police recorded offence over a 3 year period, similar to the national average offending rate for other 25-64 year olds over the same period (5%).</w:t>
            </w:r>
          </w:p>
          <w:p w14:paraId="583B7E60" w14:textId="55710117" w:rsidR="00310848" w:rsidRPr="00150CD2" w:rsidRDefault="00310848" w:rsidP="0039393C">
            <w:pPr>
              <w:pStyle w:val="EYTablebullet1"/>
              <w:rPr>
                <w:rFonts w:cs="Arial"/>
                <w:sz w:val="24"/>
              </w:rPr>
            </w:pPr>
            <w:r w:rsidRPr="00150CD2">
              <w:rPr>
                <w:rFonts w:cs="Arial"/>
                <w:sz w:val="24"/>
              </w:rPr>
              <w:t>Within the adult DSS group, offending rates were higher for men aged 25-44 (approximately twice as likely to offend as men aged 45-64 and 2.6</w:t>
            </w:r>
            <w:r w:rsidR="00CA4326" w:rsidRPr="00150CD2">
              <w:rPr>
                <w:rFonts w:cs="Arial"/>
                <w:sz w:val="24"/>
              </w:rPr>
              <w:t xml:space="preserve"> times </w:t>
            </w:r>
            <w:r w:rsidRPr="00150CD2">
              <w:rPr>
                <w:rFonts w:cs="Arial"/>
                <w:sz w:val="24"/>
              </w:rPr>
              <w:t>as likely to offend as similarly aged women) and for Māori (1.8</w:t>
            </w:r>
            <w:r w:rsidR="00CA4326" w:rsidRPr="00150CD2">
              <w:rPr>
                <w:rFonts w:cs="Arial"/>
                <w:sz w:val="24"/>
              </w:rPr>
              <w:t xml:space="preserve"> times </w:t>
            </w:r>
            <w:r w:rsidRPr="00150CD2">
              <w:rPr>
                <w:rFonts w:cs="Arial"/>
                <w:sz w:val="24"/>
              </w:rPr>
              <w:t>as likely to have a recorded offence as non-Māori), consistent with differences in the national population. Rates were slightly higher for those with low/medium SPA levels.</w:t>
            </w:r>
          </w:p>
        </w:tc>
      </w:tr>
      <w:tr w:rsidR="00302B8D" w:rsidRPr="00150CD2" w14:paraId="0CAEA809" w14:textId="77777777" w:rsidTr="00AB63BF">
        <w:tc>
          <w:tcPr>
            <w:tcW w:w="1584" w:type="dxa"/>
            <w:tcBorders>
              <w:top w:val="nil"/>
              <w:bottom w:val="nil"/>
            </w:tcBorders>
          </w:tcPr>
          <w:p w14:paraId="0286028D" w14:textId="77777777" w:rsidR="00302B8D" w:rsidRPr="00150CD2" w:rsidRDefault="00302B8D" w:rsidP="00302B8D">
            <w:pPr>
              <w:pStyle w:val="EYTableText"/>
              <w:rPr>
                <w:rFonts w:cs="Arial"/>
                <w:sz w:val="24"/>
              </w:rPr>
            </w:pPr>
          </w:p>
        </w:tc>
        <w:tc>
          <w:tcPr>
            <w:tcW w:w="2016" w:type="dxa"/>
          </w:tcPr>
          <w:p w14:paraId="6A1C9105" w14:textId="4C594BFC" w:rsidR="00302B8D" w:rsidRPr="00150CD2" w:rsidRDefault="00302B8D" w:rsidP="00302B8D">
            <w:pPr>
              <w:pStyle w:val="EYTableText"/>
              <w:rPr>
                <w:rFonts w:cs="Arial"/>
                <w:sz w:val="24"/>
              </w:rPr>
            </w:pPr>
            <w:r w:rsidRPr="00150CD2">
              <w:rPr>
                <w:rFonts w:cs="Arial"/>
                <w:sz w:val="24"/>
              </w:rPr>
              <w:t>Safety – victimisation</w:t>
            </w:r>
          </w:p>
        </w:tc>
        <w:tc>
          <w:tcPr>
            <w:tcW w:w="10368" w:type="dxa"/>
            <w:shd w:val="clear" w:color="auto" w:fill="auto"/>
          </w:tcPr>
          <w:p w14:paraId="18C4CE27" w14:textId="77777777" w:rsidR="00302B8D" w:rsidRPr="00150CD2" w:rsidRDefault="00302B8D" w:rsidP="00302B8D">
            <w:pPr>
              <w:pStyle w:val="EYTablebullet1"/>
              <w:rPr>
                <w:rFonts w:cs="Arial"/>
                <w:sz w:val="24"/>
              </w:rPr>
            </w:pPr>
            <w:r w:rsidRPr="00150CD2">
              <w:rPr>
                <w:rFonts w:cs="Arial"/>
                <w:sz w:val="24"/>
              </w:rPr>
              <w:t>7% of DSS 25-64 year olds were recorded by Police as being victims of a crime over the 3 year period. This rate was similar to that of the broader adult population.</w:t>
            </w:r>
          </w:p>
          <w:p w14:paraId="64F456B1" w14:textId="51256C35" w:rsidR="00302B8D" w:rsidRPr="00150CD2" w:rsidRDefault="00302B8D" w:rsidP="00302B8D">
            <w:pPr>
              <w:pStyle w:val="EYTablebullet1"/>
              <w:rPr>
                <w:rFonts w:cs="Arial"/>
                <w:sz w:val="24"/>
              </w:rPr>
            </w:pPr>
            <w:r w:rsidRPr="00150CD2">
              <w:rPr>
                <w:rFonts w:cs="Arial"/>
                <w:sz w:val="24"/>
              </w:rPr>
              <w:t>Reflecting patterns in the broader population, Māori DSS adults were marginally more likely to be victimised than non-Māori DSS adults (the difference is smaller than for the non-DSS population). Adults with low/medium SPA levels were also more likely to be victimised (9% over the period). Rates were similar across gender and disability types.</w:t>
            </w:r>
          </w:p>
        </w:tc>
      </w:tr>
      <w:tr w:rsidR="00310848" w:rsidRPr="00150CD2" w14:paraId="34C783D3" w14:textId="77777777" w:rsidTr="00AB63BF">
        <w:tc>
          <w:tcPr>
            <w:tcW w:w="1584" w:type="dxa"/>
            <w:tcBorders>
              <w:top w:val="nil"/>
              <w:bottom w:val="nil"/>
            </w:tcBorders>
          </w:tcPr>
          <w:p w14:paraId="37265052" w14:textId="77777777" w:rsidR="00310848" w:rsidRPr="00150CD2" w:rsidRDefault="00310848" w:rsidP="0039393C">
            <w:pPr>
              <w:pStyle w:val="EYTableText"/>
              <w:rPr>
                <w:rFonts w:cs="Arial"/>
                <w:sz w:val="24"/>
              </w:rPr>
            </w:pPr>
          </w:p>
        </w:tc>
        <w:tc>
          <w:tcPr>
            <w:tcW w:w="2016" w:type="dxa"/>
          </w:tcPr>
          <w:p w14:paraId="53E43008" w14:textId="483DF001" w:rsidR="00310848" w:rsidRPr="00150CD2" w:rsidRDefault="00310848" w:rsidP="0039393C">
            <w:pPr>
              <w:pStyle w:val="EYTableText"/>
              <w:rPr>
                <w:rFonts w:cs="Arial"/>
                <w:sz w:val="24"/>
              </w:rPr>
            </w:pPr>
            <w:r w:rsidRPr="00150CD2">
              <w:rPr>
                <w:rFonts w:cs="Arial"/>
                <w:sz w:val="24"/>
              </w:rPr>
              <w:t xml:space="preserve">Ambulatory sensitive </w:t>
            </w:r>
            <w:r w:rsidR="006E12E5" w:rsidRPr="00150CD2">
              <w:rPr>
                <w:rFonts w:cs="Arial"/>
                <w:sz w:val="24"/>
              </w:rPr>
              <w:t xml:space="preserve">(avoidable) </w:t>
            </w:r>
            <w:r w:rsidRPr="00150CD2">
              <w:rPr>
                <w:rFonts w:cs="Arial"/>
                <w:sz w:val="24"/>
              </w:rPr>
              <w:t>hospitalisations, ED contacts and injury related hospitalisations</w:t>
            </w:r>
            <w:r w:rsidRPr="00150CD2">
              <w:rPr>
                <w:rStyle w:val="CommentReference"/>
                <w:rFonts w:cs="Arial"/>
                <w:sz w:val="24"/>
                <w:szCs w:val="24"/>
              </w:rPr>
              <w:t xml:space="preserve"> </w:t>
            </w:r>
          </w:p>
        </w:tc>
        <w:tc>
          <w:tcPr>
            <w:tcW w:w="10368" w:type="dxa"/>
            <w:shd w:val="clear" w:color="auto" w:fill="auto"/>
          </w:tcPr>
          <w:p w14:paraId="74137F5D" w14:textId="504A4B9C" w:rsidR="00310848" w:rsidRPr="00150CD2" w:rsidRDefault="00310848" w:rsidP="0039393C">
            <w:pPr>
              <w:pStyle w:val="EYTableText"/>
              <w:rPr>
                <w:rFonts w:cs="Arial"/>
                <w:sz w:val="24"/>
              </w:rPr>
            </w:pPr>
            <w:r w:rsidRPr="00150CD2">
              <w:rPr>
                <w:rFonts w:cs="Arial"/>
                <w:sz w:val="24"/>
              </w:rPr>
              <w:t>Around 1 in 5 DSS adults had ambulatory sensitive hospitalisations (ASHs) over the 3 year period.</w:t>
            </w:r>
          </w:p>
          <w:p w14:paraId="2B0A1889" w14:textId="77777777" w:rsidR="00310848" w:rsidRPr="00150CD2" w:rsidRDefault="00310848" w:rsidP="0039393C">
            <w:pPr>
              <w:pStyle w:val="EYTablebullet1"/>
              <w:rPr>
                <w:rFonts w:cs="Arial"/>
                <w:sz w:val="24"/>
              </w:rPr>
            </w:pPr>
            <w:r w:rsidRPr="00150CD2">
              <w:rPr>
                <w:rFonts w:cs="Arial"/>
                <w:sz w:val="24"/>
              </w:rPr>
              <w:t>23% of the 25-64 year old DSS adult population had ASHs over the 3 year period. This was considerably higher than the broader adult population (4% had ASHs over the same period).</w:t>
            </w:r>
          </w:p>
          <w:p w14:paraId="3D5BFC16" w14:textId="26887F24" w:rsidR="00310848" w:rsidRPr="00150CD2" w:rsidRDefault="00310848" w:rsidP="0039393C">
            <w:pPr>
              <w:pStyle w:val="EYTablebullet1"/>
              <w:rPr>
                <w:rFonts w:cs="Arial"/>
                <w:sz w:val="24"/>
              </w:rPr>
            </w:pPr>
            <w:r w:rsidRPr="00150CD2">
              <w:rPr>
                <w:rFonts w:cs="Arial"/>
                <w:sz w:val="24"/>
              </w:rPr>
              <w:t xml:space="preserve">ASH rates were higher for those with physical and other non-intellectual disability types (25% </w:t>
            </w:r>
            <w:r w:rsidR="00CA4326" w:rsidRPr="00150CD2">
              <w:rPr>
                <w:rFonts w:cs="Arial"/>
                <w:sz w:val="24"/>
              </w:rPr>
              <w:t>compared with</w:t>
            </w:r>
            <w:r w:rsidRPr="00150CD2">
              <w:rPr>
                <w:rFonts w:cs="Arial"/>
                <w:sz w:val="24"/>
              </w:rPr>
              <w:t xml:space="preserve"> 20% for those with intellectual disability), people with a high/very high SPA level (25% </w:t>
            </w:r>
            <w:r w:rsidR="00CA4326" w:rsidRPr="00150CD2">
              <w:rPr>
                <w:rFonts w:cs="Arial"/>
                <w:sz w:val="24"/>
              </w:rPr>
              <w:t>compared with</w:t>
            </w:r>
            <w:r w:rsidRPr="00150CD2">
              <w:rPr>
                <w:rFonts w:cs="Arial"/>
                <w:sz w:val="24"/>
              </w:rPr>
              <w:t xml:space="preserve"> 15% with a low/medium SPA level), and for older Māori adults aged 45-64 (28% </w:t>
            </w:r>
            <w:r w:rsidR="00CA4326" w:rsidRPr="00150CD2">
              <w:rPr>
                <w:rFonts w:cs="Arial"/>
                <w:sz w:val="24"/>
              </w:rPr>
              <w:t>compared with</w:t>
            </w:r>
            <w:r w:rsidRPr="00150CD2">
              <w:rPr>
                <w:rFonts w:cs="Arial"/>
                <w:sz w:val="24"/>
              </w:rPr>
              <w:t xml:space="preserve"> 24% for similarly aged non-Māori). Male and female ASH rates were similar.</w:t>
            </w:r>
          </w:p>
          <w:p w14:paraId="0CE2BA4D" w14:textId="76CCB006" w:rsidR="00310848" w:rsidRPr="00150CD2" w:rsidRDefault="00310848" w:rsidP="0039393C">
            <w:pPr>
              <w:pStyle w:val="EYTableText"/>
              <w:rPr>
                <w:rFonts w:cs="Arial"/>
                <w:sz w:val="24"/>
              </w:rPr>
            </w:pPr>
            <w:r w:rsidRPr="00150CD2">
              <w:rPr>
                <w:rFonts w:cs="Arial"/>
                <w:sz w:val="24"/>
              </w:rPr>
              <w:t>Injury related ED contact and hospitalisation rates were around 2-2.7</w:t>
            </w:r>
            <w:r w:rsidR="00CA4326" w:rsidRPr="00150CD2">
              <w:rPr>
                <w:rFonts w:cs="Arial"/>
                <w:sz w:val="24"/>
              </w:rPr>
              <w:t xml:space="preserve"> times </w:t>
            </w:r>
            <w:r w:rsidRPr="00150CD2">
              <w:rPr>
                <w:rFonts w:cs="Arial"/>
                <w:sz w:val="24"/>
              </w:rPr>
              <w:t>the rates for the broader adult population.</w:t>
            </w:r>
          </w:p>
          <w:p w14:paraId="7111DB6F" w14:textId="77777777" w:rsidR="00310848" w:rsidRPr="00150CD2" w:rsidRDefault="00310848" w:rsidP="0039393C">
            <w:pPr>
              <w:pStyle w:val="EYTablebullet1"/>
              <w:rPr>
                <w:rFonts w:cs="Arial"/>
                <w:sz w:val="24"/>
              </w:rPr>
            </w:pPr>
            <w:r w:rsidRPr="00150CD2">
              <w:rPr>
                <w:rFonts w:cs="Arial"/>
                <w:sz w:val="24"/>
              </w:rPr>
              <w:t>21% of the DSS 25-64 year old population had injury related ED contacts and 10% had injury related hospital admissions over the 3 year period. Rates were slightly higher for those with physical and other non-intellectual disabilities, and broadly similar across SPA levels, genders and Māori/non-Māori adults.</w:t>
            </w:r>
          </w:p>
          <w:p w14:paraId="551C2BC2" w14:textId="2A39921F" w:rsidR="00310848" w:rsidRPr="00150CD2" w:rsidRDefault="00310848" w:rsidP="0039393C">
            <w:pPr>
              <w:pStyle w:val="EYTableText"/>
              <w:rPr>
                <w:rFonts w:cs="Arial"/>
                <w:sz w:val="24"/>
              </w:rPr>
            </w:pPr>
            <w:r w:rsidRPr="00150CD2">
              <w:rPr>
                <w:rFonts w:cs="Arial"/>
                <w:sz w:val="24"/>
              </w:rPr>
              <w:t>7% of DSS 25-64 year olds had one of eight major chronic conditions/significant health events identified by the Ministry (coronary heart disease, gout, chronic obstructive pulmonary disease, diabetes, cancer, stroke, traumatic brain injury and acute myocardial infarction). These chronic condition rates were 2</w:t>
            </w:r>
            <w:r w:rsidR="00CA4326" w:rsidRPr="00150CD2">
              <w:rPr>
                <w:rFonts w:cs="Arial"/>
                <w:sz w:val="24"/>
              </w:rPr>
              <w:t xml:space="preserve"> times </w:t>
            </w:r>
            <w:r w:rsidRPr="00150CD2">
              <w:rPr>
                <w:rFonts w:cs="Arial"/>
                <w:sz w:val="24"/>
              </w:rPr>
              <w:t>the rate of chronic conditions in the non-DSS adult population.</w:t>
            </w:r>
          </w:p>
        </w:tc>
      </w:tr>
      <w:tr w:rsidR="00310848" w:rsidRPr="00150CD2" w14:paraId="4D7B63B6" w14:textId="77777777" w:rsidTr="00AB63BF">
        <w:tc>
          <w:tcPr>
            <w:tcW w:w="1584" w:type="dxa"/>
            <w:tcBorders>
              <w:top w:val="nil"/>
              <w:bottom w:val="nil"/>
            </w:tcBorders>
          </w:tcPr>
          <w:p w14:paraId="65190107" w14:textId="77777777" w:rsidR="00310848" w:rsidRPr="00150CD2" w:rsidRDefault="00310848" w:rsidP="0039393C">
            <w:pPr>
              <w:pStyle w:val="EYTableText"/>
              <w:rPr>
                <w:rFonts w:cs="Arial"/>
                <w:sz w:val="24"/>
              </w:rPr>
            </w:pPr>
          </w:p>
        </w:tc>
        <w:tc>
          <w:tcPr>
            <w:tcW w:w="2016" w:type="dxa"/>
          </w:tcPr>
          <w:p w14:paraId="0B495F69" w14:textId="77777777" w:rsidR="00310848" w:rsidRPr="00150CD2" w:rsidRDefault="00310848" w:rsidP="0039393C">
            <w:pPr>
              <w:pStyle w:val="EYTableText"/>
              <w:rPr>
                <w:rFonts w:cs="Arial"/>
                <w:sz w:val="24"/>
              </w:rPr>
            </w:pPr>
            <w:r w:rsidRPr="00150CD2">
              <w:rPr>
                <w:rFonts w:cs="Arial"/>
                <w:sz w:val="24"/>
              </w:rPr>
              <w:t>Mental health service contact and treatment</w:t>
            </w:r>
          </w:p>
        </w:tc>
        <w:tc>
          <w:tcPr>
            <w:tcW w:w="10368" w:type="dxa"/>
            <w:shd w:val="clear" w:color="auto" w:fill="auto"/>
          </w:tcPr>
          <w:p w14:paraId="18DDE7E9" w14:textId="49C0E392" w:rsidR="00310848" w:rsidRPr="00150CD2" w:rsidRDefault="00310848" w:rsidP="0039393C">
            <w:pPr>
              <w:pStyle w:val="EYTablebullet1"/>
              <w:spacing w:before="0" w:after="120"/>
              <w:rPr>
                <w:rFonts w:cs="Arial"/>
                <w:sz w:val="24"/>
              </w:rPr>
            </w:pPr>
            <w:r w:rsidRPr="00150CD2">
              <w:rPr>
                <w:rFonts w:cs="Arial"/>
                <w:sz w:val="24"/>
              </w:rPr>
              <w:t>Around 1 in 5 (21%) of DSS 25-64 year olds had contact with mental health services from community providers or hospitals over the three year period.</w:t>
            </w:r>
            <w:r w:rsidRPr="00150CD2">
              <w:rPr>
                <w:rFonts w:cs="Arial"/>
                <w:sz w:val="24"/>
              </w:rPr>
              <w:br/>
              <w:t xml:space="preserve">Note that this includes some </w:t>
            </w:r>
            <w:r w:rsidR="000E4BD7" w:rsidRPr="00150CD2">
              <w:rPr>
                <w:rFonts w:cs="Arial"/>
                <w:sz w:val="24"/>
              </w:rPr>
              <w:t>disability-specific health services</w:t>
            </w:r>
            <w:r w:rsidRPr="00150CD2">
              <w:rPr>
                <w:rFonts w:cs="Arial"/>
                <w:sz w:val="24"/>
              </w:rPr>
              <w:t xml:space="preserve"> as well as other mental health services, as the data does not explicitly identify which contacts </w:t>
            </w:r>
            <w:r w:rsidR="000E4BD7" w:rsidRPr="00150CD2">
              <w:rPr>
                <w:rFonts w:cs="Arial"/>
                <w:sz w:val="24"/>
              </w:rPr>
              <w:t>are specifically related to disability</w:t>
            </w:r>
            <w:r w:rsidRPr="00150CD2">
              <w:rPr>
                <w:rFonts w:cs="Arial"/>
                <w:sz w:val="24"/>
              </w:rPr>
              <w:t>. The exception is Intellectual Disability teams which has been excluded from the above figures.</w:t>
            </w:r>
            <w:r w:rsidR="000E4BD7" w:rsidRPr="00150CD2">
              <w:rPr>
                <w:rFonts w:cs="Arial"/>
                <w:sz w:val="24"/>
              </w:rPr>
              <w:t xml:space="preserve"> </w:t>
            </w:r>
          </w:p>
          <w:p w14:paraId="3E834859" w14:textId="5A1B364A" w:rsidR="00310848" w:rsidRPr="00150CD2" w:rsidRDefault="00310848" w:rsidP="00C038E3">
            <w:pPr>
              <w:pStyle w:val="EYTablebullet1"/>
              <w:rPr>
                <w:rFonts w:cs="Arial"/>
                <w:i/>
                <w:sz w:val="24"/>
              </w:rPr>
            </w:pPr>
            <w:r w:rsidRPr="00150CD2">
              <w:rPr>
                <w:rFonts w:cs="Arial"/>
                <w:sz w:val="24"/>
              </w:rPr>
              <w:t xml:space="preserve">Within this group, service contact rates were higher for Māori (24% compared with 20% for non-Māori) and for those with high/very high SPA levels (22% </w:t>
            </w:r>
            <w:r w:rsidR="00CA4326" w:rsidRPr="00150CD2">
              <w:rPr>
                <w:rFonts w:cs="Arial"/>
                <w:sz w:val="24"/>
              </w:rPr>
              <w:t>compared with</w:t>
            </w:r>
            <w:r w:rsidRPr="00150CD2">
              <w:rPr>
                <w:rFonts w:cs="Arial"/>
                <w:sz w:val="24"/>
              </w:rPr>
              <w:t xml:space="preserve"> 19% for low/medium SPA levels). Contact rates by gender and disability type were similar.</w:t>
            </w:r>
          </w:p>
        </w:tc>
      </w:tr>
      <w:tr w:rsidR="00C038E3" w:rsidRPr="00150CD2" w14:paraId="5BDED809" w14:textId="77777777" w:rsidTr="00AB63BF">
        <w:tc>
          <w:tcPr>
            <w:tcW w:w="1584" w:type="dxa"/>
            <w:tcBorders>
              <w:top w:val="nil"/>
              <w:bottom w:val="nil"/>
            </w:tcBorders>
          </w:tcPr>
          <w:p w14:paraId="0334391F" w14:textId="77777777" w:rsidR="00C038E3" w:rsidRPr="00150CD2" w:rsidRDefault="00C038E3" w:rsidP="0039393C">
            <w:pPr>
              <w:pStyle w:val="EYTableText"/>
              <w:rPr>
                <w:rFonts w:cs="Arial"/>
                <w:sz w:val="24"/>
              </w:rPr>
            </w:pPr>
          </w:p>
        </w:tc>
        <w:tc>
          <w:tcPr>
            <w:tcW w:w="2016" w:type="dxa"/>
          </w:tcPr>
          <w:p w14:paraId="0580044D" w14:textId="537560FA" w:rsidR="00C038E3" w:rsidRPr="00150CD2" w:rsidRDefault="00C038E3" w:rsidP="0039393C">
            <w:pPr>
              <w:pStyle w:val="EYTableText"/>
              <w:rPr>
                <w:rFonts w:cs="Arial"/>
                <w:sz w:val="24"/>
              </w:rPr>
            </w:pPr>
            <w:r w:rsidRPr="00150CD2">
              <w:rPr>
                <w:rFonts w:cs="Arial"/>
                <w:sz w:val="24"/>
              </w:rPr>
              <w:t>Pharmaceuticals</w:t>
            </w:r>
          </w:p>
        </w:tc>
        <w:tc>
          <w:tcPr>
            <w:tcW w:w="10368" w:type="dxa"/>
            <w:shd w:val="clear" w:color="auto" w:fill="auto"/>
          </w:tcPr>
          <w:p w14:paraId="1B31ADA2" w14:textId="4F03E269" w:rsidR="00C038E3" w:rsidRPr="00150CD2" w:rsidRDefault="00C038E3" w:rsidP="0039393C">
            <w:pPr>
              <w:pStyle w:val="EYTablebullet1"/>
              <w:rPr>
                <w:rFonts w:cs="Arial"/>
                <w:sz w:val="24"/>
              </w:rPr>
            </w:pPr>
            <w:r w:rsidRPr="00150CD2">
              <w:rPr>
                <w:rFonts w:cs="Arial"/>
                <w:sz w:val="24"/>
              </w:rPr>
              <w:t xml:space="preserve">DSS adults received treatment from a wider range of pharmaceutical types than other adults, with an average of 8.9 pharmaceutical products </w:t>
            </w:r>
            <w:r w:rsidR="00B3056C" w:rsidRPr="00150CD2">
              <w:rPr>
                <w:rFonts w:cs="Arial"/>
                <w:sz w:val="24"/>
              </w:rPr>
              <w:t>dispensed</w:t>
            </w:r>
            <w:r w:rsidRPr="00150CD2">
              <w:rPr>
                <w:rFonts w:cs="Arial"/>
                <w:sz w:val="24"/>
              </w:rPr>
              <w:t xml:space="preserve"> compared with 3.9 for non-DSS adults over the year to 30 June 2017. Older DSS adults (aged 45-64) and those with high/very high SPA levels were more likely to have had multiple pharmaceutical types and mental health related pharmaceuticals.</w:t>
            </w:r>
          </w:p>
        </w:tc>
      </w:tr>
      <w:tr w:rsidR="00310848" w:rsidRPr="00150CD2" w14:paraId="5FECCA92" w14:textId="77777777" w:rsidTr="00AB63BF">
        <w:tc>
          <w:tcPr>
            <w:tcW w:w="1584" w:type="dxa"/>
            <w:tcBorders>
              <w:top w:val="nil"/>
              <w:bottom w:val="nil"/>
            </w:tcBorders>
          </w:tcPr>
          <w:p w14:paraId="5DDCDC33" w14:textId="77777777" w:rsidR="00310848" w:rsidRPr="00150CD2" w:rsidRDefault="00310848" w:rsidP="0039393C">
            <w:pPr>
              <w:pStyle w:val="EYTableText"/>
              <w:rPr>
                <w:rFonts w:cs="Arial"/>
                <w:sz w:val="24"/>
              </w:rPr>
            </w:pPr>
          </w:p>
        </w:tc>
        <w:tc>
          <w:tcPr>
            <w:tcW w:w="2016" w:type="dxa"/>
          </w:tcPr>
          <w:p w14:paraId="7CF86D0F" w14:textId="77777777" w:rsidR="00310848" w:rsidRPr="00150CD2" w:rsidRDefault="00310848" w:rsidP="0039393C">
            <w:pPr>
              <w:pStyle w:val="EYTableText"/>
              <w:rPr>
                <w:rFonts w:cs="Arial"/>
                <w:sz w:val="24"/>
              </w:rPr>
            </w:pPr>
            <w:r w:rsidRPr="00150CD2">
              <w:rPr>
                <w:rFonts w:cs="Arial"/>
                <w:sz w:val="24"/>
              </w:rPr>
              <w:t>Family and relationships</w:t>
            </w:r>
          </w:p>
        </w:tc>
        <w:tc>
          <w:tcPr>
            <w:tcW w:w="10368" w:type="dxa"/>
            <w:shd w:val="clear" w:color="auto" w:fill="auto"/>
          </w:tcPr>
          <w:p w14:paraId="617CE52A" w14:textId="5C735BC6" w:rsidR="00310848" w:rsidRPr="00150CD2" w:rsidRDefault="00310848" w:rsidP="00936B58">
            <w:pPr>
              <w:pStyle w:val="EYTableText"/>
              <w:spacing w:before="0" w:after="120"/>
              <w:rPr>
                <w:rFonts w:cs="Arial"/>
                <w:i/>
                <w:sz w:val="24"/>
              </w:rPr>
            </w:pPr>
            <w:r w:rsidRPr="00150CD2">
              <w:rPr>
                <w:rFonts w:cs="Arial"/>
                <w:i/>
                <w:sz w:val="24"/>
              </w:rPr>
              <w:t xml:space="preserve">The following observations should be treated as estimates and care taken in interpretation, as there are known limitations around the coverage of relationship records in administrative datasets, particularly for older adults and historic life events. Informal and unreported relationships are not reflected in these estimates. </w:t>
            </w:r>
            <w:r w:rsidR="00936B58" w:rsidRPr="00150CD2">
              <w:rPr>
                <w:rFonts w:cs="Arial"/>
                <w:i/>
                <w:iCs/>
                <w:sz w:val="24"/>
              </w:rPr>
              <w:t xml:space="preserve">Refer to </w:t>
            </w:r>
            <w:r w:rsidR="00936B58" w:rsidRPr="00150CD2">
              <w:rPr>
                <w:rFonts w:cs="Arial"/>
                <w:i/>
                <w:iCs/>
                <w:sz w:val="24"/>
              </w:rPr>
              <w:fldChar w:fldCharType="begin"/>
            </w:r>
            <w:r w:rsidR="00936B58" w:rsidRPr="00150CD2">
              <w:rPr>
                <w:rFonts w:cs="Arial"/>
                <w:i/>
                <w:iCs/>
                <w:sz w:val="24"/>
              </w:rPr>
              <w:instrText xml:space="preserve"> REF _Ref44353599 \r \h  \* MERGEFORMAT </w:instrText>
            </w:r>
            <w:r w:rsidR="00936B58" w:rsidRPr="00150CD2">
              <w:rPr>
                <w:rFonts w:cs="Arial"/>
                <w:i/>
                <w:iCs/>
                <w:sz w:val="24"/>
              </w:rPr>
            </w:r>
            <w:r w:rsidR="00936B58" w:rsidRPr="00150CD2">
              <w:rPr>
                <w:rFonts w:cs="Arial"/>
                <w:i/>
                <w:iCs/>
                <w:sz w:val="24"/>
              </w:rPr>
              <w:fldChar w:fldCharType="separate"/>
            </w:r>
            <w:r w:rsidR="00053D9A" w:rsidRPr="00150CD2">
              <w:rPr>
                <w:rFonts w:cs="Arial"/>
                <w:i/>
                <w:iCs/>
                <w:sz w:val="24"/>
              </w:rPr>
              <w:t>Appendix D</w:t>
            </w:r>
            <w:r w:rsidR="00936B58" w:rsidRPr="00150CD2">
              <w:rPr>
                <w:rFonts w:cs="Arial"/>
                <w:i/>
                <w:iCs/>
                <w:sz w:val="24"/>
              </w:rPr>
              <w:fldChar w:fldCharType="end"/>
            </w:r>
            <w:r w:rsidR="00936B58" w:rsidRPr="00150CD2">
              <w:rPr>
                <w:rFonts w:cs="Arial"/>
                <w:i/>
                <w:iCs/>
                <w:sz w:val="24"/>
              </w:rPr>
              <w:t xml:space="preserve"> for further information.</w:t>
            </w:r>
          </w:p>
          <w:p w14:paraId="0F705AE5" w14:textId="77777777" w:rsidR="00310848" w:rsidRPr="00150CD2" w:rsidRDefault="00310848" w:rsidP="0039393C">
            <w:pPr>
              <w:pStyle w:val="EYTableText"/>
              <w:rPr>
                <w:rFonts w:cs="Arial"/>
                <w:i/>
                <w:sz w:val="24"/>
              </w:rPr>
            </w:pPr>
          </w:p>
          <w:p w14:paraId="645BC67A" w14:textId="77777777" w:rsidR="00310848" w:rsidRPr="00150CD2" w:rsidRDefault="00310848" w:rsidP="0039393C">
            <w:pPr>
              <w:pStyle w:val="EYTableText"/>
              <w:rPr>
                <w:rFonts w:cs="Arial"/>
                <w:sz w:val="24"/>
              </w:rPr>
            </w:pPr>
            <w:r w:rsidRPr="00150CD2">
              <w:rPr>
                <w:rFonts w:cs="Arial"/>
                <w:sz w:val="24"/>
              </w:rPr>
              <w:t>For the DSS adult population:</w:t>
            </w:r>
          </w:p>
          <w:p w14:paraId="2FDA1482" w14:textId="77777777" w:rsidR="00310848" w:rsidRPr="00150CD2" w:rsidRDefault="00310848" w:rsidP="0039393C">
            <w:pPr>
              <w:pStyle w:val="EYTablebullet1"/>
              <w:rPr>
                <w:rFonts w:cs="Arial"/>
                <w:sz w:val="24"/>
              </w:rPr>
            </w:pPr>
            <w:r w:rsidRPr="00150CD2">
              <w:rPr>
                <w:rFonts w:cs="Arial"/>
                <w:sz w:val="24"/>
              </w:rPr>
              <w:t>9% of adults aged 25-44 and 17% of adults aged 45-64 reported being in a marriage, civil union or (as part of benefit receipt) a partner relationship over the 3 year period.</w:t>
            </w:r>
          </w:p>
          <w:p w14:paraId="5C517F10" w14:textId="77777777" w:rsidR="00310848" w:rsidRPr="00150CD2" w:rsidRDefault="00310848" w:rsidP="0039393C">
            <w:pPr>
              <w:pStyle w:val="EYTablebullet1"/>
              <w:rPr>
                <w:rFonts w:cs="Arial"/>
                <w:sz w:val="24"/>
              </w:rPr>
            </w:pPr>
            <w:r w:rsidRPr="00150CD2">
              <w:rPr>
                <w:rFonts w:cs="Arial"/>
                <w:sz w:val="24"/>
              </w:rPr>
              <w:t xml:space="preserve">17% of adults aged 25-44 and 35% of adults aged 45-64 reported ever having been in a marriage, civil union or (as part of receiving benefits) a partner relationship. </w:t>
            </w:r>
          </w:p>
          <w:p w14:paraId="3D847FB9" w14:textId="77777777" w:rsidR="00310848" w:rsidRPr="00150CD2" w:rsidRDefault="00310848" w:rsidP="0039393C">
            <w:pPr>
              <w:pStyle w:val="EYTablebullet1"/>
              <w:rPr>
                <w:rFonts w:cs="Arial"/>
                <w:sz w:val="24"/>
              </w:rPr>
            </w:pPr>
            <w:r w:rsidRPr="00150CD2">
              <w:rPr>
                <w:rFonts w:cs="Arial"/>
                <w:sz w:val="24"/>
              </w:rPr>
              <w:t>13% of 25-44 year olds and 32% of 45-64 year olds had birth children.</w:t>
            </w:r>
          </w:p>
          <w:p w14:paraId="1F24C02A" w14:textId="77777777" w:rsidR="00310848" w:rsidRPr="00150CD2" w:rsidRDefault="00310848" w:rsidP="0039393C">
            <w:pPr>
              <w:pStyle w:val="EYTableText"/>
              <w:rPr>
                <w:rFonts w:cs="Arial"/>
                <w:sz w:val="24"/>
              </w:rPr>
            </w:pPr>
            <w:r w:rsidRPr="00150CD2">
              <w:rPr>
                <w:rFonts w:cs="Arial"/>
                <w:sz w:val="24"/>
              </w:rPr>
              <w:t>For the broader adult population, 51% reported being in a formal partnership over the 3 year period and 71% reported partnerships at some point over their lifetime. 66% had birth children.</w:t>
            </w:r>
          </w:p>
        </w:tc>
      </w:tr>
      <w:tr w:rsidR="00310848" w:rsidRPr="00150CD2" w14:paraId="1E1E96A3" w14:textId="77777777" w:rsidTr="00AB63BF">
        <w:tc>
          <w:tcPr>
            <w:tcW w:w="1584" w:type="dxa"/>
            <w:tcBorders>
              <w:top w:val="nil"/>
              <w:bottom w:val="nil"/>
            </w:tcBorders>
          </w:tcPr>
          <w:p w14:paraId="1A242F8A" w14:textId="77777777" w:rsidR="00310848" w:rsidRPr="00150CD2" w:rsidRDefault="00310848" w:rsidP="0039393C">
            <w:pPr>
              <w:pStyle w:val="EYTableText"/>
              <w:rPr>
                <w:rFonts w:cs="Arial"/>
                <w:sz w:val="24"/>
              </w:rPr>
            </w:pPr>
          </w:p>
        </w:tc>
        <w:tc>
          <w:tcPr>
            <w:tcW w:w="2016" w:type="dxa"/>
          </w:tcPr>
          <w:p w14:paraId="79407534" w14:textId="463CD7E1" w:rsidR="00310848" w:rsidRPr="00150CD2" w:rsidRDefault="00863250" w:rsidP="0039393C">
            <w:pPr>
              <w:pStyle w:val="EYTableText"/>
              <w:rPr>
                <w:rFonts w:cs="Arial"/>
                <w:sz w:val="24"/>
                <w:highlight w:val="yellow"/>
              </w:rPr>
            </w:pPr>
            <w:r w:rsidRPr="00150CD2">
              <w:rPr>
                <w:rFonts w:cs="Arial"/>
                <w:sz w:val="24"/>
              </w:rPr>
              <w:t>R</w:t>
            </w:r>
            <w:r w:rsidR="00310848" w:rsidRPr="00150CD2">
              <w:rPr>
                <w:rFonts w:cs="Arial"/>
                <w:sz w:val="24"/>
              </w:rPr>
              <w:t xml:space="preserve">esidential services </w:t>
            </w:r>
          </w:p>
        </w:tc>
        <w:tc>
          <w:tcPr>
            <w:tcW w:w="10368" w:type="dxa"/>
            <w:shd w:val="clear" w:color="auto" w:fill="auto"/>
          </w:tcPr>
          <w:p w14:paraId="38DD554F" w14:textId="603B629B" w:rsidR="00310848" w:rsidRPr="00150CD2" w:rsidRDefault="00310848" w:rsidP="0039393C">
            <w:pPr>
              <w:pStyle w:val="EYTablebullet1"/>
              <w:rPr>
                <w:rFonts w:cs="Arial"/>
                <w:color w:val="2E2E38" w:themeColor="text1"/>
                <w:sz w:val="24"/>
              </w:rPr>
            </w:pPr>
            <w:r w:rsidRPr="00150CD2">
              <w:rPr>
                <w:rFonts w:cs="Arial"/>
                <w:sz w:val="24"/>
              </w:rPr>
              <w:t xml:space="preserve">33% of 25-44 year olds and 40% of 45-64 year old DSS adults received residential services over the year to June 2018, with around 4% transitioning into residential services during the 3 year period. </w:t>
            </w:r>
            <w:r w:rsidRPr="00150CD2">
              <w:rPr>
                <w:rFonts w:cs="Arial"/>
                <w:sz w:val="24"/>
              </w:rPr>
              <w:br/>
            </w:r>
            <w:r w:rsidRPr="00150CD2">
              <w:rPr>
                <w:rFonts w:cs="Arial"/>
                <w:color w:val="2E2E38" w:themeColor="text1"/>
                <w:sz w:val="24"/>
              </w:rPr>
              <w:t xml:space="preserve">People with intellectual disabilities and high/very high SPA levels were significantly more likely to be residential </w:t>
            </w:r>
            <w:r w:rsidR="00863250" w:rsidRPr="00150CD2">
              <w:rPr>
                <w:rFonts w:cs="Arial"/>
                <w:color w:val="2E2E38" w:themeColor="text1"/>
                <w:sz w:val="24"/>
              </w:rPr>
              <w:t xml:space="preserve">services </w:t>
            </w:r>
            <w:r w:rsidRPr="00150CD2">
              <w:rPr>
                <w:rFonts w:cs="Arial"/>
                <w:color w:val="2E2E38" w:themeColor="text1"/>
                <w:sz w:val="24"/>
              </w:rPr>
              <w:t>clients.</w:t>
            </w:r>
          </w:p>
        </w:tc>
      </w:tr>
      <w:tr w:rsidR="00310848" w:rsidRPr="00150CD2" w14:paraId="3245A563" w14:textId="77777777" w:rsidTr="00AB63BF">
        <w:trPr>
          <w:trHeight w:val="3907"/>
        </w:trPr>
        <w:tc>
          <w:tcPr>
            <w:tcW w:w="1584" w:type="dxa"/>
            <w:tcBorders>
              <w:top w:val="nil"/>
              <w:bottom w:val="nil"/>
            </w:tcBorders>
          </w:tcPr>
          <w:p w14:paraId="1685A403" w14:textId="77777777" w:rsidR="00310848" w:rsidRPr="00150CD2" w:rsidRDefault="00310848" w:rsidP="0039393C">
            <w:pPr>
              <w:pStyle w:val="EYTableText"/>
              <w:rPr>
                <w:rFonts w:cs="Arial"/>
                <w:sz w:val="24"/>
              </w:rPr>
            </w:pPr>
          </w:p>
        </w:tc>
        <w:tc>
          <w:tcPr>
            <w:tcW w:w="2016" w:type="dxa"/>
          </w:tcPr>
          <w:p w14:paraId="1FF1D4CB" w14:textId="77777777" w:rsidR="00310848" w:rsidRPr="00150CD2" w:rsidRDefault="00310848" w:rsidP="0039393C">
            <w:pPr>
              <w:pStyle w:val="EYTableText"/>
              <w:rPr>
                <w:rFonts w:cs="Arial"/>
                <w:sz w:val="24"/>
              </w:rPr>
            </w:pPr>
            <w:r w:rsidRPr="00150CD2">
              <w:rPr>
                <w:rFonts w:cs="Arial"/>
                <w:sz w:val="24"/>
              </w:rPr>
              <w:t>Benefit income support</w:t>
            </w:r>
          </w:p>
        </w:tc>
        <w:tc>
          <w:tcPr>
            <w:tcW w:w="10368" w:type="dxa"/>
            <w:shd w:val="clear" w:color="auto" w:fill="auto"/>
          </w:tcPr>
          <w:p w14:paraId="1B7D3116" w14:textId="77777777" w:rsidR="00310848" w:rsidRPr="00150CD2" w:rsidRDefault="00310848" w:rsidP="0039393C">
            <w:pPr>
              <w:pStyle w:val="EYTablebullet1"/>
              <w:rPr>
                <w:rFonts w:cs="Arial"/>
                <w:sz w:val="24"/>
              </w:rPr>
            </w:pPr>
            <w:r w:rsidRPr="00150CD2">
              <w:rPr>
                <w:rFonts w:cs="Arial"/>
                <w:sz w:val="24"/>
              </w:rPr>
              <w:t>92% of DSS adults aged 25-44 and 80% of those aged 45-64 received a main benefit for some/all of the 3 year period, the vast majority being Supported Living Payments.</w:t>
            </w:r>
            <w:r w:rsidRPr="00150CD2">
              <w:rPr>
                <w:rFonts w:cs="Arial"/>
                <w:sz w:val="24"/>
              </w:rPr>
              <w:br/>
              <w:t>Around 70% were supported by a main benefit for more than half of the 3 year period.</w:t>
            </w:r>
            <w:r w:rsidRPr="00150CD2">
              <w:rPr>
                <w:rFonts w:cs="Arial"/>
                <w:sz w:val="24"/>
              </w:rPr>
              <w:br/>
              <w:t>Adults with an intellectual disability or high/very high SPA levels had higher levels of benefit support than those with physical disability or low/medium SPA levels.</w:t>
            </w:r>
          </w:p>
          <w:p w14:paraId="2CD0DB75" w14:textId="28261B4D" w:rsidR="00310848" w:rsidRPr="00150CD2" w:rsidRDefault="00310848" w:rsidP="0039393C">
            <w:pPr>
              <w:pStyle w:val="EYTablebullet1"/>
              <w:numPr>
                <w:ilvl w:val="0"/>
                <w:numId w:val="0"/>
              </w:numPr>
              <w:ind w:left="284"/>
              <w:rPr>
                <w:rFonts w:cs="Arial"/>
                <w:color w:val="2E2E38" w:themeColor="text1"/>
                <w:sz w:val="24"/>
              </w:rPr>
            </w:pPr>
            <w:r w:rsidRPr="00150CD2">
              <w:rPr>
                <w:rFonts w:cs="Arial"/>
                <w:sz w:val="24"/>
              </w:rPr>
              <w:t xml:space="preserve">In comparison, </w:t>
            </w:r>
            <w:r w:rsidR="00893A82" w:rsidRPr="00150CD2">
              <w:rPr>
                <w:rFonts w:cs="Arial"/>
                <w:sz w:val="24"/>
              </w:rPr>
              <w:t>17% of non-DSS adults aged 25-44 and 16% of non-DSS adults aged 45-64</w:t>
            </w:r>
            <w:r w:rsidRPr="00150CD2">
              <w:rPr>
                <w:rFonts w:cs="Arial"/>
                <w:sz w:val="24"/>
              </w:rPr>
              <w:t xml:space="preserve"> received a main benefit for some/all of the 3 year period and 9% received benefit support for more than half of the 3 year period.</w:t>
            </w:r>
          </w:p>
          <w:p w14:paraId="637FCF66" w14:textId="77777777" w:rsidR="00310848" w:rsidRPr="00150CD2" w:rsidRDefault="00310848" w:rsidP="0039393C">
            <w:pPr>
              <w:pStyle w:val="EYTablebullet1"/>
              <w:rPr>
                <w:rFonts w:cs="Arial"/>
                <w:sz w:val="24"/>
              </w:rPr>
            </w:pPr>
            <w:r w:rsidRPr="00150CD2">
              <w:rPr>
                <w:rFonts w:cs="Arial"/>
                <w:sz w:val="24"/>
              </w:rPr>
              <w:t>Just over half (54%) of DSS adults received Disability Allowance payments.</w:t>
            </w:r>
          </w:p>
          <w:p w14:paraId="3944693A" w14:textId="6142BC15" w:rsidR="00310848" w:rsidRPr="00150CD2" w:rsidRDefault="00310848" w:rsidP="0039393C">
            <w:pPr>
              <w:pStyle w:val="EYTablebullet1"/>
              <w:rPr>
                <w:rFonts w:cs="Arial"/>
                <w:sz w:val="24"/>
              </w:rPr>
            </w:pPr>
            <w:r w:rsidRPr="00150CD2">
              <w:rPr>
                <w:rFonts w:cs="Arial"/>
                <w:sz w:val="24"/>
              </w:rPr>
              <w:t xml:space="preserve">45% of 25-44 year olds and 30% of 45-64 year olds allocated DSS received the Accommodation Supplement (AS) over the 3 year period, while 14% received Temporary </w:t>
            </w:r>
            <w:r w:rsidR="00864253" w:rsidRPr="00150CD2">
              <w:rPr>
                <w:rFonts w:cs="Arial"/>
                <w:sz w:val="24"/>
              </w:rPr>
              <w:t>Additional Support</w:t>
            </w:r>
            <w:r w:rsidRPr="00150CD2">
              <w:rPr>
                <w:rFonts w:cs="Arial"/>
                <w:sz w:val="24"/>
              </w:rPr>
              <w:t xml:space="preserve"> (TAS).</w:t>
            </w:r>
          </w:p>
          <w:p w14:paraId="1085A280" w14:textId="5DE7DAFD" w:rsidR="00310848" w:rsidRPr="00150CD2" w:rsidRDefault="00310848" w:rsidP="0039393C">
            <w:pPr>
              <w:pStyle w:val="EYTablebullet1"/>
              <w:rPr>
                <w:rFonts w:cs="Arial"/>
                <w:color w:val="2E2E38" w:themeColor="text1"/>
                <w:sz w:val="24"/>
              </w:rPr>
            </w:pPr>
            <w:r w:rsidRPr="00150CD2">
              <w:rPr>
                <w:rFonts w:cs="Arial"/>
                <w:sz w:val="24"/>
              </w:rPr>
              <w:t xml:space="preserve">Just under 1 in 3 (30%) of DSS adults aged 25-64 also drew on </w:t>
            </w:r>
            <w:r w:rsidR="00595EE3" w:rsidRPr="00150CD2">
              <w:rPr>
                <w:rFonts w:cs="Arial"/>
                <w:sz w:val="24"/>
              </w:rPr>
              <w:t xml:space="preserve">third-tier </w:t>
            </w:r>
            <w:r w:rsidRPr="00150CD2">
              <w:rPr>
                <w:rFonts w:cs="Arial"/>
                <w:sz w:val="24"/>
              </w:rPr>
              <w:t>MSD support payments</w:t>
            </w:r>
            <w:r w:rsidR="001E5F4B" w:rsidRPr="00150CD2">
              <w:rPr>
                <w:rStyle w:val="FootnoteReference"/>
                <w:rFonts w:ascii="Arial" w:hAnsi="Arial" w:cs="Arial"/>
                <w:sz w:val="24"/>
                <w:szCs w:val="24"/>
              </w:rPr>
              <w:footnoteReference w:id="60"/>
            </w:r>
            <w:r w:rsidRPr="00150CD2">
              <w:rPr>
                <w:rFonts w:cs="Arial"/>
                <w:sz w:val="24"/>
              </w:rPr>
              <w:t xml:space="preserve"> during the 3 year period.</w:t>
            </w:r>
          </w:p>
          <w:p w14:paraId="71B7C677" w14:textId="4A548AB8" w:rsidR="00310848" w:rsidRPr="00150CD2" w:rsidRDefault="00310848" w:rsidP="0039393C">
            <w:pPr>
              <w:pStyle w:val="EYTablebullet1"/>
              <w:rPr>
                <w:rFonts w:cs="Arial"/>
                <w:color w:val="2E2E38" w:themeColor="text1"/>
                <w:sz w:val="24"/>
              </w:rPr>
            </w:pPr>
            <w:r w:rsidRPr="00150CD2">
              <w:rPr>
                <w:rFonts w:cs="Arial"/>
                <w:sz w:val="24"/>
              </w:rPr>
              <w:t xml:space="preserve">Rates of receipt of AS, TAS and </w:t>
            </w:r>
            <w:r w:rsidR="00595EE3" w:rsidRPr="00150CD2">
              <w:rPr>
                <w:rFonts w:cs="Arial"/>
                <w:sz w:val="24"/>
              </w:rPr>
              <w:t xml:space="preserve">third-tier </w:t>
            </w:r>
            <w:r w:rsidRPr="00150CD2">
              <w:rPr>
                <w:rFonts w:cs="Arial"/>
                <w:sz w:val="24"/>
              </w:rPr>
              <w:t>MSD support payments are around 2</w:t>
            </w:r>
            <w:r w:rsidR="00CA4326" w:rsidRPr="00150CD2">
              <w:rPr>
                <w:rFonts w:cs="Arial"/>
                <w:sz w:val="24"/>
              </w:rPr>
              <w:t xml:space="preserve"> times </w:t>
            </w:r>
            <w:r w:rsidRPr="00150CD2">
              <w:rPr>
                <w:rFonts w:cs="Arial"/>
                <w:sz w:val="24"/>
              </w:rPr>
              <w:t>higher than for other adults in the population. Reflecting differences in the overall NZ population, women, Māori, those with physical and other non-intellectual disabilities and low/medium SPA levels were more likely to draw on these sources of support.</w:t>
            </w:r>
          </w:p>
        </w:tc>
      </w:tr>
      <w:tr w:rsidR="00310848" w:rsidRPr="00150CD2" w14:paraId="0563D60A" w14:textId="77777777" w:rsidTr="00AB63BF">
        <w:tc>
          <w:tcPr>
            <w:tcW w:w="1584" w:type="dxa"/>
            <w:tcBorders>
              <w:top w:val="nil"/>
            </w:tcBorders>
          </w:tcPr>
          <w:p w14:paraId="34E69F02" w14:textId="77777777" w:rsidR="00310848" w:rsidRPr="00150CD2" w:rsidRDefault="00310848" w:rsidP="0039393C">
            <w:pPr>
              <w:pStyle w:val="EYTableText"/>
              <w:rPr>
                <w:rFonts w:cs="Arial"/>
                <w:sz w:val="24"/>
              </w:rPr>
            </w:pPr>
          </w:p>
        </w:tc>
        <w:tc>
          <w:tcPr>
            <w:tcW w:w="2016" w:type="dxa"/>
          </w:tcPr>
          <w:p w14:paraId="0E6ED39D" w14:textId="77777777" w:rsidR="00310848" w:rsidRPr="00150CD2" w:rsidRDefault="00310848" w:rsidP="0039393C">
            <w:pPr>
              <w:pStyle w:val="EYTableText"/>
              <w:rPr>
                <w:rFonts w:cs="Arial"/>
                <w:sz w:val="24"/>
              </w:rPr>
            </w:pPr>
            <w:r w:rsidRPr="00150CD2">
              <w:rPr>
                <w:rFonts w:cs="Arial"/>
                <w:sz w:val="24"/>
              </w:rPr>
              <w:t>Address changes and social housing</w:t>
            </w:r>
          </w:p>
        </w:tc>
        <w:tc>
          <w:tcPr>
            <w:tcW w:w="10368" w:type="dxa"/>
            <w:shd w:val="clear" w:color="auto" w:fill="auto"/>
          </w:tcPr>
          <w:p w14:paraId="4CB8F73D" w14:textId="019259D9" w:rsidR="00310848" w:rsidRPr="00150CD2" w:rsidRDefault="00310848" w:rsidP="0039393C">
            <w:pPr>
              <w:pStyle w:val="EYTablebullet1"/>
              <w:rPr>
                <w:rFonts w:cs="Arial"/>
                <w:color w:val="2E2E38" w:themeColor="text1"/>
                <w:sz w:val="24"/>
              </w:rPr>
            </w:pPr>
            <w:r w:rsidRPr="00150CD2">
              <w:rPr>
                <w:rFonts w:cs="Arial"/>
                <w:color w:val="2E2E38" w:themeColor="text1"/>
                <w:sz w:val="24"/>
              </w:rPr>
              <w:t xml:space="preserve">12% of DSS </w:t>
            </w:r>
            <w:r w:rsidRPr="00150CD2">
              <w:rPr>
                <w:rFonts w:cs="Arial"/>
                <w:sz w:val="24"/>
              </w:rPr>
              <w:t xml:space="preserve">25-64 year olds </w:t>
            </w:r>
            <w:r w:rsidRPr="00150CD2">
              <w:rPr>
                <w:rFonts w:cs="Arial"/>
                <w:color w:val="2E2E38" w:themeColor="text1"/>
                <w:sz w:val="24"/>
              </w:rPr>
              <w:t>lived in social housing for some/all of the 3 year period while 5% were on the public housing register as priority A or B. The proportions in social housing or on the priority housing waitlist were 3-4</w:t>
            </w:r>
            <w:r w:rsidR="00CA4326" w:rsidRPr="00150CD2">
              <w:rPr>
                <w:rFonts w:cs="Arial"/>
                <w:color w:val="2E2E38" w:themeColor="text1"/>
                <w:sz w:val="24"/>
              </w:rPr>
              <w:t xml:space="preserve"> times </w:t>
            </w:r>
            <w:r w:rsidRPr="00150CD2">
              <w:rPr>
                <w:rFonts w:cs="Arial"/>
                <w:color w:val="2E2E38" w:themeColor="text1"/>
                <w:sz w:val="24"/>
              </w:rPr>
              <w:t xml:space="preserve">higher than for the non-DSS adult population. </w:t>
            </w:r>
          </w:p>
          <w:p w14:paraId="6EF1CAC1" w14:textId="3954C2C2" w:rsidR="00310848" w:rsidRPr="00150CD2" w:rsidRDefault="00310848" w:rsidP="0039393C">
            <w:pPr>
              <w:pStyle w:val="EYTablebullet1"/>
              <w:numPr>
                <w:ilvl w:val="0"/>
                <w:numId w:val="0"/>
              </w:numPr>
              <w:ind w:left="284"/>
              <w:rPr>
                <w:rFonts w:cs="Arial"/>
                <w:color w:val="2E2E38" w:themeColor="text1"/>
                <w:sz w:val="24"/>
              </w:rPr>
            </w:pPr>
            <w:r w:rsidRPr="00150CD2">
              <w:rPr>
                <w:rFonts w:cs="Arial"/>
                <w:color w:val="2E2E38" w:themeColor="text1"/>
                <w:sz w:val="24"/>
              </w:rPr>
              <w:t>Within this group, Māori adults and those with a physical disability were 2-2.8</w:t>
            </w:r>
            <w:r w:rsidR="00CA4326" w:rsidRPr="00150CD2">
              <w:rPr>
                <w:rFonts w:cs="Arial"/>
                <w:color w:val="2E2E38" w:themeColor="text1"/>
                <w:sz w:val="24"/>
              </w:rPr>
              <w:t xml:space="preserve"> times </w:t>
            </w:r>
            <w:r w:rsidRPr="00150CD2">
              <w:rPr>
                <w:rFonts w:cs="Arial"/>
                <w:color w:val="2E2E38" w:themeColor="text1"/>
                <w:sz w:val="24"/>
              </w:rPr>
              <w:t xml:space="preserve">more likely to live in social housing or on the priority housing waitlist, while those with </w:t>
            </w:r>
            <w:r w:rsidR="00DF5F17" w:rsidRPr="00150CD2">
              <w:rPr>
                <w:rFonts w:cs="Arial"/>
                <w:color w:val="2E2E38" w:themeColor="text1"/>
                <w:sz w:val="24"/>
              </w:rPr>
              <w:t>high/very high SPA</w:t>
            </w:r>
            <w:r w:rsidRPr="00150CD2">
              <w:rPr>
                <w:rFonts w:cs="Arial"/>
                <w:color w:val="2E2E38" w:themeColor="text1"/>
                <w:sz w:val="24"/>
              </w:rPr>
              <w:t xml:space="preserve"> levels were around 1.5-2</w:t>
            </w:r>
            <w:r w:rsidR="00CA4326" w:rsidRPr="00150CD2">
              <w:rPr>
                <w:rFonts w:cs="Arial"/>
                <w:color w:val="2E2E38" w:themeColor="text1"/>
                <w:sz w:val="24"/>
              </w:rPr>
              <w:t xml:space="preserve"> times </w:t>
            </w:r>
            <w:r w:rsidRPr="00150CD2">
              <w:rPr>
                <w:rFonts w:cs="Arial"/>
                <w:color w:val="2E2E38" w:themeColor="text1"/>
                <w:sz w:val="24"/>
              </w:rPr>
              <w:t>more likely to be in social housing or on the priority waitlist.</w:t>
            </w:r>
          </w:p>
          <w:p w14:paraId="4CFC4805" w14:textId="1A9B7FFB" w:rsidR="00310848" w:rsidRPr="00150CD2" w:rsidRDefault="00310848" w:rsidP="0039393C">
            <w:pPr>
              <w:pStyle w:val="EYTablebullet1"/>
              <w:rPr>
                <w:rFonts w:cs="Arial"/>
                <w:color w:val="2E2E38" w:themeColor="text1"/>
                <w:sz w:val="24"/>
              </w:rPr>
            </w:pPr>
            <w:r w:rsidRPr="00150CD2">
              <w:rPr>
                <w:rFonts w:cs="Arial"/>
                <w:color w:val="2E2E38" w:themeColor="text1"/>
                <w:sz w:val="24"/>
              </w:rPr>
              <w:t>41% reported address changes over the 3 year period, similar to the broader adult population</w:t>
            </w:r>
            <w:r w:rsidR="003F6049" w:rsidRPr="00150CD2">
              <w:rPr>
                <w:rFonts w:cs="Arial"/>
                <w:color w:val="2E2E38" w:themeColor="text1"/>
                <w:sz w:val="24"/>
              </w:rPr>
              <w:t xml:space="preserve"> (</w:t>
            </w:r>
            <w:r w:rsidR="00893A82" w:rsidRPr="00150CD2">
              <w:rPr>
                <w:rFonts w:cs="Arial"/>
                <w:color w:val="2E2E38" w:themeColor="text1"/>
                <w:sz w:val="24"/>
              </w:rPr>
              <w:t>44</w:t>
            </w:r>
            <w:r w:rsidR="003F6049" w:rsidRPr="00150CD2">
              <w:rPr>
                <w:rFonts w:cs="Arial"/>
                <w:color w:val="2E2E38" w:themeColor="text1"/>
                <w:sz w:val="24"/>
              </w:rPr>
              <w:t>%)</w:t>
            </w:r>
            <w:r w:rsidRPr="00150CD2">
              <w:rPr>
                <w:rFonts w:cs="Arial"/>
                <w:color w:val="2E2E38" w:themeColor="text1"/>
                <w:sz w:val="24"/>
              </w:rPr>
              <w:t>.</w:t>
            </w:r>
          </w:p>
        </w:tc>
      </w:tr>
    </w:tbl>
    <w:p w14:paraId="5B41D531" w14:textId="77777777" w:rsidR="009614A5" w:rsidRPr="00150CD2" w:rsidRDefault="009614A5">
      <w:pPr>
        <w:autoSpaceDE/>
        <w:autoSpaceDN/>
        <w:adjustRightInd/>
        <w:rPr>
          <w:rFonts w:cs="Arial"/>
        </w:rPr>
      </w:pPr>
      <w:r w:rsidRPr="00150CD2">
        <w:rPr>
          <w:rFonts w:cs="Arial"/>
        </w:rPr>
        <w:br w:type="page"/>
      </w:r>
    </w:p>
    <w:p w14:paraId="2649240B" w14:textId="4C46E8D4" w:rsidR="00310848" w:rsidRPr="0035354B" w:rsidRDefault="00310848" w:rsidP="0035354B">
      <w:pPr>
        <w:pStyle w:val="EYAppendixHeading2"/>
        <w:numPr>
          <w:ilvl w:val="0"/>
          <w:numId w:val="62"/>
        </w:numPr>
        <w:rPr>
          <w:rFonts w:cs="Arial"/>
          <w:lang w:val="en-NZ"/>
        </w:rPr>
      </w:pPr>
      <w:r w:rsidRPr="0035354B">
        <w:rPr>
          <w:rFonts w:cs="Arial"/>
          <w:lang w:val="en-NZ"/>
        </w:rPr>
        <w:t>Adults aged 65 and older</w:t>
      </w:r>
    </w:p>
    <w:p w14:paraId="5EF87B08" w14:textId="24FC693D" w:rsidR="00310848" w:rsidRPr="00150CD2" w:rsidRDefault="00310848" w:rsidP="00310848">
      <w:pPr>
        <w:pStyle w:val="EYBodytextwithparaspace"/>
        <w:rPr>
          <w:rFonts w:cs="Arial"/>
          <w:b/>
        </w:rPr>
      </w:pPr>
      <w:r w:rsidRPr="00150CD2">
        <w:rPr>
          <w:rFonts w:cs="Arial"/>
          <w:b/>
        </w:rPr>
        <w:t>Key transitions: Some people in this cohort are transitioning into a new living situation, while others remain at home, with their family, in community residential homes or other living situation, supported by family/whānau and other key support people (e.g. carers</w:t>
      </w:r>
      <w:r w:rsidR="00B60DAB" w:rsidRPr="00150CD2">
        <w:rPr>
          <w:rFonts w:cs="Arial"/>
          <w:b/>
        </w:rPr>
        <w:t>, support workers</w:t>
      </w:r>
      <w:r w:rsidRPr="00150CD2">
        <w:rPr>
          <w:rFonts w:cs="Arial"/>
          <w:b/>
        </w:rPr>
        <w:t>). Superannuation payments commence at age 65. Maintaining health becomes increasingly important along with material wellbeing, relationships with family and friends and connection to community.</w:t>
      </w:r>
    </w:p>
    <w:p w14:paraId="7D94D538" w14:textId="79235F7B" w:rsidR="00310848" w:rsidRPr="00150CD2" w:rsidRDefault="00310848" w:rsidP="00310848">
      <w:pPr>
        <w:pStyle w:val="EYBodytextwithparaspace"/>
        <w:rPr>
          <w:rFonts w:cs="Arial"/>
          <w:lang w:eastAsia="en-AU"/>
        </w:rPr>
      </w:pPr>
      <w:r w:rsidRPr="00150CD2">
        <w:rPr>
          <w:rFonts w:cs="Arial"/>
          <w:lang w:eastAsia="en-AU"/>
        </w:rPr>
        <w:t xml:space="preserve">At 30 June 2018 there were </w:t>
      </w:r>
      <w:r w:rsidR="00972B50" w:rsidRPr="00150CD2">
        <w:rPr>
          <w:rFonts w:cs="Arial"/>
          <w:lang w:eastAsia="en-AU"/>
        </w:rPr>
        <w:t>around 3,600</w:t>
      </w:r>
      <w:r w:rsidRPr="00150CD2">
        <w:rPr>
          <w:rFonts w:cs="Arial"/>
          <w:lang w:eastAsia="en-AU"/>
        </w:rPr>
        <w:t xml:space="preserve"> adults aged 65 and over who were allocated DSS funding over the year to 30 June 2018 across New Zealand. Key demographic and socioeconomic characteristics are summarised below.</w:t>
      </w:r>
    </w:p>
    <w:p w14:paraId="51C4B416" w14:textId="4134A22D" w:rsidR="00310848" w:rsidRPr="00150CD2" w:rsidRDefault="00310848" w:rsidP="00310848">
      <w:pPr>
        <w:pStyle w:val="EYBulletedText1"/>
        <w:rPr>
          <w:rFonts w:cs="Arial"/>
          <w:lang w:eastAsia="en-AU"/>
        </w:rPr>
      </w:pPr>
      <w:r w:rsidRPr="00150CD2">
        <w:rPr>
          <w:rFonts w:cs="Arial"/>
          <w:lang w:eastAsia="en-AU"/>
        </w:rPr>
        <w:t>The majority have physical disability (</w:t>
      </w:r>
      <w:r w:rsidR="00972B50" w:rsidRPr="00150CD2">
        <w:rPr>
          <w:rFonts w:cs="Arial"/>
          <w:lang w:eastAsia="en-AU"/>
        </w:rPr>
        <w:t>60</w:t>
      </w:r>
      <w:r w:rsidRPr="00150CD2">
        <w:rPr>
          <w:rFonts w:cs="Arial"/>
          <w:lang w:eastAsia="en-AU"/>
        </w:rPr>
        <w:t>%), intellectual disability (</w:t>
      </w:r>
      <w:r w:rsidR="00972B50" w:rsidRPr="00150CD2">
        <w:rPr>
          <w:rFonts w:cs="Arial"/>
          <w:lang w:eastAsia="en-AU"/>
        </w:rPr>
        <w:t>32</w:t>
      </w:r>
      <w:r w:rsidRPr="00150CD2">
        <w:rPr>
          <w:rFonts w:cs="Arial"/>
          <w:lang w:eastAsia="en-AU"/>
        </w:rPr>
        <w:t xml:space="preserve">%) as their </w:t>
      </w:r>
      <w:r w:rsidR="009E4F58" w:rsidRPr="00150CD2">
        <w:rPr>
          <w:rFonts w:cs="Arial"/>
          <w:lang w:eastAsia="en-AU"/>
        </w:rPr>
        <w:t>prioritised</w:t>
      </w:r>
      <w:r w:rsidRPr="00150CD2">
        <w:rPr>
          <w:rFonts w:cs="Arial"/>
          <w:lang w:eastAsia="en-AU"/>
        </w:rPr>
        <w:t xml:space="preserve"> disability, followed by </w:t>
      </w:r>
      <w:r w:rsidR="00972B50" w:rsidRPr="00150CD2">
        <w:rPr>
          <w:rFonts w:cs="Arial"/>
          <w:lang w:eastAsia="en-AU"/>
        </w:rPr>
        <w:t>4</w:t>
      </w:r>
      <w:r w:rsidRPr="00150CD2">
        <w:rPr>
          <w:rFonts w:cs="Arial"/>
          <w:lang w:eastAsia="en-AU"/>
        </w:rPr>
        <w:t>% with a sensory disability. Home and community support (6</w:t>
      </w:r>
      <w:r w:rsidR="00AE4EC3" w:rsidRPr="00150CD2">
        <w:rPr>
          <w:rFonts w:cs="Arial"/>
          <w:lang w:eastAsia="en-AU"/>
        </w:rPr>
        <w:t>2</w:t>
      </w:r>
      <w:r w:rsidRPr="00150CD2">
        <w:rPr>
          <w:rFonts w:cs="Arial"/>
          <w:lang w:eastAsia="en-AU"/>
        </w:rPr>
        <w:t xml:space="preserve">%), residential </w:t>
      </w:r>
      <w:r w:rsidR="00C1354A" w:rsidRPr="00150CD2">
        <w:rPr>
          <w:rFonts w:cs="Arial"/>
          <w:lang w:eastAsia="en-AU"/>
        </w:rPr>
        <w:t xml:space="preserve">services </w:t>
      </w:r>
      <w:r w:rsidRPr="00150CD2">
        <w:rPr>
          <w:rFonts w:cs="Arial"/>
          <w:lang w:eastAsia="en-AU"/>
        </w:rPr>
        <w:t>(31%), respite (2</w:t>
      </w:r>
      <w:r w:rsidR="00AE4EC3" w:rsidRPr="00150CD2">
        <w:rPr>
          <w:rFonts w:cs="Arial"/>
          <w:lang w:eastAsia="en-AU"/>
        </w:rPr>
        <w:t>0</w:t>
      </w:r>
      <w:r w:rsidRPr="00150CD2">
        <w:rPr>
          <w:rFonts w:cs="Arial"/>
          <w:lang w:eastAsia="en-AU"/>
        </w:rPr>
        <w:t>%), supported living (</w:t>
      </w:r>
      <w:r w:rsidR="00AE4EC3" w:rsidRPr="00150CD2">
        <w:rPr>
          <w:rFonts w:cs="Arial"/>
          <w:lang w:eastAsia="en-AU"/>
        </w:rPr>
        <w:t>8</w:t>
      </w:r>
      <w:r w:rsidRPr="00150CD2">
        <w:rPr>
          <w:rFonts w:cs="Arial"/>
          <w:lang w:eastAsia="en-AU"/>
        </w:rPr>
        <w:t>%) and day services (8%) were key types of NASC allocated services.</w:t>
      </w:r>
    </w:p>
    <w:p w14:paraId="023D9BD1" w14:textId="39444660" w:rsidR="00310848" w:rsidRPr="00150CD2" w:rsidRDefault="00310848" w:rsidP="00310848">
      <w:pPr>
        <w:pStyle w:val="EYBulletedText1"/>
        <w:rPr>
          <w:rFonts w:cs="Arial"/>
          <w:lang w:eastAsia="en-AU"/>
        </w:rPr>
      </w:pPr>
      <w:r w:rsidRPr="00150CD2">
        <w:rPr>
          <w:rFonts w:cs="Arial"/>
          <w:lang w:eastAsia="en-AU"/>
        </w:rPr>
        <w:t>11% live in the 20% least deprived areas of NZ while 2</w:t>
      </w:r>
      <w:r w:rsidR="005F2A19" w:rsidRPr="00150CD2">
        <w:rPr>
          <w:rFonts w:cs="Arial"/>
          <w:lang w:eastAsia="en-AU"/>
        </w:rPr>
        <w:t>8</w:t>
      </w:r>
      <w:r w:rsidRPr="00150CD2">
        <w:rPr>
          <w:rFonts w:cs="Arial"/>
          <w:lang w:eastAsia="en-AU"/>
        </w:rPr>
        <w:t>% live in the 20% most deprived areas.</w:t>
      </w:r>
      <w:r w:rsidR="005F2A19" w:rsidRPr="00150CD2">
        <w:rPr>
          <w:rFonts w:cs="Arial"/>
          <w:lang w:eastAsia="en-AU"/>
        </w:rPr>
        <w:br/>
        <w:t>DSS adults aged 65 and over are more likely to live in areas with deprivation, compared to non-DSS adults aged 65 and over (where 16% live in the 20% most deprived areas).</w:t>
      </w:r>
    </w:p>
    <w:p w14:paraId="108F6304" w14:textId="5E9905AA" w:rsidR="006D12F5" w:rsidRPr="00150CD2" w:rsidRDefault="00310848" w:rsidP="00310848">
      <w:pPr>
        <w:pStyle w:val="EYBodytextwithparaspace"/>
        <w:rPr>
          <w:rFonts w:cs="Arial"/>
          <w:lang w:eastAsia="en-AU"/>
        </w:rPr>
      </w:pPr>
      <w:r w:rsidRPr="00150CD2">
        <w:rPr>
          <w:rFonts w:cs="Arial"/>
          <w:lang w:eastAsia="en-AU"/>
        </w:rPr>
        <w:t>This section summarises some of the lifecourse outcomes and service contact indicators observed over the 3 year period to 30 June 2018</w:t>
      </w:r>
      <w:r w:rsidRPr="00150CD2">
        <w:rPr>
          <w:rStyle w:val="FootnoteReference"/>
          <w:rFonts w:ascii="Arial" w:hAnsi="Arial" w:cs="Arial"/>
          <w:lang w:eastAsia="en-AU"/>
        </w:rPr>
        <w:footnoteReference w:id="61"/>
      </w:r>
      <w:r w:rsidRPr="00150CD2">
        <w:rPr>
          <w:rFonts w:cs="Arial"/>
          <w:lang w:eastAsia="en-AU"/>
        </w:rPr>
        <w:t xml:space="preserve"> for adults who were allocated DSS over the 2018 year and were aged 65 and over at the start of the period. For some people this will include time prior to them receiving DSS funding. Note that the relatively small size of this group meant that not all indicators were observable for some subgroups.</w:t>
      </w:r>
    </w:p>
    <w:p w14:paraId="2F7B3229" w14:textId="77777777" w:rsidR="006D12F5" w:rsidRPr="00150CD2" w:rsidRDefault="006D12F5">
      <w:pPr>
        <w:autoSpaceDE/>
        <w:autoSpaceDN/>
        <w:adjustRightInd/>
        <w:rPr>
          <w:rFonts w:cs="Arial"/>
          <w:sz w:val="24"/>
          <w:lang w:eastAsia="en-AU"/>
        </w:rPr>
      </w:pPr>
      <w:r w:rsidRPr="00150CD2">
        <w:rPr>
          <w:rFonts w:cs="Arial"/>
          <w:lang w:eastAsia="en-AU"/>
        </w:rPr>
        <w:br w:type="page"/>
      </w:r>
    </w:p>
    <w:tbl>
      <w:tblPr>
        <w:tblStyle w:val="TableGrid"/>
        <w:tblW w:w="0" w:type="auto"/>
        <w:tblCellMar>
          <w:top w:w="28" w:type="dxa"/>
          <w:bottom w:w="28" w:type="dxa"/>
        </w:tblCellMar>
        <w:tblLook w:val="04A0" w:firstRow="1" w:lastRow="0" w:firstColumn="1" w:lastColumn="0" w:noHBand="0" w:noVBand="1"/>
      </w:tblPr>
      <w:tblGrid>
        <w:gridCol w:w="1564"/>
        <w:gridCol w:w="2015"/>
        <w:gridCol w:w="10365"/>
      </w:tblGrid>
      <w:tr w:rsidR="00310848" w:rsidRPr="00150CD2" w14:paraId="03A2B12E" w14:textId="77777777" w:rsidTr="00AB63BF">
        <w:trPr>
          <w:tblHeader/>
        </w:trPr>
        <w:tc>
          <w:tcPr>
            <w:tcW w:w="1545" w:type="dxa"/>
            <w:tcBorders>
              <w:bottom w:val="single" w:sz="4" w:space="0" w:color="auto"/>
            </w:tcBorders>
            <w:shd w:val="clear" w:color="auto" w:fill="F2F2F2" w:themeFill="background1" w:themeFillShade="F2"/>
          </w:tcPr>
          <w:p w14:paraId="67D64BDF" w14:textId="77777777" w:rsidR="00310848" w:rsidRPr="00150CD2" w:rsidRDefault="00310848" w:rsidP="0039393C">
            <w:pPr>
              <w:pStyle w:val="EYTableHeading"/>
              <w:rPr>
                <w:rFonts w:cs="Arial"/>
                <w:sz w:val="24"/>
              </w:rPr>
            </w:pPr>
            <w:r w:rsidRPr="00150CD2">
              <w:rPr>
                <w:rFonts w:cs="Arial"/>
                <w:sz w:val="24"/>
              </w:rPr>
              <w:t>Perspective</w:t>
            </w:r>
          </w:p>
        </w:tc>
        <w:tc>
          <w:tcPr>
            <w:tcW w:w="2015" w:type="dxa"/>
            <w:shd w:val="clear" w:color="auto" w:fill="F2F2F2" w:themeFill="background1" w:themeFillShade="F2"/>
          </w:tcPr>
          <w:p w14:paraId="23299C6E" w14:textId="77777777" w:rsidR="00310848" w:rsidRPr="00150CD2" w:rsidRDefault="00310848" w:rsidP="0039393C">
            <w:pPr>
              <w:pStyle w:val="EYTableHeading"/>
              <w:rPr>
                <w:rFonts w:cs="Arial"/>
                <w:sz w:val="24"/>
              </w:rPr>
            </w:pPr>
            <w:r w:rsidRPr="00150CD2">
              <w:rPr>
                <w:rFonts w:cs="Arial"/>
                <w:sz w:val="24"/>
              </w:rPr>
              <w:t>Indicators</w:t>
            </w:r>
          </w:p>
        </w:tc>
        <w:tc>
          <w:tcPr>
            <w:tcW w:w="10384" w:type="dxa"/>
            <w:shd w:val="clear" w:color="auto" w:fill="F2F2F2" w:themeFill="background1" w:themeFillShade="F2"/>
          </w:tcPr>
          <w:p w14:paraId="0E62E974" w14:textId="77777777" w:rsidR="00310848" w:rsidRPr="00150CD2" w:rsidRDefault="00310848" w:rsidP="0039393C">
            <w:pPr>
              <w:pStyle w:val="EYTableHeading"/>
              <w:rPr>
                <w:rFonts w:cs="Arial"/>
                <w:sz w:val="24"/>
              </w:rPr>
            </w:pPr>
            <w:r w:rsidRPr="00150CD2">
              <w:rPr>
                <w:rFonts w:cs="Arial"/>
                <w:sz w:val="24"/>
              </w:rPr>
              <w:t>Insights for adults aged 65 and older allocated DSS over the year to 30 June 2018 across New Zealand, compared to other people aged 65 and older – outcomes and service contact indicators over the 3 year period to 30 June 2018</w:t>
            </w:r>
          </w:p>
        </w:tc>
      </w:tr>
      <w:tr w:rsidR="00310848" w:rsidRPr="00150CD2" w14:paraId="0A0C5745" w14:textId="77777777" w:rsidTr="00AB63BF">
        <w:tc>
          <w:tcPr>
            <w:tcW w:w="1545" w:type="dxa"/>
            <w:tcBorders>
              <w:bottom w:val="nil"/>
            </w:tcBorders>
          </w:tcPr>
          <w:p w14:paraId="1373E15E" w14:textId="77777777" w:rsidR="00310848" w:rsidRPr="00150CD2" w:rsidRDefault="00310848" w:rsidP="0039393C">
            <w:pPr>
              <w:pStyle w:val="EYTableText"/>
              <w:rPr>
                <w:rFonts w:cs="Arial"/>
                <w:sz w:val="24"/>
              </w:rPr>
            </w:pPr>
            <w:r w:rsidRPr="00150CD2">
              <w:rPr>
                <w:rFonts w:cs="Arial"/>
                <w:sz w:val="24"/>
              </w:rPr>
              <w:t>Adult</w:t>
            </w:r>
          </w:p>
        </w:tc>
        <w:tc>
          <w:tcPr>
            <w:tcW w:w="2015" w:type="dxa"/>
          </w:tcPr>
          <w:p w14:paraId="5F999AB4" w14:textId="77777777" w:rsidR="00310848" w:rsidRPr="00150CD2" w:rsidRDefault="00310848" w:rsidP="0039393C">
            <w:pPr>
              <w:pStyle w:val="EYTableText"/>
              <w:rPr>
                <w:rFonts w:cs="Arial"/>
                <w:sz w:val="24"/>
              </w:rPr>
            </w:pPr>
            <w:r w:rsidRPr="00150CD2">
              <w:rPr>
                <w:rFonts w:cs="Arial"/>
                <w:sz w:val="24"/>
              </w:rPr>
              <w:t>Ambulatory sensitive hospitalisations, injury related ED contacts and hospitalisations</w:t>
            </w:r>
            <w:r w:rsidRPr="00150CD2">
              <w:rPr>
                <w:rStyle w:val="CommentReference"/>
                <w:rFonts w:cs="Arial"/>
                <w:sz w:val="24"/>
                <w:szCs w:val="24"/>
              </w:rPr>
              <w:t xml:space="preserve"> </w:t>
            </w:r>
          </w:p>
        </w:tc>
        <w:tc>
          <w:tcPr>
            <w:tcW w:w="10384" w:type="dxa"/>
            <w:shd w:val="clear" w:color="auto" w:fill="auto"/>
          </w:tcPr>
          <w:p w14:paraId="22D0D724" w14:textId="6BEB3BD3" w:rsidR="00310848" w:rsidRPr="00150CD2" w:rsidRDefault="00310848" w:rsidP="0039393C">
            <w:pPr>
              <w:pStyle w:val="EYTableText"/>
              <w:rPr>
                <w:rFonts w:cs="Arial"/>
                <w:sz w:val="24"/>
              </w:rPr>
            </w:pPr>
            <w:r w:rsidRPr="00150CD2">
              <w:rPr>
                <w:rFonts w:cs="Arial"/>
                <w:sz w:val="24"/>
              </w:rPr>
              <w:t>1 in 4 DSS adults aged 65 and over (25%) had ambulatory sensitive hospitalisations (ASHs) over a 3 year period. This rate is higher than the broader adult population aged 65 and over (15% had ASHs over the same period).</w:t>
            </w:r>
          </w:p>
          <w:p w14:paraId="40DA3B32" w14:textId="0EBA28F0" w:rsidR="00310848" w:rsidRPr="00150CD2" w:rsidRDefault="00310848" w:rsidP="0039393C">
            <w:pPr>
              <w:pStyle w:val="EYTablebullet1"/>
              <w:rPr>
                <w:rFonts w:cs="Arial"/>
                <w:sz w:val="24"/>
              </w:rPr>
            </w:pPr>
            <w:r w:rsidRPr="00150CD2">
              <w:rPr>
                <w:rFonts w:cs="Arial"/>
                <w:sz w:val="24"/>
              </w:rPr>
              <w:t xml:space="preserve">ASH rates were higher for those with </w:t>
            </w:r>
            <w:r w:rsidR="00DF5F17" w:rsidRPr="00150CD2">
              <w:rPr>
                <w:rFonts w:cs="Arial"/>
                <w:sz w:val="24"/>
              </w:rPr>
              <w:t>high/very high SPA</w:t>
            </w:r>
            <w:r w:rsidRPr="00150CD2">
              <w:rPr>
                <w:rFonts w:cs="Arial"/>
                <w:sz w:val="24"/>
              </w:rPr>
              <w:t xml:space="preserve"> levels (29% </w:t>
            </w:r>
            <w:r w:rsidR="00CA4326" w:rsidRPr="00150CD2">
              <w:rPr>
                <w:rFonts w:cs="Arial"/>
                <w:sz w:val="24"/>
              </w:rPr>
              <w:t>compared with</w:t>
            </w:r>
            <w:r w:rsidRPr="00150CD2">
              <w:rPr>
                <w:rFonts w:cs="Arial"/>
                <w:sz w:val="24"/>
              </w:rPr>
              <w:t xml:space="preserve"> 17% for low or medium SPA levels), Māori (31% compared with 24% for non-Māori adults) and men (27% </w:t>
            </w:r>
            <w:r w:rsidR="00CA4326" w:rsidRPr="00150CD2">
              <w:rPr>
                <w:rFonts w:cs="Arial"/>
                <w:sz w:val="24"/>
              </w:rPr>
              <w:t>compared with</w:t>
            </w:r>
            <w:r w:rsidRPr="00150CD2">
              <w:rPr>
                <w:rFonts w:cs="Arial"/>
                <w:sz w:val="24"/>
              </w:rPr>
              <w:t xml:space="preserve"> 23% for women) but were similar across disability types.</w:t>
            </w:r>
          </w:p>
          <w:p w14:paraId="0F1DD312" w14:textId="7B138610" w:rsidR="00310848" w:rsidRPr="00150CD2" w:rsidRDefault="00310848" w:rsidP="0039393C">
            <w:pPr>
              <w:pStyle w:val="EYTableText"/>
              <w:rPr>
                <w:rFonts w:cs="Arial"/>
                <w:sz w:val="24"/>
              </w:rPr>
            </w:pPr>
            <w:r w:rsidRPr="00150CD2">
              <w:rPr>
                <w:rFonts w:cs="Arial"/>
                <w:sz w:val="24"/>
              </w:rPr>
              <w:br/>
              <w:t xml:space="preserve">ED contact and injury related hospitalisation rates were similar to those of </w:t>
            </w:r>
            <w:r w:rsidR="003F6049" w:rsidRPr="00150CD2">
              <w:rPr>
                <w:rFonts w:cs="Arial"/>
                <w:sz w:val="24"/>
              </w:rPr>
              <w:t>DSS</w:t>
            </w:r>
            <w:r w:rsidR="00893A82" w:rsidRPr="00150CD2">
              <w:rPr>
                <w:rFonts w:cs="Arial"/>
                <w:sz w:val="24"/>
              </w:rPr>
              <w:t xml:space="preserve"> </w:t>
            </w:r>
            <w:r w:rsidRPr="00150CD2">
              <w:rPr>
                <w:rFonts w:cs="Arial"/>
                <w:sz w:val="24"/>
              </w:rPr>
              <w:t>middle aged adults and were around 1.6</w:t>
            </w:r>
            <w:r w:rsidR="00CA4326" w:rsidRPr="00150CD2">
              <w:rPr>
                <w:rFonts w:cs="Arial"/>
                <w:sz w:val="24"/>
              </w:rPr>
              <w:t xml:space="preserve"> times </w:t>
            </w:r>
            <w:r w:rsidRPr="00150CD2">
              <w:rPr>
                <w:rFonts w:cs="Arial"/>
                <w:sz w:val="24"/>
              </w:rPr>
              <w:t>higher than the rates observed for the non-DSS population aged 65 and over.</w:t>
            </w:r>
          </w:p>
          <w:p w14:paraId="06370E38" w14:textId="77777777" w:rsidR="00310848" w:rsidRPr="00150CD2" w:rsidRDefault="00310848" w:rsidP="0039393C">
            <w:pPr>
              <w:pStyle w:val="EYTablebullet1"/>
              <w:rPr>
                <w:rFonts w:cs="Arial"/>
                <w:sz w:val="24"/>
              </w:rPr>
            </w:pPr>
            <w:r w:rsidRPr="00150CD2">
              <w:rPr>
                <w:rFonts w:cs="Arial"/>
                <w:sz w:val="24"/>
              </w:rPr>
              <w:t>23% of the DSS population aged 65 and older had injury related ED contacts and 14% had injury related hospital admissions over the 3 year period. Rates were higher for women (25% had injury related ED contact and 16% had injury related hospitalisations over the period), and were broadly similar across disability types, SPA levels and for Māori/non-Maori.</w:t>
            </w:r>
          </w:p>
          <w:p w14:paraId="0929220F" w14:textId="432EEF51" w:rsidR="00310848" w:rsidRPr="00150CD2" w:rsidRDefault="00310848" w:rsidP="0039393C">
            <w:pPr>
              <w:pStyle w:val="EYTableText"/>
              <w:rPr>
                <w:rFonts w:cs="Arial"/>
                <w:sz w:val="24"/>
              </w:rPr>
            </w:pPr>
            <w:r w:rsidRPr="00150CD2">
              <w:rPr>
                <w:rFonts w:cs="Arial"/>
                <w:sz w:val="24"/>
              </w:rPr>
              <w:br/>
              <w:t>7% of DSS adults aged 65 and over had one of eight major chronic conditions/significant health events identified by the Ministry (coronary heart disease, gout, chronic obstructive pulmonary disease, diabetes, cancer, stroke, traumatic brain injury and acute myocardial infarction), similar to chronic condition rates in the broader non-DSS population. (Note this comparison is not age standardised – chronic conditions rates may differ for specific age groups post age 65.)</w:t>
            </w:r>
            <w:r w:rsidR="003F6049" w:rsidRPr="00150CD2">
              <w:rPr>
                <w:rFonts w:cs="Arial"/>
                <w:sz w:val="24"/>
              </w:rPr>
              <w:t xml:space="preserve"> </w:t>
            </w:r>
          </w:p>
        </w:tc>
      </w:tr>
      <w:tr w:rsidR="00170779" w:rsidRPr="00150CD2" w14:paraId="7DC82C0A" w14:textId="77777777" w:rsidTr="00AB63BF">
        <w:tc>
          <w:tcPr>
            <w:tcW w:w="1545" w:type="dxa"/>
            <w:tcBorders>
              <w:top w:val="nil"/>
              <w:bottom w:val="nil"/>
            </w:tcBorders>
          </w:tcPr>
          <w:p w14:paraId="0F984AC0" w14:textId="77777777" w:rsidR="00170779" w:rsidRPr="00150CD2" w:rsidRDefault="00170779" w:rsidP="00170779">
            <w:pPr>
              <w:pStyle w:val="EYTableText"/>
              <w:rPr>
                <w:rFonts w:cs="Arial"/>
                <w:sz w:val="24"/>
              </w:rPr>
            </w:pPr>
          </w:p>
        </w:tc>
        <w:tc>
          <w:tcPr>
            <w:tcW w:w="2015" w:type="dxa"/>
          </w:tcPr>
          <w:p w14:paraId="60786498" w14:textId="3ED09EB2" w:rsidR="00170779" w:rsidRPr="00150CD2" w:rsidRDefault="00170779" w:rsidP="00170779">
            <w:pPr>
              <w:pStyle w:val="EYTableText"/>
              <w:rPr>
                <w:rFonts w:cs="Arial"/>
                <w:sz w:val="24"/>
              </w:rPr>
            </w:pPr>
            <w:r w:rsidRPr="00150CD2">
              <w:rPr>
                <w:rFonts w:cs="Arial"/>
                <w:sz w:val="24"/>
              </w:rPr>
              <w:t>Mental health service contact and treatment</w:t>
            </w:r>
          </w:p>
        </w:tc>
        <w:tc>
          <w:tcPr>
            <w:tcW w:w="10384" w:type="dxa"/>
            <w:shd w:val="clear" w:color="auto" w:fill="auto"/>
          </w:tcPr>
          <w:p w14:paraId="79D452F9" w14:textId="3D72093B" w:rsidR="00CA6094" w:rsidRPr="00150CD2" w:rsidRDefault="00170779" w:rsidP="00170779">
            <w:pPr>
              <w:pStyle w:val="EYTablebullet1"/>
              <w:spacing w:before="0" w:after="120"/>
              <w:rPr>
                <w:rFonts w:cs="Arial"/>
                <w:sz w:val="24"/>
              </w:rPr>
            </w:pPr>
            <w:r w:rsidRPr="00150CD2">
              <w:rPr>
                <w:rFonts w:cs="Arial"/>
                <w:sz w:val="24"/>
              </w:rPr>
              <w:t xml:space="preserve">Around </w:t>
            </w:r>
            <w:r w:rsidR="00CA6094" w:rsidRPr="00150CD2">
              <w:rPr>
                <w:rFonts w:cs="Arial"/>
                <w:sz w:val="24"/>
              </w:rPr>
              <w:t>12%</w:t>
            </w:r>
            <w:r w:rsidRPr="00150CD2">
              <w:rPr>
                <w:rFonts w:cs="Arial"/>
                <w:sz w:val="24"/>
              </w:rPr>
              <w:t xml:space="preserve"> of DSS </w:t>
            </w:r>
            <w:r w:rsidR="00CA6094" w:rsidRPr="00150CD2">
              <w:rPr>
                <w:rFonts w:cs="Arial"/>
                <w:sz w:val="24"/>
              </w:rPr>
              <w:t>adults aged 65 and older</w:t>
            </w:r>
            <w:r w:rsidRPr="00150CD2">
              <w:rPr>
                <w:rFonts w:cs="Arial"/>
                <w:sz w:val="24"/>
              </w:rPr>
              <w:t xml:space="preserve"> had contact with mental health services from community providers or hospitals over the three year period.</w:t>
            </w:r>
            <w:r w:rsidR="00EE4C2B" w:rsidRPr="00150CD2">
              <w:rPr>
                <w:rFonts w:cs="Arial"/>
                <w:sz w:val="24"/>
              </w:rPr>
              <w:t xml:space="preserve"> This compares to 5% of non-DSS adults aged 65 and older.</w:t>
            </w:r>
            <w:r w:rsidRPr="00150CD2">
              <w:rPr>
                <w:rFonts w:cs="Arial"/>
                <w:sz w:val="24"/>
              </w:rPr>
              <w:br/>
              <w:t xml:space="preserve">Note that this includes some disability-specific health services as well as other mental health services, as the data does not explicitly identify which contacts are specifically related to disability. The exception is Intellectual Disability teams which has been excluded from the above figures. </w:t>
            </w:r>
          </w:p>
          <w:p w14:paraId="05B7F895" w14:textId="3CC759DD" w:rsidR="00170779" w:rsidRPr="00150CD2" w:rsidRDefault="00170779" w:rsidP="00CA6094">
            <w:pPr>
              <w:pStyle w:val="EYTablebullet1"/>
              <w:spacing w:before="0" w:after="120"/>
              <w:rPr>
                <w:rFonts w:cs="Arial"/>
                <w:sz w:val="24"/>
              </w:rPr>
            </w:pPr>
            <w:r w:rsidRPr="00150CD2">
              <w:rPr>
                <w:rFonts w:cs="Arial"/>
                <w:sz w:val="24"/>
              </w:rPr>
              <w:t xml:space="preserve">Within this group, service contact rates were higher </w:t>
            </w:r>
            <w:r w:rsidR="00EE4C2B" w:rsidRPr="00150CD2">
              <w:rPr>
                <w:rFonts w:cs="Arial"/>
                <w:sz w:val="24"/>
              </w:rPr>
              <w:t>for</w:t>
            </w:r>
            <w:r w:rsidRPr="00150CD2">
              <w:rPr>
                <w:rFonts w:cs="Arial"/>
                <w:sz w:val="24"/>
              </w:rPr>
              <w:t xml:space="preserve"> those with high/very high SPA levels (</w:t>
            </w:r>
            <w:r w:rsidR="00EE4C2B" w:rsidRPr="00150CD2">
              <w:rPr>
                <w:rFonts w:cs="Arial"/>
                <w:sz w:val="24"/>
              </w:rPr>
              <w:t>15</w:t>
            </w:r>
            <w:r w:rsidRPr="00150CD2">
              <w:rPr>
                <w:rFonts w:cs="Arial"/>
                <w:sz w:val="24"/>
              </w:rPr>
              <w:t xml:space="preserve">% </w:t>
            </w:r>
            <w:r w:rsidR="00CA4326" w:rsidRPr="00150CD2">
              <w:rPr>
                <w:rFonts w:cs="Arial"/>
                <w:sz w:val="24"/>
              </w:rPr>
              <w:t>compared with</w:t>
            </w:r>
            <w:r w:rsidRPr="00150CD2">
              <w:rPr>
                <w:rFonts w:cs="Arial"/>
                <w:sz w:val="24"/>
              </w:rPr>
              <w:t xml:space="preserve"> 1</w:t>
            </w:r>
            <w:r w:rsidR="00EE4C2B" w:rsidRPr="00150CD2">
              <w:rPr>
                <w:rFonts w:cs="Arial"/>
                <w:sz w:val="24"/>
              </w:rPr>
              <w:t>0</w:t>
            </w:r>
            <w:r w:rsidRPr="00150CD2">
              <w:rPr>
                <w:rFonts w:cs="Arial"/>
                <w:sz w:val="24"/>
              </w:rPr>
              <w:t>% for low/medium SPA levels)</w:t>
            </w:r>
            <w:r w:rsidR="00EE4C2B" w:rsidRPr="00150CD2">
              <w:rPr>
                <w:rFonts w:cs="Arial"/>
                <w:sz w:val="24"/>
              </w:rPr>
              <w:t xml:space="preserve"> and intellectual disability (15% compared with 12% for physical and other disability types)</w:t>
            </w:r>
            <w:r w:rsidRPr="00150CD2">
              <w:rPr>
                <w:rFonts w:cs="Arial"/>
                <w:sz w:val="24"/>
              </w:rPr>
              <w:t xml:space="preserve">. Contact rates by gender and </w:t>
            </w:r>
            <w:r w:rsidR="00EE4C2B" w:rsidRPr="00150CD2">
              <w:rPr>
                <w:rFonts w:cs="Arial"/>
                <w:sz w:val="24"/>
              </w:rPr>
              <w:t>ethnicity</w:t>
            </w:r>
            <w:r w:rsidRPr="00150CD2">
              <w:rPr>
                <w:rFonts w:cs="Arial"/>
                <w:sz w:val="24"/>
              </w:rPr>
              <w:t xml:space="preserve"> were similar.</w:t>
            </w:r>
          </w:p>
        </w:tc>
      </w:tr>
      <w:tr w:rsidR="00170779" w:rsidRPr="00150CD2" w14:paraId="319639CF" w14:textId="77777777" w:rsidTr="00AB63BF">
        <w:tc>
          <w:tcPr>
            <w:tcW w:w="1545" w:type="dxa"/>
            <w:tcBorders>
              <w:top w:val="nil"/>
              <w:bottom w:val="nil"/>
            </w:tcBorders>
          </w:tcPr>
          <w:p w14:paraId="6A993792" w14:textId="77777777" w:rsidR="00170779" w:rsidRPr="00150CD2" w:rsidRDefault="00170779" w:rsidP="00170779">
            <w:pPr>
              <w:pStyle w:val="EYTableText"/>
              <w:rPr>
                <w:rFonts w:cs="Arial"/>
                <w:sz w:val="24"/>
              </w:rPr>
            </w:pPr>
          </w:p>
        </w:tc>
        <w:tc>
          <w:tcPr>
            <w:tcW w:w="2015" w:type="dxa"/>
          </w:tcPr>
          <w:p w14:paraId="12F5C624" w14:textId="1519C91E" w:rsidR="00170779" w:rsidRPr="00150CD2" w:rsidRDefault="00170779" w:rsidP="00170779">
            <w:pPr>
              <w:pStyle w:val="EYTableText"/>
              <w:rPr>
                <w:rFonts w:cs="Arial"/>
                <w:sz w:val="24"/>
              </w:rPr>
            </w:pPr>
            <w:r w:rsidRPr="00150CD2">
              <w:rPr>
                <w:rFonts w:cs="Arial"/>
                <w:sz w:val="24"/>
              </w:rPr>
              <w:t>Pharmaceuticals</w:t>
            </w:r>
          </w:p>
        </w:tc>
        <w:tc>
          <w:tcPr>
            <w:tcW w:w="10384" w:type="dxa"/>
            <w:shd w:val="clear" w:color="auto" w:fill="auto"/>
          </w:tcPr>
          <w:p w14:paraId="79BF0E58" w14:textId="38376C9E" w:rsidR="00170779" w:rsidRPr="00150CD2" w:rsidRDefault="00170779" w:rsidP="00170779">
            <w:pPr>
              <w:pStyle w:val="EYTableText"/>
              <w:rPr>
                <w:rFonts w:cs="Arial"/>
                <w:sz w:val="24"/>
              </w:rPr>
            </w:pPr>
            <w:r w:rsidRPr="00150CD2">
              <w:rPr>
                <w:rFonts w:cs="Arial"/>
                <w:sz w:val="24"/>
              </w:rPr>
              <w:t>DSS adults received treatment from a wider range of pharmaceutical types than other adults</w:t>
            </w:r>
            <w:r w:rsidR="00CA6094" w:rsidRPr="00150CD2">
              <w:rPr>
                <w:rFonts w:cs="Arial"/>
                <w:sz w:val="24"/>
              </w:rPr>
              <w:t xml:space="preserve"> aged 65 and over</w:t>
            </w:r>
            <w:r w:rsidRPr="00150CD2">
              <w:rPr>
                <w:rFonts w:cs="Arial"/>
                <w:sz w:val="24"/>
              </w:rPr>
              <w:t xml:space="preserve">, with an average of </w:t>
            </w:r>
            <w:r w:rsidR="00CA6094" w:rsidRPr="00150CD2">
              <w:rPr>
                <w:rFonts w:cs="Arial"/>
                <w:sz w:val="24"/>
              </w:rPr>
              <w:t>13.5</w:t>
            </w:r>
            <w:r w:rsidRPr="00150CD2">
              <w:rPr>
                <w:rFonts w:cs="Arial"/>
                <w:sz w:val="24"/>
              </w:rPr>
              <w:t xml:space="preserve"> pharmaceutical products </w:t>
            </w:r>
            <w:r w:rsidR="00B3056C" w:rsidRPr="00150CD2">
              <w:rPr>
                <w:rFonts w:cs="Arial"/>
                <w:sz w:val="24"/>
              </w:rPr>
              <w:t>dispensed</w:t>
            </w:r>
            <w:r w:rsidRPr="00150CD2">
              <w:rPr>
                <w:rFonts w:cs="Arial"/>
                <w:sz w:val="24"/>
              </w:rPr>
              <w:t xml:space="preserve"> compared with </w:t>
            </w:r>
            <w:r w:rsidR="00CA6094" w:rsidRPr="00150CD2">
              <w:rPr>
                <w:rFonts w:cs="Arial"/>
                <w:sz w:val="24"/>
              </w:rPr>
              <w:t>7.8</w:t>
            </w:r>
            <w:r w:rsidRPr="00150CD2">
              <w:rPr>
                <w:rFonts w:cs="Arial"/>
                <w:sz w:val="24"/>
              </w:rPr>
              <w:t xml:space="preserve"> for non-DSS adults over the year to 30 June 2017. </w:t>
            </w:r>
            <w:r w:rsidR="00CA6094" w:rsidRPr="00150CD2">
              <w:rPr>
                <w:rFonts w:cs="Arial"/>
                <w:sz w:val="24"/>
              </w:rPr>
              <w:t>T</w:t>
            </w:r>
            <w:r w:rsidRPr="00150CD2">
              <w:rPr>
                <w:rFonts w:cs="Arial"/>
                <w:sz w:val="24"/>
              </w:rPr>
              <w:t>hose with high/very high SPA levels were more likely to have had multiple pharmaceutical types and mental health related pharmaceuticals.</w:t>
            </w:r>
          </w:p>
        </w:tc>
      </w:tr>
      <w:tr w:rsidR="00310848" w:rsidRPr="00150CD2" w14:paraId="2626901C" w14:textId="77777777" w:rsidTr="00AB63BF">
        <w:tc>
          <w:tcPr>
            <w:tcW w:w="1545" w:type="dxa"/>
            <w:tcBorders>
              <w:top w:val="nil"/>
              <w:bottom w:val="nil"/>
            </w:tcBorders>
          </w:tcPr>
          <w:p w14:paraId="167C9FED" w14:textId="77777777" w:rsidR="00310848" w:rsidRPr="00150CD2" w:rsidRDefault="00310848" w:rsidP="0039393C">
            <w:pPr>
              <w:pStyle w:val="EYTableText"/>
              <w:rPr>
                <w:rFonts w:cs="Arial"/>
                <w:sz w:val="24"/>
              </w:rPr>
            </w:pPr>
          </w:p>
        </w:tc>
        <w:tc>
          <w:tcPr>
            <w:tcW w:w="2015" w:type="dxa"/>
          </w:tcPr>
          <w:p w14:paraId="461000DE" w14:textId="1472405C" w:rsidR="00310848" w:rsidRPr="00150CD2" w:rsidRDefault="00863250" w:rsidP="0039393C">
            <w:pPr>
              <w:pStyle w:val="EYTableText"/>
              <w:rPr>
                <w:rFonts w:cs="Arial"/>
                <w:sz w:val="24"/>
              </w:rPr>
            </w:pPr>
            <w:r w:rsidRPr="00150CD2">
              <w:rPr>
                <w:rFonts w:cs="Arial"/>
                <w:sz w:val="24"/>
              </w:rPr>
              <w:t>R</w:t>
            </w:r>
            <w:r w:rsidR="00310848" w:rsidRPr="00150CD2">
              <w:rPr>
                <w:rFonts w:cs="Arial"/>
                <w:sz w:val="24"/>
              </w:rPr>
              <w:t>esidential services</w:t>
            </w:r>
          </w:p>
        </w:tc>
        <w:tc>
          <w:tcPr>
            <w:tcW w:w="10384" w:type="dxa"/>
            <w:shd w:val="clear" w:color="auto" w:fill="auto"/>
          </w:tcPr>
          <w:p w14:paraId="6EFE2035" w14:textId="1A89D44C" w:rsidR="00310848" w:rsidRPr="00150CD2" w:rsidRDefault="00310848" w:rsidP="0039393C">
            <w:pPr>
              <w:pStyle w:val="EYTablebullet1"/>
              <w:rPr>
                <w:rFonts w:cs="Arial"/>
                <w:sz w:val="24"/>
              </w:rPr>
            </w:pPr>
            <w:r w:rsidRPr="00150CD2">
              <w:rPr>
                <w:rFonts w:cs="Arial"/>
                <w:sz w:val="24"/>
              </w:rPr>
              <w:t xml:space="preserve">31% of DSS adults aged 65 and older received residential services at June 2018, with a small number (2%) transitioning into residential services during the 3 year period. </w:t>
            </w:r>
            <w:r w:rsidRPr="00150CD2">
              <w:rPr>
                <w:rFonts w:cs="Arial"/>
                <w:sz w:val="24"/>
              </w:rPr>
              <w:br/>
            </w:r>
            <w:r w:rsidRPr="00150CD2">
              <w:rPr>
                <w:rFonts w:cs="Arial"/>
                <w:color w:val="2E2E38" w:themeColor="text1"/>
                <w:sz w:val="24"/>
              </w:rPr>
              <w:t xml:space="preserve">As for younger ages, people with intellectual disabilities and high/very high SPA levels were more likely to receive residential </w:t>
            </w:r>
            <w:r w:rsidR="00863250" w:rsidRPr="00150CD2">
              <w:rPr>
                <w:rFonts w:cs="Arial"/>
                <w:color w:val="2E2E38" w:themeColor="text1"/>
                <w:sz w:val="24"/>
              </w:rPr>
              <w:t xml:space="preserve">services </w:t>
            </w:r>
            <w:r w:rsidRPr="00150CD2">
              <w:rPr>
                <w:rFonts w:cs="Arial"/>
                <w:color w:val="2E2E38" w:themeColor="text1"/>
                <w:sz w:val="24"/>
              </w:rPr>
              <w:t>support as those with physical disability or low/medium SPA levels.</w:t>
            </w:r>
          </w:p>
        </w:tc>
      </w:tr>
      <w:tr w:rsidR="00310848" w:rsidRPr="00150CD2" w14:paraId="03D8AD61" w14:textId="77777777" w:rsidTr="00AB63BF">
        <w:tc>
          <w:tcPr>
            <w:tcW w:w="1545" w:type="dxa"/>
            <w:tcBorders>
              <w:top w:val="nil"/>
              <w:bottom w:val="nil"/>
            </w:tcBorders>
          </w:tcPr>
          <w:p w14:paraId="30734994" w14:textId="77777777" w:rsidR="00310848" w:rsidRPr="00150CD2" w:rsidRDefault="00310848" w:rsidP="0039393C">
            <w:pPr>
              <w:pStyle w:val="EYTableText"/>
              <w:rPr>
                <w:rFonts w:cs="Arial"/>
                <w:sz w:val="24"/>
              </w:rPr>
            </w:pPr>
          </w:p>
        </w:tc>
        <w:tc>
          <w:tcPr>
            <w:tcW w:w="2015" w:type="dxa"/>
          </w:tcPr>
          <w:p w14:paraId="51DA9093" w14:textId="331B9245" w:rsidR="00310848" w:rsidRPr="00150CD2" w:rsidRDefault="00310848" w:rsidP="0039393C">
            <w:pPr>
              <w:pStyle w:val="EYTableText"/>
              <w:rPr>
                <w:rFonts w:cs="Arial"/>
                <w:sz w:val="24"/>
              </w:rPr>
            </w:pPr>
            <w:r w:rsidRPr="00150CD2">
              <w:rPr>
                <w:rFonts w:cs="Arial"/>
                <w:sz w:val="24"/>
              </w:rPr>
              <w:t>Driver licences</w:t>
            </w:r>
          </w:p>
        </w:tc>
        <w:tc>
          <w:tcPr>
            <w:tcW w:w="10384" w:type="dxa"/>
            <w:shd w:val="clear" w:color="auto" w:fill="auto"/>
          </w:tcPr>
          <w:p w14:paraId="48E94120" w14:textId="0A9D75A1" w:rsidR="00310848" w:rsidRPr="00150CD2" w:rsidRDefault="00310848" w:rsidP="0039393C">
            <w:pPr>
              <w:pStyle w:val="EYTablebullet1"/>
              <w:rPr>
                <w:rFonts w:cs="Arial"/>
                <w:sz w:val="24"/>
              </w:rPr>
            </w:pPr>
            <w:r w:rsidRPr="00150CD2">
              <w:rPr>
                <w:rFonts w:cs="Arial"/>
                <w:sz w:val="24"/>
              </w:rPr>
              <w:t xml:space="preserve">27% of DSS adults aged 65-79 had their full driver licence at June 2018, significantly lower than the </w:t>
            </w:r>
            <w:r w:rsidR="00893A82" w:rsidRPr="00150CD2">
              <w:rPr>
                <w:rFonts w:cs="Arial"/>
                <w:sz w:val="24"/>
              </w:rPr>
              <w:t xml:space="preserve">non-DSS </w:t>
            </w:r>
            <w:r w:rsidRPr="00150CD2">
              <w:rPr>
                <w:rFonts w:cs="Arial"/>
                <w:sz w:val="24"/>
              </w:rPr>
              <w:t>adult population aged 65-79 (around 80% had a full licence).</w:t>
            </w:r>
          </w:p>
          <w:p w14:paraId="37744DC7" w14:textId="730FF600" w:rsidR="00310848" w:rsidRPr="00150CD2" w:rsidRDefault="00893A82" w:rsidP="0039393C">
            <w:pPr>
              <w:pStyle w:val="EYTablebullet1"/>
              <w:rPr>
                <w:rFonts w:cs="Arial"/>
                <w:sz w:val="24"/>
              </w:rPr>
            </w:pPr>
            <w:r w:rsidRPr="00150CD2">
              <w:rPr>
                <w:rFonts w:cs="Arial"/>
                <w:sz w:val="24"/>
              </w:rPr>
              <w:t xml:space="preserve">For the DSS adult population aged 65-79, licence </w:t>
            </w:r>
            <w:r w:rsidR="00310848" w:rsidRPr="00150CD2">
              <w:rPr>
                <w:rFonts w:cs="Arial"/>
                <w:sz w:val="24"/>
              </w:rPr>
              <w:t xml:space="preserve">rates were lower for those with intellectual disability (6% compared with 36% for those with physical disability) and with </w:t>
            </w:r>
            <w:r w:rsidR="00DF5F17" w:rsidRPr="00150CD2">
              <w:rPr>
                <w:rFonts w:cs="Arial"/>
                <w:sz w:val="24"/>
              </w:rPr>
              <w:t>high/very high SPA</w:t>
            </w:r>
            <w:r w:rsidR="00310848" w:rsidRPr="00150CD2">
              <w:rPr>
                <w:rFonts w:cs="Arial"/>
                <w:sz w:val="24"/>
              </w:rPr>
              <w:t xml:space="preserve"> levels (15% have licences, compared with 49% for adults with low/medium SPA levels). The proportion of Māori adults aged 65 and older </w:t>
            </w:r>
            <w:r w:rsidRPr="00150CD2">
              <w:rPr>
                <w:rFonts w:cs="Arial"/>
                <w:sz w:val="24"/>
              </w:rPr>
              <w:t xml:space="preserve">with licences </w:t>
            </w:r>
            <w:r w:rsidR="00310848" w:rsidRPr="00150CD2">
              <w:rPr>
                <w:rFonts w:cs="Arial"/>
                <w:sz w:val="24"/>
              </w:rPr>
              <w:t xml:space="preserve">is slightly lower </w:t>
            </w:r>
            <w:r w:rsidRPr="00150CD2">
              <w:rPr>
                <w:rFonts w:cs="Arial"/>
                <w:sz w:val="24"/>
              </w:rPr>
              <w:t xml:space="preserve">than for non-Māori </w:t>
            </w:r>
            <w:r w:rsidR="00310848" w:rsidRPr="00150CD2">
              <w:rPr>
                <w:rFonts w:cs="Arial"/>
                <w:sz w:val="24"/>
              </w:rPr>
              <w:t>(23%).</w:t>
            </w:r>
          </w:p>
        </w:tc>
      </w:tr>
      <w:tr w:rsidR="00310848" w:rsidRPr="00150CD2" w14:paraId="2D00580C" w14:textId="77777777" w:rsidTr="00AB63BF">
        <w:tc>
          <w:tcPr>
            <w:tcW w:w="1545" w:type="dxa"/>
            <w:tcBorders>
              <w:top w:val="nil"/>
              <w:bottom w:val="nil"/>
            </w:tcBorders>
          </w:tcPr>
          <w:p w14:paraId="2A800CCD" w14:textId="77777777" w:rsidR="00310848" w:rsidRPr="00150CD2" w:rsidRDefault="00310848" w:rsidP="0039393C">
            <w:pPr>
              <w:pStyle w:val="EYTableText"/>
              <w:rPr>
                <w:rFonts w:cs="Arial"/>
                <w:sz w:val="24"/>
              </w:rPr>
            </w:pPr>
          </w:p>
        </w:tc>
        <w:tc>
          <w:tcPr>
            <w:tcW w:w="2015" w:type="dxa"/>
          </w:tcPr>
          <w:p w14:paraId="0D77CE8C" w14:textId="77777777" w:rsidR="00310848" w:rsidRPr="00150CD2" w:rsidRDefault="00310848" w:rsidP="0039393C">
            <w:pPr>
              <w:pStyle w:val="EYTableText"/>
              <w:rPr>
                <w:rFonts w:cs="Arial"/>
                <w:sz w:val="24"/>
              </w:rPr>
            </w:pPr>
            <w:r w:rsidRPr="00150CD2">
              <w:rPr>
                <w:rFonts w:cs="Arial"/>
                <w:sz w:val="24"/>
              </w:rPr>
              <w:t>Safety – victimisation</w:t>
            </w:r>
          </w:p>
        </w:tc>
        <w:tc>
          <w:tcPr>
            <w:tcW w:w="10384" w:type="dxa"/>
            <w:shd w:val="clear" w:color="auto" w:fill="auto"/>
          </w:tcPr>
          <w:p w14:paraId="483B7B91" w14:textId="77777777" w:rsidR="00310848" w:rsidRPr="00150CD2" w:rsidRDefault="00310848" w:rsidP="0039393C">
            <w:pPr>
              <w:pStyle w:val="EYTableText"/>
              <w:rPr>
                <w:rFonts w:cs="Arial"/>
                <w:sz w:val="24"/>
              </w:rPr>
            </w:pPr>
            <w:r w:rsidRPr="00150CD2">
              <w:rPr>
                <w:rFonts w:cs="Arial"/>
                <w:sz w:val="24"/>
              </w:rPr>
              <w:t>3% of DSS adults aged 65 and over were recorded by Police as being victims of a crime over the 3 year period. This rate was similar to the non-DSS population aged 65 and older.</w:t>
            </w:r>
          </w:p>
        </w:tc>
      </w:tr>
      <w:tr w:rsidR="00310848" w:rsidRPr="00150CD2" w14:paraId="63608313" w14:textId="77777777" w:rsidTr="00AB63BF">
        <w:tc>
          <w:tcPr>
            <w:tcW w:w="1545" w:type="dxa"/>
            <w:tcBorders>
              <w:top w:val="nil"/>
              <w:bottom w:val="nil"/>
            </w:tcBorders>
          </w:tcPr>
          <w:p w14:paraId="013E8D32" w14:textId="77777777" w:rsidR="00310848" w:rsidRPr="00150CD2" w:rsidRDefault="00310848" w:rsidP="0039393C">
            <w:pPr>
              <w:pStyle w:val="EYTableText"/>
              <w:rPr>
                <w:rFonts w:cs="Arial"/>
                <w:sz w:val="24"/>
              </w:rPr>
            </w:pPr>
          </w:p>
        </w:tc>
        <w:tc>
          <w:tcPr>
            <w:tcW w:w="2015" w:type="dxa"/>
          </w:tcPr>
          <w:p w14:paraId="57BB598E" w14:textId="77777777" w:rsidR="00310848" w:rsidRPr="00150CD2" w:rsidRDefault="00310848" w:rsidP="0039393C">
            <w:pPr>
              <w:pStyle w:val="EYTableText"/>
              <w:rPr>
                <w:rFonts w:cs="Arial"/>
                <w:sz w:val="24"/>
              </w:rPr>
            </w:pPr>
            <w:r w:rsidRPr="00150CD2">
              <w:rPr>
                <w:rFonts w:cs="Arial"/>
                <w:sz w:val="24"/>
              </w:rPr>
              <w:t>Family and relationships</w:t>
            </w:r>
          </w:p>
        </w:tc>
        <w:tc>
          <w:tcPr>
            <w:tcW w:w="10384" w:type="dxa"/>
            <w:shd w:val="clear" w:color="auto" w:fill="auto"/>
          </w:tcPr>
          <w:p w14:paraId="496784BD" w14:textId="71D0DC11" w:rsidR="00310848" w:rsidRPr="00150CD2" w:rsidRDefault="00310848" w:rsidP="00936B58">
            <w:pPr>
              <w:pStyle w:val="EYTableText"/>
              <w:spacing w:before="0" w:after="120"/>
              <w:rPr>
                <w:rFonts w:cs="Arial"/>
                <w:i/>
                <w:sz w:val="24"/>
              </w:rPr>
            </w:pPr>
            <w:r w:rsidRPr="00150CD2">
              <w:rPr>
                <w:rFonts w:cs="Arial"/>
                <w:i/>
                <w:sz w:val="24"/>
              </w:rPr>
              <w:t>The following observations should be treated as estimates and care taken in interpretation, as there are known limitations around the coverage of relationship records in administrative datasets for older adults. The actual rate of lifetime partnership is likely to be higher. Informal and unreported relationships are not reflected in these estimates.</w:t>
            </w:r>
            <w:r w:rsidR="00936B58" w:rsidRPr="00150CD2">
              <w:rPr>
                <w:rFonts w:cs="Arial"/>
                <w:i/>
                <w:iCs/>
                <w:sz w:val="24"/>
              </w:rPr>
              <w:t xml:space="preserve"> Refer to </w:t>
            </w:r>
            <w:r w:rsidR="00936B58" w:rsidRPr="00150CD2">
              <w:rPr>
                <w:rFonts w:cs="Arial"/>
                <w:i/>
                <w:iCs/>
                <w:sz w:val="24"/>
              </w:rPr>
              <w:fldChar w:fldCharType="begin"/>
            </w:r>
            <w:r w:rsidR="00936B58" w:rsidRPr="00150CD2">
              <w:rPr>
                <w:rFonts w:cs="Arial"/>
                <w:i/>
                <w:iCs/>
                <w:sz w:val="24"/>
              </w:rPr>
              <w:instrText xml:space="preserve"> REF _Ref44353599 \r \h  \* MERGEFORMAT </w:instrText>
            </w:r>
            <w:r w:rsidR="00936B58" w:rsidRPr="00150CD2">
              <w:rPr>
                <w:rFonts w:cs="Arial"/>
                <w:i/>
                <w:iCs/>
                <w:sz w:val="24"/>
              </w:rPr>
            </w:r>
            <w:r w:rsidR="00936B58" w:rsidRPr="00150CD2">
              <w:rPr>
                <w:rFonts w:cs="Arial"/>
                <w:i/>
                <w:iCs/>
                <w:sz w:val="24"/>
              </w:rPr>
              <w:fldChar w:fldCharType="separate"/>
            </w:r>
            <w:r w:rsidR="00053D9A" w:rsidRPr="00150CD2">
              <w:rPr>
                <w:rFonts w:cs="Arial"/>
                <w:i/>
                <w:iCs/>
                <w:sz w:val="24"/>
              </w:rPr>
              <w:t>Appendix D</w:t>
            </w:r>
            <w:r w:rsidR="00936B58" w:rsidRPr="00150CD2">
              <w:rPr>
                <w:rFonts w:cs="Arial"/>
                <w:i/>
                <w:iCs/>
                <w:sz w:val="24"/>
              </w:rPr>
              <w:fldChar w:fldCharType="end"/>
            </w:r>
            <w:r w:rsidR="00936B58" w:rsidRPr="00150CD2">
              <w:rPr>
                <w:rFonts w:cs="Arial"/>
                <w:i/>
                <w:iCs/>
                <w:sz w:val="24"/>
              </w:rPr>
              <w:t xml:space="preserve"> for further information.</w:t>
            </w:r>
          </w:p>
          <w:p w14:paraId="1F12CECA" w14:textId="77777777" w:rsidR="00310848" w:rsidRPr="00150CD2" w:rsidRDefault="00310848" w:rsidP="0039393C">
            <w:pPr>
              <w:pStyle w:val="EYTableText"/>
              <w:rPr>
                <w:rFonts w:cs="Arial"/>
                <w:sz w:val="24"/>
              </w:rPr>
            </w:pPr>
            <w:r w:rsidRPr="00150CD2">
              <w:rPr>
                <w:rFonts w:cs="Arial"/>
                <w:sz w:val="24"/>
              </w:rPr>
              <w:t>For the DSS adult population aged 65 and over:</w:t>
            </w:r>
          </w:p>
          <w:p w14:paraId="2F93D3BB" w14:textId="77777777" w:rsidR="00310848" w:rsidRPr="00150CD2" w:rsidRDefault="00310848" w:rsidP="0039393C">
            <w:pPr>
              <w:pStyle w:val="EYTablebullet1"/>
              <w:rPr>
                <w:rFonts w:cs="Arial"/>
                <w:sz w:val="24"/>
              </w:rPr>
            </w:pPr>
            <w:r w:rsidRPr="00150CD2">
              <w:rPr>
                <w:rFonts w:cs="Arial"/>
                <w:sz w:val="24"/>
              </w:rPr>
              <w:t>16% reported being in a marriage or civil union over the 3 year period.</w:t>
            </w:r>
          </w:p>
          <w:p w14:paraId="552E7730" w14:textId="77777777" w:rsidR="00310848" w:rsidRPr="00150CD2" w:rsidRDefault="00310848" w:rsidP="0039393C">
            <w:pPr>
              <w:pStyle w:val="EYTablebullet1"/>
              <w:rPr>
                <w:rFonts w:cs="Arial"/>
                <w:sz w:val="24"/>
              </w:rPr>
            </w:pPr>
            <w:r w:rsidRPr="00150CD2">
              <w:rPr>
                <w:rFonts w:cs="Arial"/>
                <w:sz w:val="24"/>
              </w:rPr>
              <w:t xml:space="preserve">38% reported ever having been in a marriage, civil union or (as part of receiving benefits) a partner relationship. </w:t>
            </w:r>
          </w:p>
          <w:p w14:paraId="729F4680" w14:textId="77777777" w:rsidR="00310848" w:rsidRPr="00150CD2" w:rsidRDefault="00310848" w:rsidP="0039393C">
            <w:pPr>
              <w:pStyle w:val="EYTableText"/>
              <w:rPr>
                <w:rFonts w:cs="Arial"/>
                <w:sz w:val="24"/>
              </w:rPr>
            </w:pPr>
            <w:r w:rsidRPr="00150CD2">
              <w:rPr>
                <w:rFonts w:cs="Arial"/>
                <w:sz w:val="24"/>
              </w:rPr>
              <w:t>For the broader adult population aged 65 and over, 48% reported being in a formal partnership over the 3 year period.</w:t>
            </w:r>
          </w:p>
        </w:tc>
      </w:tr>
      <w:tr w:rsidR="00310848" w:rsidRPr="00150CD2" w14:paraId="553CAD03" w14:textId="77777777" w:rsidTr="00AB63BF">
        <w:tc>
          <w:tcPr>
            <w:tcW w:w="1545" w:type="dxa"/>
            <w:tcBorders>
              <w:top w:val="nil"/>
            </w:tcBorders>
          </w:tcPr>
          <w:p w14:paraId="0891635F" w14:textId="77777777" w:rsidR="00310848" w:rsidRPr="00150CD2" w:rsidRDefault="00310848" w:rsidP="0039393C">
            <w:pPr>
              <w:pStyle w:val="EYTableText"/>
              <w:rPr>
                <w:rFonts w:cs="Arial"/>
                <w:sz w:val="24"/>
              </w:rPr>
            </w:pPr>
          </w:p>
        </w:tc>
        <w:tc>
          <w:tcPr>
            <w:tcW w:w="2015" w:type="dxa"/>
          </w:tcPr>
          <w:p w14:paraId="4C9DE377" w14:textId="77777777" w:rsidR="00310848" w:rsidRPr="00150CD2" w:rsidRDefault="00310848" w:rsidP="0039393C">
            <w:pPr>
              <w:pStyle w:val="EYTableText"/>
              <w:rPr>
                <w:rFonts w:cs="Arial"/>
                <w:sz w:val="24"/>
              </w:rPr>
            </w:pPr>
            <w:r w:rsidRPr="00150CD2">
              <w:rPr>
                <w:rFonts w:cs="Arial"/>
                <w:sz w:val="24"/>
              </w:rPr>
              <w:t>Income and housing support</w:t>
            </w:r>
          </w:p>
        </w:tc>
        <w:tc>
          <w:tcPr>
            <w:tcW w:w="10384" w:type="dxa"/>
            <w:shd w:val="clear" w:color="auto" w:fill="auto"/>
          </w:tcPr>
          <w:p w14:paraId="602C2FA9" w14:textId="112225D8" w:rsidR="00310848" w:rsidRPr="00150CD2" w:rsidRDefault="00310848" w:rsidP="0039393C">
            <w:pPr>
              <w:pStyle w:val="EYTablebullet1"/>
              <w:rPr>
                <w:rFonts w:cs="Arial"/>
                <w:color w:val="2E2E38" w:themeColor="text1"/>
                <w:sz w:val="24"/>
              </w:rPr>
            </w:pPr>
            <w:r w:rsidRPr="00150CD2">
              <w:rPr>
                <w:rFonts w:cs="Arial"/>
                <w:sz w:val="24"/>
              </w:rPr>
              <w:t xml:space="preserve">A small proportion of DSS adults aged 65 and over (16%) drew on </w:t>
            </w:r>
            <w:r w:rsidR="009614A5" w:rsidRPr="00150CD2">
              <w:rPr>
                <w:rFonts w:cs="Arial"/>
                <w:sz w:val="24"/>
              </w:rPr>
              <w:t xml:space="preserve">third-tier </w:t>
            </w:r>
            <w:r w:rsidRPr="00150CD2">
              <w:rPr>
                <w:rFonts w:cs="Arial"/>
                <w:sz w:val="24"/>
              </w:rPr>
              <w:t>MSD support payments</w:t>
            </w:r>
            <w:r w:rsidR="001E5F4B" w:rsidRPr="00150CD2">
              <w:rPr>
                <w:rStyle w:val="FootnoteReference"/>
                <w:rFonts w:ascii="Arial" w:hAnsi="Arial" w:cs="Arial"/>
                <w:sz w:val="24"/>
                <w:szCs w:val="24"/>
              </w:rPr>
              <w:footnoteReference w:id="62"/>
            </w:r>
            <w:r w:rsidRPr="00150CD2">
              <w:rPr>
                <w:rFonts w:cs="Arial"/>
                <w:sz w:val="24"/>
              </w:rPr>
              <w:t xml:space="preserve"> during the 3 year period. This proportion was around 3</w:t>
            </w:r>
            <w:r w:rsidR="00CA4326" w:rsidRPr="00150CD2">
              <w:rPr>
                <w:rFonts w:cs="Arial"/>
                <w:sz w:val="24"/>
              </w:rPr>
              <w:t xml:space="preserve"> times </w:t>
            </w:r>
            <w:r w:rsidRPr="00150CD2">
              <w:rPr>
                <w:rFonts w:cs="Arial"/>
                <w:sz w:val="24"/>
              </w:rPr>
              <w:t>higher than for other non-DSS adults aged 65 and older.</w:t>
            </w:r>
            <w:r w:rsidRPr="00150CD2">
              <w:rPr>
                <w:rFonts w:cs="Arial"/>
                <w:sz w:val="24"/>
              </w:rPr>
              <w:br/>
              <w:t>Reflecting differences in the overall population aged 65 and older and for middle aged DSS adults, Māori, women, those with physical disabilities and low/medium SPA levels were more likely to draw on these sources of support.</w:t>
            </w:r>
          </w:p>
          <w:p w14:paraId="1A2D41A9" w14:textId="7844DAF2" w:rsidR="00310848" w:rsidRPr="00150CD2" w:rsidRDefault="00310848" w:rsidP="0039393C">
            <w:pPr>
              <w:pStyle w:val="EYTablebullet1"/>
              <w:rPr>
                <w:rFonts w:cs="Arial"/>
                <w:color w:val="2E2E38" w:themeColor="text1"/>
                <w:sz w:val="24"/>
              </w:rPr>
            </w:pPr>
            <w:r w:rsidRPr="00150CD2">
              <w:rPr>
                <w:rFonts w:cs="Arial"/>
                <w:color w:val="2E2E38" w:themeColor="text1"/>
                <w:sz w:val="24"/>
              </w:rPr>
              <w:t>9% of DSS adults aged 65 and over lived in social housing for some/all of the 3 year period, around 3</w:t>
            </w:r>
            <w:r w:rsidR="00CA4326" w:rsidRPr="00150CD2">
              <w:rPr>
                <w:rFonts w:cs="Arial"/>
                <w:color w:val="2E2E38" w:themeColor="text1"/>
                <w:sz w:val="24"/>
              </w:rPr>
              <w:t xml:space="preserve"> times </w:t>
            </w:r>
            <w:r w:rsidRPr="00150CD2">
              <w:rPr>
                <w:rFonts w:cs="Arial"/>
                <w:color w:val="2E2E38" w:themeColor="text1"/>
                <w:sz w:val="24"/>
              </w:rPr>
              <w:t xml:space="preserve">higher than the non-DSS adult population. People with a physical disability were several times as likely to be living in social housing as those with intellectual disability, and those with </w:t>
            </w:r>
            <w:r w:rsidR="00DF5F17" w:rsidRPr="00150CD2">
              <w:rPr>
                <w:rFonts w:cs="Arial"/>
                <w:color w:val="2E2E38" w:themeColor="text1"/>
                <w:sz w:val="24"/>
              </w:rPr>
              <w:t>high/very high SPA</w:t>
            </w:r>
            <w:r w:rsidRPr="00150CD2">
              <w:rPr>
                <w:rFonts w:cs="Arial"/>
                <w:color w:val="2E2E38" w:themeColor="text1"/>
                <w:sz w:val="24"/>
              </w:rPr>
              <w:t xml:space="preserve"> levels were also more likely to be in social housing.</w:t>
            </w:r>
          </w:p>
        </w:tc>
      </w:tr>
    </w:tbl>
    <w:p w14:paraId="457DFF0C" w14:textId="40E9A10E" w:rsidR="00310848" w:rsidRPr="00150CD2" w:rsidRDefault="00310848" w:rsidP="00E03375">
      <w:pPr>
        <w:pStyle w:val="EYAppendix"/>
        <w:numPr>
          <w:ilvl w:val="0"/>
          <w:numId w:val="0"/>
        </w:numPr>
        <w:rPr>
          <w:rFonts w:cs="Arial"/>
          <w:lang w:eastAsia="en-AU"/>
        </w:rPr>
        <w:sectPr w:rsidR="00310848" w:rsidRPr="00150CD2" w:rsidSect="00E03375">
          <w:footerReference w:type="default" r:id="rId34"/>
          <w:pgSz w:w="16834" w:h="11909" w:orient="landscape" w:code="9"/>
          <w:pgMar w:top="1440" w:right="1440" w:bottom="1440" w:left="1440" w:header="720" w:footer="720" w:gutter="0"/>
          <w:cols w:space="720"/>
          <w:docGrid w:linePitch="360"/>
        </w:sectPr>
      </w:pPr>
      <w:bookmarkStart w:id="208" w:name="_Ref33642439"/>
      <w:bookmarkStart w:id="209" w:name="_Ref33642467"/>
    </w:p>
    <w:p w14:paraId="273D33C3" w14:textId="31314C0E" w:rsidR="00037510" w:rsidRPr="00150CD2" w:rsidRDefault="00037510" w:rsidP="00037510">
      <w:pPr>
        <w:pStyle w:val="EYAppendix"/>
        <w:rPr>
          <w:rFonts w:cs="Arial"/>
        </w:rPr>
      </w:pPr>
      <w:bookmarkStart w:id="210" w:name="_Toc34052769"/>
      <w:bookmarkStart w:id="211" w:name="_Toc34054086"/>
      <w:bookmarkStart w:id="212" w:name="_Toc34055404"/>
      <w:bookmarkStart w:id="213" w:name="_Toc34056722"/>
      <w:bookmarkStart w:id="214" w:name="_Toc34077140"/>
      <w:bookmarkStart w:id="215" w:name="_Toc34091169"/>
      <w:bookmarkStart w:id="216" w:name="_Toc34095682"/>
      <w:bookmarkStart w:id="217" w:name="_Toc34052783"/>
      <w:bookmarkStart w:id="218" w:name="_Toc34054100"/>
      <w:bookmarkStart w:id="219" w:name="_Toc34055418"/>
      <w:bookmarkStart w:id="220" w:name="_Toc34056736"/>
      <w:bookmarkStart w:id="221" w:name="_Toc34077154"/>
      <w:bookmarkStart w:id="222" w:name="_Toc34091183"/>
      <w:bookmarkStart w:id="223" w:name="_Toc34095696"/>
      <w:bookmarkStart w:id="224" w:name="_Toc34052784"/>
      <w:bookmarkStart w:id="225" w:name="_Toc34054101"/>
      <w:bookmarkStart w:id="226" w:name="_Toc34055419"/>
      <w:bookmarkStart w:id="227" w:name="_Toc34056737"/>
      <w:bookmarkStart w:id="228" w:name="_Toc34077155"/>
      <w:bookmarkStart w:id="229" w:name="_Toc34091184"/>
      <w:bookmarkStart w:id="230" w:name="_Toc34095697"/>
      <w:bookmarkStart w:id="231" w:name="_Toc34052826"/>
      <w:bookmarkStart w:id="232" w:name="_Toc34054143"/>
      <w:bookmarkStart w:id="233" w:name="_Toc34055461"/>
      <w:bookmarkStart w:id="234" w:name="_Toc34056779"/>
      <w:bookmarkStart w:id="235" w:name="_Toc34077197"/>
      <w:bookmarkStart w:id="236" w:name="_Toc34091226"/>
      <w:bookmarkStart w:id="237" w:name="_Toc34095739"/>
      <w:bookmarkStart w:id="238" w:name="_Toc34052840"/>
      <w:bookmarkStart w:id="239" w:name="_Toc34054157"/>
      <w:bookmarkStart w:id="240" w:name="_Toc34055475"/>
      <w:bookmarkStart w:id="241" w:name="_Toc34056793"/>
      <w:bookmarkStart w:id="242" w:name="_Toc34077211"/>
      <w:bookmarkStart w:id="243" w:name="_Toc34091240"/>
      <w:bookmarkStart w:id="244" w:name="_Toc34095753"/>
      <w:bookmarkStart w:id="245" w:name="_Toc34052854"/>
      <w:bookmarkStart w:id="246" w:name="_Toc34054171"/>
      <w:bookmarkStart w:id="247" w:name="_Toc34055489"/>
      <w:bookmarkStart w:id="248" w:name="_Toc34056807"/>
      <w:bookmarkStart w:id="249" w:name="_Toc34077225"/>
      <w:bookmarkStart w:id="250" w:name="_Toc34091254"/>
      <w:bookmarkStart w:id="251" w:name="_Toc34095767"/>
      <w:bookmarkStart w:id="252" w:name="_Toc34052868"/>
      <w:bookmarkStart w:id="253" w:name="_Toc34054185"/>
      <w:bookmarkStart w:id="254" w:name="_Toc34055503"/>
      <w:bookmarkStart w:id="255" w:name="_Toc34056821"/>
      <w:bookmarkStart w:id="256" w:name="_Toc34077239"/>
      <w:bookmarkStart w:id="257" w:name="_Toc34091268"/>
      <w:bookmarkStart w:id="258" w:name="_Toc34095781"/>
      <w:bookmarkStart w:id="259" w:name="_Toc34052882"/>
      <w:bookmarkStart w:id="260" w:name="_Toc34054199"/>
      <w:bookmarkStart w:id="261" w:name="_Toc34055517"/>
      <w:bookmarkStart w:id="262" w:name="_Toc34056835"/>
      <w:bookmarkStart w:id="263" w:name="_Toc34077253"/>
      <w:bookmarkStart w:id="264" w:name="_Toc34091282"/>
      <w:bookmarkStart w:id="265" w:name="_Toc34095795"/>
      <w:bookmarkStart w:id="266" w:name="_Toc34052896"/>
      <w:bookmarkStart w:id="267" w:name="_Toc34054213"/>
      <w:bookmarkStart w:id="268" w:name="_Toc34055531"/>
      <w:bookmarkStart w:id="269" w:name="_Toc34056849"/>
      <w:bookmarkStart w:id="270" w:name="_Toc34077267"/>
      <w:bookmarkStart w:id="271" w:name="_Toc34091296"/>
      <w:bookmarkStart w:id="272" w:name="_Toc34095809"/>
      <w:bookmarkStart w:id="273" w:name="_Toc34052910"/>
      <w:bookmarkStart w:id="274" w:name="_Toc34054227"/>
      <w:bookmarkStart w:id="275" w:name="_Toc34055545"/>
      <w:bookmarkStart w:id="276" w:name="_Toc34056863"/>
      <w:bookmarkStart w:id="277" w:name="_Toc34077281"/>
      <w:bookmarkStart w:id="278" w:name="_Toc34091310"/>
      <w:bookmarkStart w:id="279" w:name="_Toc34095823"/>
      <w:bookmarkStart w:id="280" w:name="_Toc34052938"/>
      <w:bookmarkStart w:id="281" w:name="_Toc34054255"/>
      <w:bookmarkStart w:id="282" w:name="_Toc34055573"/>
      <w:bookmarkStart w:id="283" w:name="_Toc34056891"/>
      <w:bookmarkStart w:id="284" w:name="_Toc34077309"/>
      <w:bookmarkStart w:id="285" w:name="_Toc34091338"/>
      <w:bookmarkStart w:id="286" w:name="_Toc34095851"/>
      <w:bookmarkStart w:id="287" w:name="_Toc34052952"/>
      <w:bookmarkStart w:id="288" w:name="_Toc34054269"/>
      <w:bookmarkStart w:id="289" w:name="_Toc34055587"/>
      <w:bookmarkStart w:id="290" w:name="_Toc34056905"/>
      <w:bookmarkStart w:id="291" w:name="_Toc34077323"/>
      <w:bookmarkStart w:id="292" w:name="_Toc34091352"/>
      <w:bookmarkStart w:id="293" w:name="_Toc34095865"/>
      <w:bookmarkStart w:id="294" w:name="_Toc34052966"/>
      <w:bookmarkStart w:id="295" w:name="_Toc34054283"/>
      <w:bookmarkStart w:id="296" w:name="_Toc34055601"/>
      <w:bookmarkStart w:id="297" w:name="_Toc34056919"/>
      <w:bookmarkStart w:id="298" w:name="_Toc34077337"/>
      <w:bookmarkStart w:id="299" w:name="_Toc34091366"/>
      <w:bookmarkStart w:id="300" w:name="_Toc34095879"/>
      <w:bookmarkStart w:id="301" w:name="_Toc34052980"/>
      <w:bookmarkStart w:id="302" w:name="_Toc34054297"/>
      <w:bookmarkStart w:id="303" w:name="_Toc34055615"/>
      <w:bookmarkStart w:id="304" w:name="_Toc34056933"/>
      <w:bookmarkStart w:id="305" w:name="_Toc34077351"/>
      <w:bookmarkStart w:id="306" w:name="_Toc34091380"/>
      <w:bookmarkStart w:id="307" w:name="_Toc34095893"/>
      <w:bookmarkStart w:id="308" w:name="_Toc34052994"/>
      <w:bookmarkStart w:id="309" w:name="_Toc34054311"/>
      <w:bookmarkStart w:id="310" w:name="_Toc34055629"/>
      <w:bookmarkStart w:id="311" w:name="_Toc34056947"/>
      <w:bookmarkStart w:id="312" w:name="_Toc34077365"/>
      <w:bookmarkStart w:id="313" w:name="_Toc34091394"/>
      <w:bookmarkStart w:id="314" w:name="_Toc34095907"/>
      <w:bookmarkStart w:id="315" w:name="_Toc34053008"/>
      <w:bookmarkStart w:id="316" w:name="_Toc34054325"/>
      <w:bookmarkStart w:id="317" w:name="_Toc34055643"/>
      <w:bookmarkStart w:id="318" w:name="_Toc34056961"/>
      <w:bookmarkStart w:id="319" w:name="_Toc34077379"/>
      <w:bookmarkStart w:id="320" w:name="_Toc34091408"/>
      <w:bookmarkStart w:id="321" w:name="_Toc34095921"/>
      <w:bookmarkStart w:id="322" w:name="_Toc34053022"/>
      <w:bookmarkStart w:id="323" w:name="_Toc34054339"/>
      <w:bookmarkStart w:id="324" w:name="_Toc34055657"/>
      <w:bookmarkStart w:id="325" w:name="_Toc34056975"/>
      <w:bookmarkStart w:id="326" w:name="_Toc34077393"/>
      <w:bookmarkStart w:id="327" w:name="_Toc34091422"/>
      <w:bookmarkStart w:id="328" w:name="_Toc34095935"/>
      <w:bookmarkStart w:id="329" w:name="_Toc34053036"/>
      <w:bookmarkStart w:id="330" w:name="_Toc34054353"/>
      <w:bookmarkStart w:id="331" w:name="_Toc34055671"/>
      <w:bookmarkStart w:id="332" w:name="_Toc34056989"/>
      <w:bookmarkStart w:id="333" w:name="_Toc34077407"/>
      <w:bookmarkStart w:id="334" w:name="_Toc34091436"/>
      <w:bookmarkStart w:id="335" w:name="_Toc34095949"/>
      <w:bookmarkStart w:id="336" w:name="_Toc34053050"/>
      <w:bookmarkStart w:id="337" w:name="_Toc34054367"/>
      <w:bookmarkStart w:id="338" w:name="_Toc34055685"/>
      <w:bookmarkStart w:id="339" w:name="_Toc34057003"/>
      <w:bookmarkStart w:id="340" w:name="_Toc34077421"/>
      <w:bookmarkStart w:id="341" w:name="_Toc34091450"/>
      <w:bookmarkStart w:id="342" w:name="_Toc34095963"/>
      <w:bookmarkStart w:id="343" w:name="_Toc34053065"/>
      <w:bookmarkStart w:id="344" w:name="_Toc34054382"/>
      <w:bookmarkStart w:id="345" w:name="_Toc34055700"/>
      <w:bookmarkStart w:id="346" w:name="_Toc34057018"/>
      <w:bookmarkStart w:id="347" w:name="_Toc34077436"/>
      <w:bookmarkStart w:id="348" w:name="_Toc34091465"/>
      <w:bookmarkStart w:id="349" w:name="_Toc34095978"/>
      <w:bookmarkStart w:id="350" w:name="_Toc34053079"/>
      <w:bookmarkStart w:id="351" w:name="_Toc34054396"/>
      <w:bookmarkStart w:id="352" w:name="_Toc34055714"/>
      <w:bookmarkStart w:id="353" w:name="_Toc34057032"/>
      <w:bookmarkStart w:id="354" w:name="_Toc34077450"/>
      <w:bookmarkStart w:id="355" w:name="_Toc34091479"/>
      <w:bookmarkStart w:id="356" w:name="_Toc34095992"/>
      <w:bookmarkStart w:id="357" w:name="_Toc34053093"/>
      <w:bookmarkStart w:id="358" w:name="_Toc34054410"/>
      <w:bookmarkStart w:id="359" w:name="_Toc34055728"/>
      <w:bookmarkStart w:id="360" w:name="_Toc34057046"/>
      <w:bookmarkStart w:id="361" w:name="_Toc34077464"/>
      <w:bookmarkStart w:id="362" w:name="_Toc34091493"/>
      <w:bookmarkStart w:id="363" w:name="_Toc34096006"/>
      <w:bookmarkStart w:id="364" w:name="_Toc34053107"/>
      <w:bookmarkStart w:id="365" w:name="_Toc34054424"/>
      <w:bookmarkStart w:id="366" w:name="_Toc34055742"/>
      <w:bookmarkStart w:id="367" w:name="_Toc34057060"/>
      <w:bookmarkStart w:id="368" w:name="_Toc34077478"/>
      <w:bookmarkStart w:id="369" w:name="_Toc34091507"/>
      <w:bookmarkStart w:id="370" w:name="_Toc34096020"/>
      <w:bookmarkStart w:id="371" w:name="_Toc34053121"/>
      <w:bookmarkStart w:id="372" w:name="_Toc34054438"/>
      <w:bookmarkStart w:id="373" w:name="_Toc34055756"/>
      <w:bookmarkStart w:id="374" w:name="_Toc34057074"/>
      <w:bookmarkStart w:id="375" w:name="_Toc34077492"/>
      <w:bookmarkStart w:id="376" w:name="_Toc34091521"/>
      <w:bookmarkStart w:id="377" w:name="_Toc34096034"/>
      <w:bookmarkStart w:id="378" w:name="_Toc34053135"/>
      <w:bookmarkStart w:id="379" w:name="_Toc34054452"/>
      <w:bookmarkStart w:id="380" w:name="_Toc34055770"/>
      <w:bookmarkStart w:id="381" w:name="_Toc34057088"/>
      <w:bookmarkStart w:id="382" w:name="_Toc34077506"/>
      <w:bookmarkStart w:id="383" w:name="_Toc34091535"/>
      <w:bookmarkStart w:id="384" w:name="_Toc34096048"/>
      <w:bookmarkStart w:id="385" w:name="_Toc34053163"/>
      <w:bookmarkStart w:id="386" w:name="_Toc34054480"/>
      <w:bookmarkStart w:id="387" w:name="_Toc34055798"/>
      <w:bookmarkStart w:id="388" w:name="_Toc34057116"/>
      <w:bookmarkStart w:id="389" w:name="_Toc34077534"/>
      <w:bookmarkStart w:id="390" w:name="_Toc34091563"/>
      <w:bookmarkStart w:id="391" w:name="_Toc34096076"/>
      <w:bookmarkStart w:id="392" w:name="_Toc34053177"/>
      <w:bookmarkStart w:id="393" w:name="_Toc34054494"/>
      <w:bookmarkStart w:id="394" w:name="_Toc34055812"/>
      <w:bookmarkStart w:id="395" w:name="_Toc34057130"/>
      <w:bookmarkStart w:id="396" w:name="_Toc34077548"/>
      <w:bookmarkStart w:id="397" w:name="_Toc34091577"/>
      <w:bookmarkStart w:id="398" w:name="_Toc34096090"/>
      <w:bookmarkStart w:id="399" w:name="_Toc34053191"/>
      <w:bookmarkStart w:id="400" w:name="_Toc34054508"/>
      <w:bookmarkStart w:id="401" w:name="_Toc34055826"/>
      <w:bookmarkStart w:id="402" w:name="_Toc34057144"/>
      <w:bookmarkStart w:id="403" w:name="_Toc34077562"/>
      <w:bookmarkStart w:id="404" w:name="_Toc34091591"/>
      <w:bookmarkStart w:id="405" w:name="_Toc34096104"/>
      <w:bookmarkStart w:id="406" w:name="_Toc34053205"/>
      <w:bookmarkStart w:id="407" w:name="_Toc34054522"/>
      <w:bookmarkStart w:id="408" w:name="_Toc34055840"/>
      <w:bookmarkStart w:id="409" w:name="_Toc34057158"/>
      <w:bookmarkStart w:id="410" w:name="_Toc34077576"/>
      <w:bookmarkStart w:id="411" w:name="_Toc34091605"/>
      <w:bookmarkStart w:id="412" w:name="_Toc34096118"/>
      <w:bookmarkStart w:id="413" w:name="_Toc34053219"/>
      <w:bookmarkStart w:id="414" w:name="_Toc34054536"/>
      <w:bookmarkStart w:id="415" w:name="_Toc34055854"/>
      <w:bookmarkStart w:id="416" w:name="_Toc34057172"/>
      <w:bookmarkStart w:id="417" w:name="_Toc34077590"/>
      <w:bookmarkStart w:id="418" w:name="_Toc34091619"/>
      <w:bookmarkStart w:id="419" w:name="_Toc34096132"/>
      <w:bookmarkStart w:id="420" w:name="_Toc34053233"/>
      <w:bookmarkStart w:id="421" w:name="_Toc34054550"/>
      <w:bookmarkStart w:id="422" w:name="_Toc34055868"/>
      <w:bookmarkStart w:id="423" w:name="_Toc34057186"/>
      <w:bookmarkStart w:id="424" w:name="_Toc34077604"/>
      <w:bookmarkStart w:id="425" w:name="_Toc34091633"/>
      <w:bookmarkStart w:id="426" w:name="_Toc34096146"/>
      <w:bookmarkStart w:id="427" w:name="_Toc34053247"/>
      <w:bookmarkStart w:id="428" w:name="_Toc34054564"/>
      <w:bookmarkStart w:id="429" w:name="_Toc34055882"/>
      <w:bookmarkStart w:id="430" w:name="_Toc34057200"/>
      <w:bookmarkStart w:id="431" w:name="_Toc34077618"/>
      <w:bookmarkStart w:id="432" w:name="_Toc34091647"/>
      <w:bookmarkStart w:id="433" w:name="_Toc34096160"/>
      <w:bookmarkStart w:id="434" w:name="_Toc34053261"/>
      <w:bookmarkStart w:id="435" w:name="_Toc34054578"/>
      <w:bookmarkStart w:id="436" w:name="_Toc34055896"/>
      <w:bookmarkStart w:id="437" w:name="_Toc34057214"/>
      <w:bookmarkStart w:id="438" w:name="_Toc34077632"/>
      <w:bookmarkStart w:id="439" w:name="_Toc34091661"/>
      <w:bookmarkStart w:id="440" w:name="_Toc34096174"/>
      <w:bookmarkStart w:id="441" w:name="_Toc34053275"/>
      <w:bookmarkStart w:id="442" w:name="_Toc34054592"/>
      <w:bookmarkStart w:id="443" w:name="_Toc34055910"/>
      <w:bookmarkStart w:id="444" w:name="_Toc34057228"/>
      <w:bookmarkStart w:id="445" w:name="_Toc34077646"/>
      <w:bookmarkStart w:id="446" w:name="_Toc34091675"/>
      <w:bookmarkStart w:id="447" w:name="_Toc34096188"/>
      <w:bookmarkStart w:id="448" w:name="_Toc34053289"/>
      <w:bookmarkStart w:id="449" w:name="_Toc34054606"/>
      <w:bookmarkStart w:id="450" w:name="_Toc34055924"/>
      <w:bookmarkStart w:id="451" w:name="_Toc34057242"/>
      <w:bookmarkStart w:id="452" w:name="_Toc34077660"/>
      <w:bookmarkStart w:id="453" w:name="_Toc34091689"/>
      <w:bookmarkStart w:id="454" w:name="_Toc34096202"/>
      <w:bookmarkStart w:id="455" w:name="_Toc34053303"/>
      <w:bookmarkStart w:id="456" w:name="_Toc34054620"/>
      <w:bookmarkStart w:id="457" w:name="_Toc34055938"/>
      <w:bookmarkStart w:id="458" w:name="_Toc34057256"/>
      <w:bookmarkStart w:id="459" w:name="_Toc34077674"/>
      <w:bookmarkStart w:id="460" w:name="_Toc34091703"/>
      <w:bookmarkStart w:id="461" w:name="_Toc34096216"/>
      <w:bookmarkStart w:id="462" w:name="_Toc34053317"/>
      <w:bookmarkStart w:id="463" w:name="_Toc34054634"/>
      <w:bookmarkStart w:id="464" w:name="_Toc34055952"/>
      <w:bookmarkStart w:id="465" w:name="_Toc34057270"/>
      <w:bookmarkStart w:id="466" w:name="_Toc34077688"/>
      <w:bookmarkStart w:id="467" w:name="_Toc34091717"/>
      <w:bookmarkStart w:id="468" w:name="_Toc34096230"/>
      <w:bookmarkStart w:id="469" w:name="_Toc34053331"/>
      <w:bookmarkStart w:id="470" w:name="_Toc34054648"/>
      <w:bookmarkStart w:id="471" w:name="_Toc34055966"/>
      <w:bookmarkStart w:id="472" w:name="_Toc34057284"/>
      <w:bookmarkStart w:id="473" w:name="_Toc34077702"/>
      <w:bookmarkStart w:id="474" w:name="_Toc34091731"/>
      <w:bookmarkStart w:id="475" w:name="_Toc34096244"/>
      <w:bookmarkStart w:id="476" w:name="_Toc34053345"/>
      <w:bookmarkStart w:id="477" w:name="_Toc34054662"/>
      <w:bookmarkStart w:id="478" w:name="_Toc34055980"/>
      <w:bookmarkStart w:id="479" w:name="_Toc34057298"/>
      <w:bookmarkStart w:id="480" w:name="_Toc34077716"/>
      <w:bookmarkStart w:id="481" w:name="_Toc34091745"/>
      <w:bookmarkStart w:id="482" w:name="_Toc34096258"/>
      <w:bookmarkStart w:id="483" w:name="_Toc34053359"/>
      <w:bookmarkStart w:id="484" w:name="_Toc34054676"/>
      <w:bookmarkStart w:id="485" w:name="_Toc34055994"/>
      <w:bookmarkStart w:id="486" w:name="_Toc34057312"/>
      <w:bookmarkStart w:id="487" w:name="_Toc34077730"/>
      <w:bookmarkStart w:id="488" w:name="_Toc34091759"/>
      <w:bookmarkStart w:id="489" w:name="_Toc34096272"/>
      <w:bookmarkStart w:id="490" w:name="_Toc34053373"/>
      <w:bookmarkStart w:id="491" w:name="_Toc34054690"/>
      <w:bookmarkStart w:id="492" w:name="_Toc34056008"/>
      <w:bookmarkStart w:id="493" w:name="_Toc34057326"/>
      <w:bookmarkStart w:id="494" w:name="_Toc34077744"/>
      <w:bookmarkStart w:id="495" w:name="_Toc34091773"/>
      <w:bookmarkStart w:id="496" w:name="_Toc34096286"/>
      <w:bookmarkStart w:id="497" w:name="_Toc34053387"/>
      <w:bookmarkStart w:id="498" w:name="_Toc34054704"/>
      <w:bookmarkStart w:id="499" w:name="_Toc34056022"/>
      <w:bookmarkStart w:id="500" w:name="_Toc34057340"/>
      <w:bookmarkStart w:id="501" w:name="_Toc34077758"/>
      <w:bookmarkStart w:id="502" w:name="_Toc34091787"/>
      <w:bookmarkStart w:id="503" w:name="_Toc34096300"/>
      <w:bookmarkStart w:id="504" w:name="_Toc34053401"/>
      <w:bookmarkStart w:id="505" w:name="_Toc34054718"/>
      <w:bookmarkStart w:id="506" w:name="_Toc34056036"/>
      <w:bookmarkStart w:id="507" w:name="_Toc34057354"/>
      <w:bookmarkStart w:id="508" w:name="_Toc34077772"/>
      <w:bookmarkStart w:id="509" w:name="_Toc34091801"/>
      <w:bookmarkStart w:id="510" w:name="_Toc34096314"/>
      <w:bookmarkStart w:id="511" w:name="_Toc34053415"/>
      <w:bookmarkStart w:id="512" w:name="_Toc34054732"/>
      <w:bookmarkStart w:id="513" w:name="_Toc34056050"/>
      <w:bookmarkStart w:id="514" w:name="_Toc34057368"/>
      <w:bookmarkStart w:id="515" w:name="_Toc34077786"/>
      <w:bookmarkStart w:id="516" w:name="_Toc34091815"/>
      <w:bookmarkStart w:id="517" w:name="_Toc34096328"/>
      <w:bookmarkStart w:id="518" w:name="_Toc34053429"/>
      <w:bookmarkStart w:id="519" w:name="_Toc34054746"/>
      <w:bookmarkStart w:id="520" w:name="_Toc34056064"/>
      <w:bookmarkStart w:id="521" w:name="_Toc34057382"/>
      <w:bookmarkStart w:id="522" w:name="_Toc34077800"/>
      <w:bookmarkStart w:id="523" w:name="_Toc34091829"/>
      <w:bookmarkStart w:id="524" w:name="_Toc34096342"/>
      <w:bookmarkStart w:id="525" w:name="_Toc34053471"/>
      <w:bookmarkStart w:id="526" w:name="_Toc34054788"/>
      <w:bookmarkStart w:id="527" w:name="_Toc34056106"/>
      <w:bookmarkStart w:id="528" w:name="_Toc34057424"/>
      <w:bookmarkStart w:id="529" w:name="_Toc34077842"/>
      <w:bookmarkStart w:id="530" w:name="_Toc34091871"/>
      <w:bookmarkStart w:id="531" w:name="_Toc34096384"/>
      <w:bookmarkStart w:id="532" w:name="_Toc34053485"/>
      <w:bookmarkStart w:id="533" w:name="_Toc34054802"/>
      <w:bookmarkStart w:id="534" w:name="_Toc34056120"/>
      <w:bookmarkStart w:id="535" w:name="_Toc34057438"/>
      <w:bookmarkStart w:id="536" w:name="_Toc34077856"/>
      <w:bookmarkStart w:id="537" w:name="_Toc34091885"/>
      <w:bookmarkStart w:id="538" w:name="_Toc34096398"/>
      <w:bookmarkStart w:id="539" w:name="_Toc34053499"/>
      <w:bookmarkStart w:id="540" w:name="_Toc34054816"/>
      <w:bookmarkStart w:id="541" w:name="_Toc34056134"/>
      <w:bookmarkStart w:id="542" w:name="_Toc34057452"/>
      <w:bookmarkStart w:id="543" w:name="_Toc34077870"/>
      <w:bookmarkStart w:id="544" w:name="_Toc34091899"/>
      <w:bookmarkStart w:id="545" w:name="_Toc34096412"/>
      <w:bookmarkStart w:id="546" w:name="_Toc34053513"/>
      <w:bookmarkStart w:id="547" w:name="_Toc34054830"/>
      <w:bookmarkStart w:id="548" w:name="_Toc34056148"/>
      <w:bookmarkStart w:id="549" w:name="_Toc34057466"/>
      <w:bookmarkStart w:id="550" w:name="_Toc34077884"/>
      <w:bookmarkStart w:id="551" w:name="_Toc34091913"/>
      <w:bookmarkStart w:id="552" w:name="_Toc34096426"/>
      <w:bookmarkStart w:id="553" w:name="_Toc34053527"/>
      <w:bookmarkStart w:id="554" w:name="_Toc34054844"/>
      <w:bookmarkStart w:id="555" w:name="_Toc34056162"/>
      <w:bookmarkStart w:id="556" w:name="_Toc34057480"/>
      <w:bookmarkStart w:id="557" w:name="_Toc34077898"/>
      <w:bookmarkStart w:id="558" w:name="_Toc34091927"/>
      <w:bookmarkStart w:id="559" w:name="_Toc34096440"/>
      <w:bookmarkStart w:id="560" w:name="_Toc34053541"/>
      <w:bookmarkStart w:id="561" w:name="_Toc34054858"/>
      <w:bookmarkStart w:id="562" w:name="_Toc34056176"/>
      <w:bookmarkStart w:id="563" w:name="_Toc34057494"/>
      <w:bookmarkStart w:id="564" w:name="_Toc34077912"/>
      <w:bookmarkStart w:id="565" w:name="_Toc34091941"/>
      <w:bookmarkStart w:id="566" w:name="_Toc34096454"/>
      <w:bookmarkStart w:id="567" w:name="_Toc34053555"/>
      <w:bookmarkStart w:id="568" w:name="_Toc34054872"/>
      <w:bookmarkStart w:id="569" w:name="_Toc34056190"/>
      <w:bookmarkStart w:id="570" w:name="_Toc34057508"/>
      <w:bookmarkStart w:id="571" w:name="_Toc34077926"/>
      <w:bookmarkStart w:id="572" w:name="_Toc34091955"/>
      <w:bookmarkStart w:id="573" w:name="_Toc34096468"/>
      <w:bookmarkStart w:id="574" w:name="_Toc34053569"/>
      <w:bookmarkStart w:id="575" w:name="_Toc34054886"/>
      <w:bookmarkStart w:id="576" w:name="_Toc34056204"/>
      <w:bookmarkStart w:id="577" w:name="_Toc34057522"/>
      <w:bookmarkStart w:id="578" w:name="_Toc34077940"/>
      <w:bookmarkStart w:id="579" w:name="_Toc34091969"/>
      <w:bookmarkStart w:id="580" w:name="_Toc34096482"/>
      <w:bookmarkStart w:id="581" w:name="_Toc34053583"/>
      <w:bookmarkStart w:id="582" w:name="_Toc34054900"/>
      <w:bookmarkStart w:id="583" w:name="_Toc34056218"/>
      <w:bookmarkStart w:id="584" w:name="_Toc34057536"/>
      <w:bookmarkStart w:id="585" w:name="_Toc34077954"/>
      <w:bookmarkStart w:id="586" w:name="_Toc34091983"/>
      <w:bookmarkStart w:id="587" w:name="_Toc34096496"/>
      <w:bookmarkStart w:id="588" w:name="_Toc34053597"/>
      <w:bookmarkStart w:id="589" w:name="_Toc34054914"/>
      <w:bookmarkStart w:id="590" w:name="_Toc34056232"/>
      <w:bookmarkStart w:id="591" w:name="_Toc34057550"/>
      <w:bookmarkStart w:id="592" w:name="_Toc34077968"/>
      <w:bookmarkStart w:id="593" w:name="_Toc34091997"/>
      <w:bookmarkStart w:id="594" w:name="_Toc34096510"/>
      <w:bookmarkStart w:id="595" w:name="_Toc34053625"/>
      <w:bookmarkStart w:id="596" w:name="_Toc34054942"/>
      <w:bookmarkStart w:id="597" w:name="_Toc34056260"/>
      <w:bookmarkStart w:id="598" w:name="_Toc34057578"/>
      <w:bookmarkStart w:id="599" w:name="_Toc34077996"/>
      <w:bookmarkStart w:id="600" w:name="_Toc34092025"/>
      <w:bookmarkStart w:id="601" w:name="_Toc34096538"/>
      <w:bookmarkStart w:id="602" w:name="_Toc34053639"/>
      <w:bookmarkStart w:id="603" w:name="_Toc34054956"/>
      <w:bookmarkStart w:id="604" w:name="_Toc34056274"/>
      <w:bookmarkStart w:id="605" w:name="_Toc34057592"/>
      <w:bookmarkStart w:id="606" w:name="_Toc34078010"/>
      <w:bookmarkStart w:id="607" w:name="_Toc34092039"/>
      <w:bookmarkStart w:id="608" w:name="_Toc34096552"/>
      <w:bookmarkStart w:id="609" w:name="_Toc34053653"/>
      <w:bookmarkStart w:id="610" w:name="_Toc34054970"/>
      <w:bookmarkStart w:id="611" w:name="_Toc34056288"/>
      <w:bookmarkStart w:id="612" w:name="_Toc34057606"/>
      <w:bookmarkStart w:id="613" w:name="_Toc34078024"/>
      <w:bookmarkStart w:id="614" w:name="_Toc34092053"/>
      <w:bookmarkStart w:id="615" w:name="_Toc34096566"/>
      <w:bookmarkStart w:id="616" w:name="_Toc34053667"/>
      <w:bookmarkStart w:id="617" w:name="_Toc34054984"/>
      <w:bookmarkStart w:id="618" w:name="_Toc34056302"/>
      <w:bookmarkStart w:id="619" w:name="_Toc34057620"/>
      <w:bookmarkStart w:id="620" w:name="_Toc34078038"/>
      <w:bookmarkStart w:id="621" w:name="_Toc34092067"/>
      <w:bookmarkStart w:id="622" w:name="_Toc34096580"/>
      <w:bookmarkStart w:id="623" w:name="_Toc34053681"/>
      <w:bookmarkStart w:id="624" w:name="_Toc34054998"/>
      <w:bookmarkStart w:id="625" w:name="_Toc34056316"/>
      <w:bookmarkStart w:id="626" w:name="_Toc34057634"/>
      <w:bookmarkStart w:id="627" w:name="_Toc34078052"/>
      <w:bookmarkStart w:id="628" w:name="_Toc34092081"/>
      <w:bookmarkStart w:id="629" w:name="_Toc34096594"/>
      <w:bookmarkStart w:id="630" w:name="_Toc34053695"/>
      <w:bookmarkStart w:id="631" w:name="_Toc34055012"/>
      <w:bookmarkStart w:id="632" w:name="_Toc34056330"/>
      <w:bookmarkStart w:id="633" w:name="_Toc34057648"/>
      <w:bookmarkStart w:id="634" w:name="_Toc34078066"/>
      <w:bookmarkStart w:id="635" w:name="_Toc34092095"/>
      <w:bookmarkStart w:id="636" w:name="_Toc34096608"/>
      <w:bookmarkStart w:id="637" w:name="_Toc34053709"/>
      <w:bookmarkStart w:id="638" w:name="_Toc34055026"/>
      <w:bookmarkStart w:id="639" w:name="_Toc34056344"/>
      <w:bookmarkStart w:id="640" w:name="_Toc34057662"/>
      <w:bookmarkStart w:id="641" w:name="_Toc34078080"/>
      <w:bookmarkStart w:id="642" w:name="_Toc34092109"/>
      <w:bookmarkStart w:id="643" w:name="_Toc34096622"/>
      <w:bookmarkStart w:id="644" w:name="_Toc34053723"/>
      <w:bookmarkStart w:id="645" w:name="_Toc34055040"/>
      <w:bookmarkStart w:id="646" w:name="_Toc34056358"/>
      <w:bookmarkStart w:id="647" w:name="_Toc34057676"/>
      <w:bookmarkStart w:id="648" w:name="_Toc34078094"/>
      <w:bookmarkStart w:id="649" w:name="_Toc34092123"/>
      <w:bookmarkStart w:id="650" w:name="_Toc34096636"/>
      <w:bookmarkStart w:id="651" w:name="_Toc34053737"/>
      <w:bookmarkStart w:id="652" w:name="_Toc34055054"/>
      <w:bookmarkStart w:id="653" w:name="_Toc34056372"/>
      <w:bookmarkStart w:id="654" w:name="_Toc34057690"/>
      <w:bookmarkStart w:id="655" w:name="_Toc34078108"/>
      <w:bookmarkStart w:id="656" w:name="_Toc34092137"/>
      <w:bookmarkStart w:id="657" w:name="_Toc34096650"/>
      <w:bookmarkStart w:id="658" w:name="_Toc34053751"/>
      <w:bookmarkStart w:id="659" w:name="_Toc34055068"/>
      <w:bookmarkStart w:id="660" w:name="_Toc34056386"/>
      <w:bookmarkStart w:id="661" w:name="_Toc34057704"/>
      <w:bookmarkStart w:id="662" w:name="_Toc34078122"/>
      <w:bookmarkStart w:id="663" w:name="_Toc34092151"/>
      <w:bookmarkStart w:id="664" w:name="_Toc34096664"/>
      <w:bookmarkStart w:id="665" w:name="_Toc34053765"/>
      <w:bookmarkStart w:id="666" w:name="_Toc34055082"/>
      <w:bookmarkStart w:id="667" w:name="_Toc34056400"/>
      <w:bookmarkStart w:id="668" w:name="_Toc34057718"/>
      <w:bookmarkStart w:id="669" w:name="_Toc34078136"/>
      <w:bookmarkStart w:id="670" w:name="_Toc34092165"/>
      <w:bookmarkStart w:id="671" w:name="_Toc34096678"/>
      <w:bookmarkStart w:id="672" w:name="_Toc34053779"/>
      <w:bookmarkStart w:id="673" w:name="_Toc34055096"/>
      <w:bookmarkStart w:id="674" w:name="_Toc34056414"/>
      <w:bookmarkStart w:id="675" w:name="_Toc34057732"/>
      <w:bookmarkStart w:id="676" w:name="_Toc34078150"/>
      <w:bookmarkStart w:id="677" w:name="_Toc34092179"/>
      <w:bookmarkStart w:id="678" w:name="_Toc34096692"/>
      <w:bookmarkStart w:id="679" w:name="_Toc34053793"/>
      <w:bookmarkStart w:id="680" w:name="_Toc34055110"/>
      <w:bookmarkStart w:id="681" w:name="_Toc34056428"/>
      <w:bookmarkStart w:id="682" w:name="_Toc34057746"/>
      <w:bookmarkStart w:id="683" w:name="_Toc34078164"/>
      <w:bookmarkStart w:id="684" w:name="_Toc34092193"/>
      <w:bookmarkStart w:id="685" w:name="_Toc34096706"/>
      <w:bookmarkStart w:id="686" w:name="_Toc34053821"/>
      <w:bookmarkStart w:id="687" w:name="_Toc34055138"/>
      <w:bookmarkStart w:id="688" w:name="_Toc34056456"/>
      <w:bookmarkStart w:id="689" w:name="_Toc34057774"/>
      <w:bookmarkStart w:id="690" w:name="_Toc34078192"/>
      <w:bookmarkStart w:id="691" w:name="_Toc34092221"/>
      <w:bookmarkStart w:id="692" w:name="_Toc34096734"/>
      <w:bookmarkStart w:id="693" w:name="_Toc34053835"/>
      <w:bookmarkStart w:id="694" w:name="_Toc34055152"/>
      <w:bookmarkStart w:id="695" w:name="_Toc34056470"/>
      <w:bookmarkStart w:id="696" w:name="_Toc34057788"/>
      <w:bookmarkStart w:id="697" w:name="_Toc34078206"/>
      <w:bookmarkStart w:id="698" w:name="_Toc34092235"/>
      <w:bookmarkStart w:id="699" w:name="_Toc34096748"/>
      <w:bookmarkStart w:id="700" w:name="_Toc34053849"/>
      <w:bookmarkStart w:id="701" w:name="_Toc34055166"/>
      <w:bookmarkStart w:id="702" w:name="_Toc34056484"/>
      <w:bookmarkStart w:id="703" w:name="_Toc34057802"/>
      <w:bookmarkStart w:id="704" w:name="_Toc34078220"/>
      <w:bookmarkStart w:id="705" w:name="_Toc34092249"/>
      <w:bookmarkStart w:id="706" w:name="_Toc34096762"/>
      <w:bookmarkStart w:id="707" w:name="_Toc34053863"/>
      <w:bookmarkStart w:id="708" w:name="_Toc34055180"/>
      <w:bookmarkStart w:id="709" w:name="_Toc34056498"/>
      <w:bookmarkStart w:id="710" w:name="_Toc34057816"/>
      <w:bookmarkStart w:id="711" w:name="_Toc34078234"/>
      <w:bookmarkStart w:id="712" w:name="_Toc34092263"/>
      <w:bookmarkStart w:id="713" w:name="_Toc34096776"/>
      <w:bookmarkStart w:id="714" w:name="_Toc34053877"/>
      <w:bookmarkStart w:id="715" w:name="_Toc34055194"/>
      <w:bookmarkStart w:id="716" w:name="_Toc34056512"/>
      <w:bookmarkStart w:id="717" w:name="_Toc34057830"/>
      <w:bookmarkStart w:id="718" w:name="_Toc34078248"/>
      <w:bookmarkStart w:id="719" w:name="_Toc34092277"/>
      <w:bookmarkStart w:id="720" w:name="_Toc34096790"/>
      <w:bookmarkStart w:id="721" w:name="_Toc34053891"/>
      <w:bookmarkStart w:id="722" w:name="_Toc34055208"/>
      <w:bookmarkStart w:id="723" w:name="_Toc34056526"/>
      <w:bookmarkStart w:id="724" w:name="_Toc34057844"/>
      <w:bookmarkStart w:id="725" w:name="_Toc34078262"/>
      <w:bookmarkStart w:id="726" w:name="_Toc34092291"/>
      <w:bookmarkStart w:id="727" w:name="_Toc34096804"/>
      <w:bookmarkStart w:id="728" w:name="_Toc34053905"/>
      <w:bookmarkStart w:id="729" w:name="_Toc34055222"/>
      <w:bookmarkStart w:id="730" w:name="_Toc34056540"/>
      <w:bookmarkStart w:id="731" w:name="_Toc34057858"/>
      <w:bookmarkStart w:id="732" w:name="_Toc34078276"/>
      <w:bookmarkStart w:id="733" w:name="_Toc34092305"/>
      <w:bookmarkStart w:id="734" w:name="_Toc34096818"/>
      <w:bookmarkStart w:id="735" w:name="_Toc34053933"/>
      <w:bookmarkStart w:id="736" w:name="_Toc34055250"/>
      <w:bookmarkStart w:id="737" w:name="_Toc34056568"/>
      <w:bookmarkStart w:id="738" w:name="_Toc34057886"/>
      <w:bookmarkStart w:id="739" w:name="_Toc34078304"/>
      <w:bookmarkStart w:id="740" w:name="_Toc34092333"/>
      <w:bookmarkStart w:id="741" w:name="_Toc34096846"/>
      <w:bookmarkStart w:id="742" w:name="_Toc34053947"/>
      <w:bookmarkStart w:id="743" w:name="_Toc34055264"/>
      <w:bookmarkStart w:id="744" w:name="_Toc34056582"/>
      <w:bookmarkStart w:id="745" w:name="_Toc34057900"/>
      <w:bookmarkStart w:id="746" w:name="_Toc34078318"/>
      <w:bookmarkStart w:id="747" w:name="_Toc34092347"/>
      <w:bookmarkStart w:id="748" w:name="_Toc34096860"/>
      <w:bookmarkStart w:id="749" w:name="_Toc34053961"/>
      <w:bookmarkStart w:id="750" w:name="_Toc34055278"/>
      <w:bookmarkStart w:id="751" w:name="_Toc34056596"/>
      <w:bookmarkStart w:id="752" w:name="_Toc34057914"/>
      <w:bookmarkStart w:id="753" w:name="_Toc34078332"/>
      <w:bookmarkStart w:id="754" w:name="_Toc34092361"/>
      <w:bookmarkStart w:id="755" w:name="_Toc34096874"/>
      <w:bookmarkStart w:id="756" w:name="_Toc34053975"/>
      <w:bookmarkStart w:id="757" w:name="_Toc34055292"/>
      <w:bookmarkStart w:id="758" w:name="_Toc34056610"/>
      <w:bookmarkStart w:id="759" w:name="_Toc34057928"/>
      <w:bookmarkStart w:id="760" w:name="_Toc34078346"/>
      <w:bookmarkStart w:id="761" w:name="_Toc34092375"/>
      <w:bookmarkStart w:id="762" w:name="_Toc34096888"/>
      <w:bookmarkStart w:id="763" w:name="_Toc34053989"/>
      <w:bookmarkStart w:id="764" w:name="_Toc34055306"/>
      <w:bookmarkStart w:id="765" w:name="_Toc34056624"/>
      <w:bookmarkStart w:id="766" w:name="_Toc34057942"/>
      <w:bookmarkStart w:id="767" w:name="_Toc34078360"/>
      <w:bookmarkStart w:id="768" w:name="_Toc34092389"/>
      <w:bookmarkStart w:id="769" w:name="_Toc34096902"/>
      <w:bookmarkStart w:id="770" w:name="_Toc34054003"/>
      <w:bookmarkStart w:id="771" w:name="_Toc34055320"/>
      <w:bookmarkStart w:id="772" w:name="_Toc34056638"/>
      <w:bookmarkStart w:id="773" w:name="_Toc34057956"/>
      <w:bookmarkStart w:id="774" w:name="_Toc34078374"/>
      <w:bookmarkStart w:id="775" w:name="_Toc34092403"/>
      <w:bookmarkStart w:id="776" w:name="_Toc34096916"/>
      <w:bookmarkStart w:id="777" w:name="_Toc34054017"/>
      <w:bookmarkStart w:id="778" w:name="_Toc34055334"/>
      <w:bookmarkStart w:id="779" w:name="_Toc34056652"/>
      <w:bookmarkStart w:id="780" w:name="_Toc34057970"/>
      <w:bookmarkStart w:id="781" w:name="_Toc34078388"/>
      <w:bookmarkStart w:id="782" w:name="_Toc34092417"/>
      <w:bookmarkStart w:id="783" w:name="_Toc34096930"/>
      <w:bookmarkStart w:id="784" w:name="_Toc34054031"/>
      <w:bookmarkStart w:id="785" w:name="_Toc34055348"/>
      <w:bookmarkStart w:id="786" w:name="_Toc34056666"/>
      <w:bookmarkStart w:id="787" w:name="_Toc34057984"/>
      <w:bookmarkStart w:id="788" w:name="_Toc34078402"/>
      <w:bookmarkStart w:id="789" w:name="_Toc34092431"/>
      <w:bookmarkStart w:id="790" w:name="_Toc34096944"/>
      <w:bookmarkStart w:id="791" w:name="_Ref26661715"/>
      <w:bookmarkStart w:id="792" w:name="_Ref31186848"/>
      <w:bookmarkStart w:id="793" w:name="_Toc46365159"/>
      <w:bookmarkStart w:id="794" w:name="_Toc4875237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150CD2">
        <w:rPr>
          <w:rFonts w:cs="Arial"/>
        </w:rPr>
        <w:t>Detailed findings from feasibility assessment</w:t>
      </w:r>
      <w:bookmarkEnd w:id="791"/>
      <w:bookmarkEnd w:id="792"/>
      <w:bookmarkEnd w:id="793"/>
      <w:bookmarkEnd w:id="794"/>
    </w:p>
    <w:p w14:paraId="339E269A" w14:textId="4F02DB85" w:rsidR="00037510" w:rsidRPr="00150CD2" w:rsidRDefault="003038D2" w:rsidP="0096396A">
      <w:pPr>
        <w:pStyle w:val="EYBodytextwithparaspace"/>
        <w:rPr>
          <w:rFonts w:cs="Arial"/>
        </w:rPr>
      </w:pPr>
      <w:r w:rsidRPr="00150CD2">
        <w:rPr>
          <w:rFonts w:cs="Arial"/>
        </w:rPr>
        <w:t xml:space="preserve">A separate document containing </w:t>
      </w:r>
      <w:r w:rsidR="0096396A" w:rsidRPr="00150CD2">
        <w:rPr>
          <w:rFonts w:cs="Arial"/>
        </w:rPr>
        <w:t xml:space="preserve">detailed findings from the feasibility assessment is </w:t>
      </w:r>
      <w:r w:rsidR="00A4017B" w:rsidRPr="00150CD2">
        <w:rPr>
          <w:rFonts w:cs="Arial"/>
        </w:rPr>
        <w:t>available on request</w:t>
      </w:r>
      <w:r w:rsidR="0096396A" w:rsidRPr="00150CD2">
        <w:rPr>
          <w:rFonts w:cs="Arial"/>
        </w:rPr>
        <w:t>.</w:t>
      </w:r>
    </w:p>
    <w:p w14:paraId="478FF54A" w14:textId="78C2007B" w:rsidR="00A4017B" w:rsidRPr="00150CD2" w:rsidRDefault="00A4017B" w:rsidP="00D1176D">
      <w:pPr>
        <w:pStyle w:val="EYBodytextwithparaspace"/>
        <w:rPr>
          <w:rFonts w:cs="Arial"/>
        </w:rPr>
      </w:pPr>
    </w:p>
    <w:p w14:paraId="45995E67" w14:textId="23563BD7" w:rsidR="00A4017B" w:rsidRPr="00150CD2" w:rsidRDefault="00A4017B" w:rsidP="00A4017B">
      <w:pPr>
        <w:pStyle w:val="EYAppendix"/>
        <w:rPr>
          <w:rFonts w:cs="Arial"/>
        </w:rPr>
      </w:pPr>
      <w:bookmarkStart w:id="795" w:name="_Toc46365160"/>
      <w:bookmarkStart w:id="796" w:name="_Toc48752378"/>
      <w:r w:rsidRPr="00150CD2">
        <w:rPr>
          <w:rFonts w:cs="Arial"/>
        </w:rPr>
        <w:t>Detailed observations from administrative datasets</w:t>
      </w:r>
      <w:bookmarkEnd w:id="795"/>
      <w:bookmarkEnd w:id="796"/>
    </w:p>
    <w:p w14:paraId="553BBDCE" w14:textId="1EFDC229" w:rsidR="00037510" w:rsidRPr="00150CD2" w:rsidRDefault="0096396A" w:rsidP="0096396A">
      <w:pPr>
        <w:pStyle w:val="EYBodytextwithparaspace"/>
        <w:rPr>
          <w:rFonts w:cs="Arial"/>
        </w:rPr>
      </w:pPr>
      <w:r w:rsidRPr="00150CD2">
        <w:rPr>
          <w:rFonts w:cs="Arial"/>
        </w:rPr>
        <w:t>A separate document containing detailed summary statistics is available on request.</w:t>
      </w:r>
    </w:p>
    <w:p w14:paraId="50FDCC94" w14:textId="77777777" w:rsidR="00037510" w:rsidRPr="00150CD2" w:rsidRDefault="00037510" w:rsidP="00360701">
      <w:pPr>
        <w:pStyle w:val="EYBodytextwithoutparaspace"/>
        <w:rPr>
          <w:rFonts w:cs="Arial"/>
        </w:rPr>
      </w:pPr>
    </w:p>
    <w:p w14:paraId="4F61EF3D" w14:textId="77777777" w:rsidR="00853AEC" w:rsidRPr="00150CD2" w:rsidRDefault="0071275C" w:rsidP="0071275C">
      <w:pPr>
        <w:pStyle w:val="Caption"/>
        <w:rPr>
          <w:rFonts w:cs="Arial"/>
        </w:rPr>
        <w:sectPr w:rsidR="00853AEC" w:rsidRPr="00150CD2" w:rsidSect="004579B3">
          <w:footerReference w:type="default" r:id="rId35"/>
          <w:pgSz w:w="11909" w:h="16834" w:code="9"/>
          <w:pgMar w:top="1440" w:right="1440" w:bottom="1440" w:left="1440" w:header="720" w:footer="720" w:gutter="0"/>
          <w:cols w:space="720"/>
          <w:docGrid w:linePitch="360"/>
        </w:sectPr>
      </w:pPr>
      <w:r w:rsidRPr="00150CD2">
        <w:rPr>
          <w:rFonts w:cs="Arial"/>
        </w:rPr>
        <w:t> </w:t>
      </w:r>
    </w:p>
    <w:p w14:paraId="7B23E7B3" w14:textId="77777777" w:rsidR="003D1199" w:rsidRPr="00150CD2" w:rsidRDefault="00A6748C" w:rsidP="00986BBE">
      <w:pPr>
        <w:rPr>
          <w:rFonts w:cs="Arial"/>
        </w:rPr>
      </w:pPr>
      <w:r w:rsidRPr="00150CD2">
        <w:rPr>
          <w:rFonts w:cs="Arial"/>
          <w:noProof/>
          <w:lang w:eastAsia="en-AU"/>
        </w:rPr>
        <mc:AlternateContent>
          <mc:Choice Requires="wps">
            <w:drawing>
              <wp:anchor distT="0" distB="0" distL="114300" distR="114300" simplePos="0" relativeHeight="251660288" behindDoc="0" locked="0" layoutInCell="1" allowOverlap="1" wp14:anchorId="4B96470D" wp14:editId="67DDCFEC">
                <wp:simplePos x="0" y="0"/>
                <wp:positionH relativeFrom="column">
                  <wp:posOffset>-901966</wp:posOffset>
                </wp:positionH>
                <wp:positionV relativeFrom="paragraph">
                  <wp:posOffset>-912598</wp:posOffset>
                </wp:positionV>
                <wp:extent cx="4622400" cy="5086800"/>
                <wp:effectExtent l="0" t="0" r="0" b="0"/>
                <wp:wrapNone/>
                <wp:docPr id="2"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50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73374" w14:textId="77777777" w:rsidR="002D52CF" w:rsidRPr="00495497" w:rsidRDefault="002D52CF" w:rsidP="007220A3">
                            <w:r w:rsidRPr="00940054">
                              <w:rPr>
                                <w:b/>
                              </w:rPr>
                              <w:t>EY</w:t>
                            </w:r>
                            <w:r w:rsidRPr="00495497">
                              <w:t xml:space="preserve"> </w:t>
                            </w:r>
                            <w:r w:rsidRPr="00DE24BB">
                              <w:t>| Assurance | Tax | Transactions | Advisory</w:t>
                            </w:r>
                          </w:p>
                          <w:p w14:paraId="7B3DD449" w14:textId="77777777" w:rsidR="002D52CF" w:rsidRPr="00495497" w:rsidRDefault="002D52CF" w:rsidP="007220A3"/>
                          <w:p w14:paraId="0E05EAFC" w14:textId="77777777" w:rsidR="002D52CF" w:rsidRPr="00940054" w:rsidRDefault="002D52CF" w:rsidP="007220A3">
                            <w:r w:rsidRPr="00940054">
                              <w:t>About EY</w:t>
                            </w:r>
                          </w:p>
                          <w:p w14:paraId="14147FC5" w14:textId="77777777" w:rsidR="002D52CF" w:rsidRPr="00940054" w:rsidRDefault="002D52CF" w:rsidP="007220A3">
                            <w:pPr>
                              <w:spacing w:after="105"/>
                              <w:rPr>
                                <w:rFonts w:cs="Arial"/>
                                <w:sz w:val="16"/>
                              </w:rPr>
                            </w:pPr>
                            <w:r w:rsidRPr="00940054">
                              <w:rPr>
                                <w:rFonts w:cs="Arial"/>
                                <w:sz w:val="16"/>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14:paraId="71766136" w14:textId="77777777" w:rsidR="002D52CF" w:rsidRPr="00940054" w:rsidRDefault="002D52CF" w:rsidP="007220A3">
                            <w:pPr>
                              <w:spacing w:after="105"/>
                              <w:rPr>
                                <w:rFonts w:cs="Arial"/>
                                <w:sz w:val="16"/>
                              </w:rPr>
                            </w:pPr>
                            <w:r w:rsidRPr="00940054">
                              <w:rPr>
                                <w:rFonts w:cs="Arial"/>
                                <w:sz w:val="16"/>
                              </w:rPr>
                              <w:t>EY refers to the global organisation and may refer to one or more of the member firms of Ernst &amp; Young Global Limited, each of which is a separate legal entity. Ernst &amp; Young Global Limited, a UK company limited by guarantee, does not provide services to clients. For more information about our organisation, please visit ey.com.</w:t>
                            </w:r>
                          </w:p>
                          <w:p w14:paraId="657C3ABE" w14:textId="77777777" w:rsidR="002D52CF" w:rsidRDefault="002D52CF" w:rsidP="007220A3">
                            <w:pPr>
                              <w:rPr>
                                <w:rFonts w:cs="Arial"/>
                                <w:color w:val="2E2E38" w:themeColor="text1"/>
                                <w:sz w:val="16"/>
                                <w:szCs w:val="16"/>
                              </w:rPr>
                            </w:pPr>
                          </w:p>
                          <w:p w14:paraId="69E67B0A" w14:textId="5FE7DE50" w:rsidR="002D52CF" w:rsidRDefault="002D52CF" w:rsidP="007220A3">
                            <w:pPr>
                              <w:rPr>
                                <w:rFonts w:cs="Arial"/>
                                <w:color w:val="2E2E38" w:themeColor="text1"/>
                                <w:sz w:val="16"/>
                                <w:szCs w:val="16"/>
                              </w:rPr>
                            </w:pPr>
                            <w:r w:rsidRPr="006E1CDB">
                              <w:rPr>
                                <w:rFonts w:cs="Arial"/>
                                <w:color w:val="2E2E38" w:themeColor="text1"/>
                                <w:sz w:val="16"/>
                                <w:szCs w:val="16"/>
                              </w:rPr>
                              <w:t>© 20</w:t>
                            </w:r>
                            <w:r>
                              <w:rPr>
                                <w:rFonts w:cs="Arial"/>
                                <w:color w:val="2E2E38" w:themeColor="text1"/>
                                <w:sz w:val="16"/>
                                <w:szCs w:val="16"/>
                              </w:rPr>
                              <w:t>20 Ernst &amp; Young, New Zealand.</w:t>
                            </w:r>
                          </w:p>
                          <w:p w14:paraId="4A0B1DAD" w14:textId="77777777" w:rsidR="002D52CF" w:rsidRDefault="002D52CF" w:rsidP="007220A3">
                            <w:pPr>
                              <w:rPr>
                                <w:rFonts w:cs="Arial"/>
                                <w:color w:val="2E2E38" w:themeColor="text1"/>
                                <w:sz w:val="16"/>
                                <w:szCs w:val="16"/>
                              </w:rPr>
                            </w:pPr>
                            <w:r>
                              <w:rPr>
                                <w:rFonts w:cs="Arial"/>
                                <w:color w:val="2E2E38" w:themeColor="text1"/>
                                <w:sz w:val="16"/>
                                <w:szCs w:val="16"/>
                              </w:rPr>
                              <w:t>All Rights Reserved.</w:t>
                            </w:r>
                          </w:p>
                          <w:p w14:paraId="277E5708" w14:textId="77777777" w:rsidR="002D52CF" w:rsidRDefault="002D52CF" w:rsidP="007220A3">
                            <w:pPr>
                              <w:rPr>
                                <w:rFonts w:cs="Arial"/>
                                <w:color w:val="2E2E38" w:themeColor="text1"/>
                                <w:sz w:val="16"/>
                                <w:szCs w:val="16"/>
                              </w:rPr>
                            </w:pPr>
                          </w:p>
                          <w:p w14:paraId="34DD97F0" w14:textId="77777777" w:rsidR="002D52CF" w:rsidRDefault="002D52CF" w:rsidP="007220A3">
                            <w:pPr>
                              <w:rPr>
                                <w:rFonts w:cs="Arial"/>
                                <w:color w:val="2E2E38" w:themeColor="text1"/>
                                <w:sz w:val="16"/>
                                <w:szCs w:val="16"/>
                              </w:rPr>
                            </w:pPr>
                          </w:p>
                          <w:p w14:paraId="634D6ED5" w14:textId="7B2CFDE8" w:rsidR="002D52CF" w:rsidRPr="00B22C43" w:rsidRDefault="002D52CF" w:rsidP="00A6748C">
                            <w:r w:rsidRPr="00940054">
                              <w:t>ey.com</w:t>
                            </w:r>
                          </w:p>
                        </w:txbxContent>
                      </wps:txbx>
                      <wps:bodyPr rot="0" vert="horz" wrap="square" lIns="685800" tIns="685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6470D" id="Text Box 5" o:spid="_x0000_s1028" type="#_x0000_t202" style="position:absolute;margin-left:-71pt;margin-top:-71.85pt;width:363.95pt;height:4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" filled="f" stroked="f">
                <v:textbox inset="54pt,54pt">
                  <w:txbxContent>
                    <w:p w14:paraId="5CB73374" w14:textId="77777777" w:rsidR="002D52CF" w:rsidRPr="00495497" w:rsidRDefault="002D52CF" w:rsidP="007220A3">
                      <w:r w:rsidRPr="00940054">
                        <w:rPr>
                          <w:b/>
                        </w:rPr>
                        <w:t>EY</w:t>
                      </w:r>
                      <w:r w:rsidRPr="00495497">
                        <w:t xml:space="preserve"> </w:t>
                      </w:r>
                      <w:r w:rsidRPr="00DE24BB">
                        <w:t>| Assurance | Tax | Transactions | Advisory</w:t>
                      </w:r>
                    </w:p>
                    <w:p w14:paraId="7B3DD449" w14:textId="77777777" w:rsidR="002D52CF" w:rsidRPr="00495497" w:rsidRDefault="002D52CF" w:rsidP="007220A3"/>
                    <w:p w14:paraId="0E05EAFC" w14:textId="77777777" w:rsidR="002D52CF" w:rsidRPr="00940054" w:rsidRDefault="002D52CF" w:rsidP="007220A3">
                      <w:r w:rsidRPr="00940054">
                        <w:t>About EY</w:t>
                      </w:r>
                    </w:p>
                    <w:p w14:paraId="14147FC5" w14:textId="77777777" w:rsidR="002D52CF" w:rsidRPr="00940054" w:rsidRDefault="002D52CF" w:rsidP="007220A3">
                      <w:pPr>
                        <w:spacing w:after="105"/>
                        <w:rPr>
                          <w:rFonts w:cs="Arial"/>
                          <w:sz w:val="16"/>
                        </w:rPr>
                      </w:pPr>
                      <w:r w:rsidRPr="00940054">
                        <w:rPr>
                          <w:rFonts w:cs="Arial"/>
                          <w:sz w:val="16"/>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14:paraId="71766136" w14:textId="77777777" w:rsidR="002D52CF" w:rsidRPr="00940054" w:rsidRDefault="002D52CF" w:rsidP="007220A3">
                      <w:pPr>
                        <w:spacing w:after="105"/>
                        <w:rPr>
                          <w:rFonts w:cs="Arial"/>
                          <w:sz w:val="16"/>
                        </w:rPr>
                      </w:pPr>
                      <w:r w:rsidRPr="00940054">
                        <w:rPr>
                          <w:rFonts w:cs="Arial"/>
                          <w:sz w:val="16"/>
                        </w:rPr>
                        <w:t>EY refers to the global organisation and may refer to one or more of the member firms of Ernst &amp; Young Global Limited, each of which is a separate legal entity. Ernst &amp; Young Global Limited, a UK company limited by guarantee, does not provide services to clients. For more information about our organisation, please visit ey.com.</w:t>
                      </w:r>
                    </w:p>
                    <w:p w14:paraId="657C3ABE" w14:textId="77777777" w:rsidR="002D52CF" w:rsidRDefault="002D52CF" w:rsidP="007220A3">
                      <w:pPr>
                        <w:rPr>
                          <w:rFonts w:cs="Arial"/>
                          <w:color w:val="2E2E38" w:themeColor="text1"/>
                          <w:sz w:val="16"/>
                          <w:szCs w:val="16"/>
                        </w:rPr>
                      </w:pPr>
                    </w:p>
                    <w:p w14:paraId="69E67B0A" w14:textId="5FE7DE50" w:rsidR="002D52CF" w:rsidRDefault="002D52CF" w:rsidP="007220A3">
                      <w:pPr>
                        <w:rPr>
                          <w:rFonts w:cs="Arial"/>
                          <w:color w:val="2E2E38" w:themeColor="text1"/>
                          <w:sz w:val="16"/>
                          <w:szCs w:val="16"/>
                        </w:rPr>
                      </w:pPr>
                      <w:r w:rsidRPr="006E1CDB">
                        <w:rPr>
                          <w:rFonts w:cs="Arial"/>
                          <w:color w:val="2E2E38" w:themeColor="text1"/>
                          <w:sz w:val="16"/>
                          <w:szCs w:val="16"/>
                        </w:rPr>
                        <w:t>© 20</w:t>
                      </w:r>
                      <w:r>
                        <w:rPr>
                          <w:rFonts w:cs="Arial"/>
                          <w:color w:val="2E2E38" w:themeColor="text1"/>
                          <w:sz w:val="16"/>
                          <w:szCs w:val="16"/>
                        </w:rPr>
                        <w:t>20 Ernst &amp; Young, New Zealand.</w:t>
                      </w:r>
                    </w:p>
                    <w:p w14:paraId="4A0B1DAD" w14:textId="77777777" w:rsidR="002D52CF" w:rsidRDefault="002D52CF" w:rsidP="007220A3">
                      <w:pPr>
                        <w:rPr>
                          <w:rFonts w:cs="Arial"/>
                          <w:color w:val="2E2E38" w:themeColor="text1"/>
                          <w:sz w:val="16"/>
                          <w:szCs w:val="16"/>
                        </w:rPr>
                      </w:pPr>
                      <w:r>
                        <w:rPr>
                          <w:rFonts w:cs="Arial"/>
                          <w:color w:val="2E2E38" w:themeColor="text1"/>
                          <w:sz w:val="16"/>
                          <w:szCs w:val="16"/>
                        </w:rPr>
                        <w:t>All Rights Reserved.</w:t>
                      </w:r>
                    </w:p>
                    <w:p w14:paraId="277E5708" w14:textId="77777777" w:rsidR="002D52CF" w:rsidRDefault="002D52CF" w:rsidP="007220A3">
                      <w:pPr>
                        <w:rPr>
                          <w:rFonts w:cs="Arial"/>
                          <w:color w:val="2E2E38" w:themeColor="text1"/>
                          <w:sz w:val="16"/>
                          <w:szCs w:val="16"/>
                        </w:rPr>
                      </w:pPr>
                    </w:p>
                    <w:p w14:paraId="34DD97F0" w14:textId="77777777" w:rsidR="002D52CF" w:rsidRDefault="002D52CF" w:rsidP="007220A3">
                      <w:pPr>
                        <w:rPr>
                          <w:rFonts w:cs="Arial"/>
                          <w:color w:val="2E2E38" w:themeColor="text1"/>
                          <w:sz w:val="16"/>
                          <w:szCs w:val="16"/>
                        </w:rPr>
                      </w:pPr>
                    </w:p>
                    <w:p w14:paraId="634D6ED5" w14:textId="7B2CFDE8" w:rsidR="002D52CF" w:rsidRPr="00B22C43" w:rsidRDefault="002D52CF" w:rsidP="00A6748C">
                      <w:r w:rsidRPr="00940054">
                        <w:t>ey.com</w:t>
                      </w:r>
                    </w:p>
                  </w:txbxContent>
                </v:textbox>
              </v:shape>
            </w:pict>
          </mc:Fallback>
        </mc:AlternateContent>
      </w:r>
    </w:p>
    <w:sectPr w:rsidR="003D1199" w:rsidRPr="00150CD2" w:rsidSect="004579B3">
      <w:headerReference w:type="default" r:id="rId36"/>
      <w:footerReference w:type="default" r:id="rId37"/>
      <w:pgSz w:w="11909" w:h="16834" w:code="9"/>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00A80" w14:textId="77777777" w:rsidR="003875EB" w:rsidRDefault="003875EB">
      <w:r>
        <w:separator/>
      </w:r>
    </w:p>
    <w:p w14:paraId="699FA7CA" w14:textId="77777777" w:rsidR="003875EB" w:rsidRDefault="003875EB"/>
    <w:p w14:paraId="2CF4E1AD" w14:textId="77777777" w:rsidR="003875EB" w:rsidRDefault="003875EB"/>
    <w:p w14:paraId="498275E6" w14:textId="77777777" w:rsidR="003875EB" w:rsidRDefault="003875EB"/>
    <w:p w14:paraId="2CF1E068" w14:textId="77777777" w:rsidR="003875EB" w:rsidRDefault="003875EB"/>
    <w:p w14:paraId="563AC62E" w14:textId="77777777" w:rsidR="003875EB" w:rsidRDefault="003875EB"/>
    <w:p w14:paraId="27D1A8BB" w14:textId="77777777" w:rsidR="003875EB" w:rsidRDefault="003875EB"/>
    <w:p w14:paraId="3142D57E" w14:textId="77777777" w:rsidR="003875EB" w:rsidRDefault="003875EB"/>
  </w:endnote>
  <w:endnote w:type="continuationSeparator" w:id="0">
    <w:p w14:paraId="1816C804" w14:textId="77777777" w:rsidR="003875EB" w:rsidRDefault="003875EB">
      <w:r>
        <w:continuationSeparator/>
      </w:r>
    </w:p>
    <w:p w14:paraId="3D040111" w14:textId="77777777" w:rsidR="003875EB" w:rsidRDefault="003875EB"/>
    <w:p w14:paraId="5DA9CB2E" w14:textId="77777777" w:rsidR="003875EB" w:rsidRDefault="003875EB"/>
    <w:p w14:paraId="55E49407" w14:textId="77777777" w:rsidR="003875EB" w:rsidRDefault="003875EB"/>
    <w:p w14:paraId="3D0FB519" w14:textId="77777777" w:rsidR="003875EB" w:rsidRDefault="003875EB"/>
    <w:p w14:paraId="1EA350C8" w14:textId="77777777" w:rsidR="003875EB" w:rsidRDefault="003875EB"/>
    <w:p w14:paraId="7A5ED42E" w14:textId="77777777" w:rsidR="003875EB" w:rsidRDefault="003875EB"/>
    <w:p w14:paraId="22FEEC83" w14:textId="77777777" w:rsidR="003875EB" w:rsidRDefault="003875EB"/>
  </w:endnote>
  <w:endnote w:type="continuationNotice" w:id="1">
    <w:p w14:paraId="07BAE93A" w14:textId="77777777" w:rsidR="003875EB" w:rsidRDefault="00387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Regular">
    <w:altName w:val="Calibri"/>
    <w:charset w:val="00"/>
    <w:family w:val="auto"/>
    <w:pitch w:val="variable"/>
    <w:sig w:usb0="800000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EY Tagline">
    <w:altName w:val="Calibri"/>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Look w:val="0000" w:firstRow="0" w:lastRow="0" w:firstColumn="0" w:lastColumn="0" w:noHBand="0" w:noVBand="0"/>
    </w:tblPr>
    <w:tblGrid>
      <w:gridCol w:w="7908"/>
      <w:gridCol w:w="1121"/>
    </w:tblGrid>
    <w:tr w:rsidR="002D52CF" w:rsidRPr="00150CD2" w14:paraId="18F999B3" w14:textId="77777777" w:rsidTr="00A24C89">
      <w:trPr>
        <w:trHeight w:val="187"/>
        <w:jc w:val="right"/>
      </w:trPr>
      <w:tc>
        <w:tcPr>
          <w:tcW w:w="12582" w:type="dxa"/>
        </w:tcPr>
        <w:p w14:paraId="26FDCEF8" w14:textId="34A23097" w:rsidR="002D52CF" w:rsidRPr="00150CD2" w:rsidRDefault="002D52CF" w:rsidP="00F14DCB">
          <w:pPr>
            <w:pStyle w:val="Footer"/>
            <w:tabs>
              <w:tab w:val="clear" w:pos="4320"/>
            </w:tabs>
            <w:rPr>
              <w:rFonts w:cs="Arial"/>
              <w:szCs w:val="16"/>
            </w:rPr>
          </w:pPr>
          <w:r w:rsidRPr="00150CD2">
            <w:rPr>
              <w:rFonts w:cs="Arial"/>
            </w:rPr>
            <w:t>Ministry of Health Disability Directorate</w:t>
          </w:r>
        </w:p>
      </w:tc>
      <w:tc>
        <w:tcPr>
          <w:tcW w:w="1588" w:type="dxa"/>
        </w:tcPr>
        <w:p w14:paraId="71F9D8A8" w14:textId="77777777" w:rsidR="002D52CF" w:rsidRPr="00150CD2" w:rsidRDefault="002D52CF" w:rsidP="0095150E">
          <w:pPr>
            <w:pStyle w:val="Footer"/>
            <w:jc w:val="right"/>
            <w:rPr>
              <w:rFonts w:cs="Arial"/>
            </w:rPr>
          </w:pPr>
        </w:p>
      </w:tc>
    </w:tr>
    <w:tr w:rsidR="002D52CF" w:rsidRPr="00150CD2" w14:paraId="4EF68070" w14:textId="77777777" w:rsidTr="00A24C89">
      <w:trPr>
        <w:trHeight w:val="187"/>
        <w:jc w:val="right"/>
      </w:trPr>
      <w:tc>
        <w:tcPr>
          <w:tcW w:w="12582" w:type="dxa"/>
        </w:tcPr>
        <w:p w14:paraId="3A8A1476" w14:textId="1B75C5C5" w:rsidR="002D52CF" w:rsidRPr="00150CD2" w:rsidRDefault="002D52CF" w:rsidP="00941C33">
          <w:pPr>
            <w:pStyle w:val="Footer"/>
            <w:tabs>
              <w:tab w:val="clear" w:pos="4320"/>
            </w:tabs>
            <w:rPr>
              <w:rFonts w:cs="Arial"/>
              <w:szCs w:val="16"/>
            </w:rPr>
          </w:pPr>
          <w:r w:rsidRPr="00150CD2">
            <w:rPr>
              <w:rFonts w:cs="Arial"/>
              <w:szCs w:val="16"/>
            </w:rPr>
            <w:t>Wellbeing and service contact outcomes for disabled people: MidCentral region and New Zealand</w:t>
          </w:r>
        </w:p>
      </w:tc>
      <w:tc>
        <w:tcPr>
          <w:tcW w:w="1588" w:type="dxa"/>
        </w:tcPr>
        <w:p w14:paraId="5E3FC1B1" w14:textId="77777777" w:rsidR="002D52CF" w:rsidRPr="00150CD2" w:rsidRDefault="002D52CF" w:rsidP="0095150E">
          <w:pPr>
            <w:pStyle w:val="Footer"/>
            <w:jc w:val="right"/>
            <w:rPr>
              <w:rFonts w:cs="Arial"/>
            </w:rPr>
          </w:pPr>
          <w:r w:rsidRPr="00150CD2">
            <w:rPr>
              <w:rFonts w:cs="Arial"/>
            </w:rPr>
            <w:t xml:space="preserve">EY </w:t>
          </w:r>
          <w:r w:rsidRPr="00150CD2">
            <w:rPr>
              <w:rFonts w:cs="Arial"/>
            </w:rPr>
            <w:sym w:font="Symbol" w:char="F0F7"/>
          </w:r>
          <w:r w:rsidRPr="00150CD2">
            <w:rPr>
              <w:rFonts w:cs="Arial"/>
            </w:rPr>
            <w:t xml:space="preserve">  </w:t>
          </w:r>
          <w:r w:rsidRPr="00150CD2">
            <w:rPr>
              <w:rFonts w:cs="Arial"/>
            </w:rPr>
            <w:fldChar w:fldCharType="begin"/>
          </w:r>
          <w:r w:rsidRPr="00150CD2">
            <w:rPr>
              <w:rFonts w:cs="Arial"/>
            </w:rPr>
            <w:instrText xml:space="preserve"> PAGE </w:instrText>
          </w:r>
          <w:r w:rsidRPr="00150CD2">
            <w:rPr>
              <w:rFonts w:cs="Arial"/>
            </w:rPr>
            <w:fldChar w:fldCharType="separate"/>
          </w:r>
          <w:r w:rsidRPr="00150CD2">
            <w:rPr>
              <w:rFonts w:cs="Arial"/>
              <w:noProof/>
            </w:rPr>
            <w:t>9</w:t>
          </w:r>
          <w:r w:rsidRPr="00150CD2">
            <w:rPr>
              <w:rFonts w:cs="Arial"/>
            </w:rPr>
            <w:fldChar w:fldCharType="end"/>
          </w:r>
        </w:p>
      </w:tc>
    </w:tr>
  </w:tbl>
  <w:p w14:paraId="61AA1A0F" w14:textId="77777777" w:rsidR="002D52CF" w:rsidRPr="00A24C89" w:rsidRDefault="002D52CF" w:rsidP="00A24C89">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Look w:val="0000" w:firstRow="0" w:lastRow="0" w:firstColumn="0" w:lastColumn="0" w:noHBand="0" w:noVBand="0"/>
    </w:tblPr>
    <w:tblGrid>
      <w:gridCol w:w="7905"/>
      <w:gridCol w:w="1124"/>
    </w:tblGrid>
    <w:tr w:rsidR="002D52CF" w:rsidRPr="00150CD2" w14:paraId="41C8EB77" w14:textId="77777777" w:rsidTr="00DB6D13">
      <w:trPr>
        <w:trHeight w:val="187"/>
        <w:jc w:val="right"/>
      </w:trPr>
      <w:tc>
        <w:tcPr>
          <w:tcW w:w="12386" w:type="dxa"/>
        </w:tcPr>
        <w:p w14:paraId="3FC215AE" w14:textId="1030DD3A" w:rsidR="002D52CF" w:rsidRPr="00150CD2" w:rsidRDefault="002D52CF" w:rsidP="00DB6D13">
          <w:pPr>
            <w:pStyle w:val="Footer"/>
            <w:tabs>
              <w:tab w:val="clear" w:pos="4320"/>
            </w:tabs>
            <w:ind w:left="-110"/>
            <w:rPr>
              <w:rFonts w:cs="Arial"/>
              <w:szCs w:val="16"/>
            </w:rPr>
          </w:pPr>
          <w:r w:rsidRPr="00150CD2">
            <w:rPr>
              <w:rFonts w:cs="Arial"/>
            </w:rPr>
            <w:t>Ministry of Health Disability Directorate</w:t>
          </w:r>
        </w:p>
      </w:tc>
      <w:tc>
        <w:tcPr>
          <w:tcW w:w="1568" w:type="dxa"/>
        </w:tcPr>
        <w:p w14:paraId="13C6842A" w14:textId="77777777" w:rsidR="002D52CF" w:rsidRPr="00150CD2" w:rsidRDefault="002D52CF" w:rsidP="00DB6D13">
          <w:pPr>
            <w:pStyle w:val="Footer"/>
            <w:jc w:val="right"/>
            <w:rPr>
              <w:rFonts w:cs="Arial"/>
            </w:rPr>
          </w:pPr>
        </w:p>
      </w:tc>
    </w:tr>
    <w:tr w:rsidR="002D52CF" w:rsidRPr="00150CD2" w14:paraId="3DC6759B" w14:textId="77777777" w:rsidTr="00DB6D13">
      <w:trPr>
        <w:trHeight w:val="187"/>
        <w:jc w:val="right"/>
      </w:trPr>
      <w:tc>
        <w:tcPr>
          <w:tcW w:w="12386" w:type="dxa"/>
        </w:tcPr>
        <w:p w14:paraId="53FE1483" w14:textId="4CEC3285" w:rsidR="002D52CF" w:rsidRPr="00150CD2" w:rsidRDefault="002D52CF" w:rsidP="00DB6D13">
          <w:pPr>
            <w:pStyle w:val="Footer"/>
            <w:tabs>
              <w:tab w:val="clear" w:pos="4320"/>
            </w:tabs>
            <w:ind w:left="-110"/>
            <w:rPr>
              <w:rFonts w:cs="Arial"/>
              <w:szCs w:val="16"/>
            </w:rPr>
          </w:pPr>
          <w:r w:rsidRPr="00150CD2">
            <w:rPr>
              <w:rFonts w:cs="Arial"/>
              <w:szCs w:val="16"/>
            </w:rPr>
            <w:t>Wellbeing and service contact outcomes for disabled people: MidCentral region and New Zealand</w:t>
          </w:r>
        </w:p>
      </w:tc>
      <w:tc>
        <w:tcPr>
          <w:tcW w:w="1568" w:type="dxa"/>
        </w:tcPr>
        <w:p w14:paraId="5565CF17" w14:textId="77777777" w:rsidR="002D52CF" w:rsidRPr="00150CD2" w:rsidRDefault="002D52CF" w:rsidP="00DB6D13">
          <w:pPr>
            <w:pStyle w:val="Footer"/>
            <w:jc w:val="right"/>
            <w:rPr>
              <w:rFonts w:cs="Arial"/>
            </w:rPr>
          </w:pPr>
          <w:r w:rsidRPr="00150CD2">
            <w:rPr>
              <w:rFonts w:cs="Arial"/>
            </w:rPr>
            <w:t xml:space="preserve">EY </w:t>
          </w:r>
          <w:r w:rsidRPr="00150CD2">
            <w:rPr>
              <w:rFonts w:cs="Arial"/>
            </w:rPr>
            <w:sym w:font="Symbol" w:char="F0F7"/>
          </w:r>
          <w:r w:rsidRPr="00150CD2">
            <w:rPr>
              <w:rFonts w:cs="Arial"/>
            </w:rPr>
            <w:t xml:space="preserve">  </w:t>
          </w:r>
          <w:r w:rsidRPr="00150CD2">
            <w:rPr>
              <w:rFonts w:cs="Arial"/>
            </w:rPr>
            <w:fldChar w:fldCharType="begin"/>
          </w:r>
          <w:r w:rsidRPr="00150CD2">
            <w:rPr>
              <w:rFonts w:cs="Arial"/>
            </w:rPr>
            <w:instrText xml:space="preserve"> PAGE </w:instrText>
          </w:r>
          <w:r w:rsidRPr="00150CD2">
            <w:rPr>
              <w:rFonts w:cs="Arial"/>
            </w:rPr>
            <w:fldChar w:fldCharType="separate"/>
          </w:r>
          <w:r w:rsidRPr="00150CD2">
            <w:rPr>
              <w:rFonts w:cs="Arial"/>
              <w:noProof/>
            </w:rPr>
            <w:t>14</w:t>
          </w:r>
          <w:r w:rsidRPr="00150CD2">
            <w:rPr>
              <w:rFonts w:cs="Arial"/>
            </w:rPr>
            <w:fldChar w:fldCharType="end"/>
          </w:r>
        </w:p>
      </w:tc>
    </w:tr>
  </w:tbl>
  <w:p w14:paraId="019A8365" w14:textId="77777777" w:rsidR="002D52CF" w:rsidRPr="00A24C89" w:rsidRDefault="002D52CF" w:rsidP="00A24C89">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Look w:val="0000" w:firstRow="0" w:lastRow="0" w:firstColumn="0" w:lastColumn="0" w:noHBand="0" w:noVBand="0"/>
    </w:tblPr>
    <w:tblGrid>
      <w:gridCol w:w="7935"/>
      <w:gridCol w:w="1094"/>
    </w:tblGrid>
    <w:tr w:rsidR="002D52CF" w:rsidRPr="00150CD2" w14:paraId="1F7FBF38" w14:textId="77777777" w:rsidTr="00F45068">
      <w:trPr>
        <w:trHeight w:val="187"/>
        <w:jc w:val="right"/>
      </w:trPr>
      <w:tc>
        <w:tcPr>
          <w:tcW w:w="4394" w:type="pct"/>
        </w:tcPr>
        <w:p w14:paraId="588B9639" w14:textId="1C5AF9BA" w:rsidR="002D52CF" w:rsidRPr="00150CD2" w:rsidRDefault="002D52CF" w:rsidP="00FE72CC">
          <w:pPr>
            <w:pStyle w:val="Footer"/>
            <w:tabs>
              <w:tab w:val="clear" w:pos="4320"/>
            </w:tabs>
            <w:ind w:left="-110"/>
            <w:rPr>
              <w:rFonts w:cs="Arial"/>
              <w:szCs w:val="16"/>
            </w:rPr>
          </w:pPr>
          <w:r w:rsidRPr="00150CD2">
            <w:rPr>
              <w:rFonts w:cs="Arial"/>
            </w:rPr>
            <w:t>Ministry of Health Disability Directorate</w:t>
          </w:r>
        </w:p>
      </w:tc>
      <w:tc>
        <w:tcPr>
          <w:tcW w:w="606" w:type="pct"/>
        </w:tcPr>
        <w:p w14:paraId="7E0EF952" w14:textId="77777777" w:rsidR="002D52CF" w:rsidRPr="00150CD2" w:rsidRDefault="002D52CF" w:rsidP="0095150E">
          <w:pPr>
            <w:pStyle w:val="Footer"/>
            <w:jc w:val="right"/>
            <w:rPr>
              <w:rFonts w:cs="Arial"/>
            </w:rPr>
          </w:pPr>
        </w:p>
      </w:tc>
    </w:tr>
    <w:tr w:rsidR="002D52CF" w:rsidRPr="00150CD2" w14:paraId="7AAE2AF3" w14:textId="77777777" w:rsidTr="00F45068">
      <w:trPr>
        <w:trHeight w:val="187"/>
        <w:jc w:val="right"/>
      </w:trPr>
      <w:tc>
        <w:tcPr>
          <w:tcW w:w="4394" w:type="pct"/>
        </w:tcPr>
        <w:p w14:paraId="02D787B6" w14:textId="33A3FD3D" w:rsidR="002D52CF" w:rsidRPr="00150CD2" w:rsidRDefault="002D52CF" w:rsidP="00FE72CC">
          <w:pPr>
            <w:pStyle w:val="Footer"/>
            <w:tabs>
              <w:tab w:val="clear" w:pos="4320"/>
            </w:tabs>
            <w:ind w:left="-110"/>
            <w:rPr>
              <w:rFonts w:cs="Arial"/>
              <w:szCs w:val="16"/>
            </w:rPr>
          </w:pPr>
          <w:r w:rsidRPr="00150CD2">
            <w:rPr>
              <w:rFonts w:cs="Arial"/>
              <w:szCs w:val="16"/>
            </w:rPr>
            <w:t>Wellbeing and service contact outcomes for disabled people: MidCentral region and New Zealand</w:t>
          </w:r>
        </w:p>
      </w:tc>
      <w:tc>
        <w:tcPr>
          <w:tcW w:w="606" w:type="pct"/>
        </w:tcPr>
        <w:p w14:paraId="217E05B8" w14:textId="77777777" w:rsidR="002D52CF" w:rsidRPr="00150CD2" w:rsidRDefault="002D52CF" w:rsidP="0095150E">
          <w:pPr>
            <w:pStyle w:val="Footer"/>
            <w:jc w:val="right"/>
            <w:rPr>
              <w:rFonts w:cs="Arial"/>
            </w:rPr>
          </w:pPr>
          <w:r w:rsidRPr="00150CD2">
            <w:rPr>
              <w:rFonts w:cs="Arial"/>
            </w:rPr>
            <w:t xml:space="preserve">EY </w:t>
          </w:r>
          <w:r w:rsidRPr="00150CD2">
            <w:rPr>
              <w:rFonts w:cs="Arial"/>
            </w:rPr>
            <w:sym w:font="Symbol" w:char="F0F7"/>
          </w:r>
          <w:r w:rsidRPr="00150CD2">
            <w:rPr>
              <w:rFonts w:cs="Arial"/>
            </w:rPr>
            <w:t xml:space="preserve">  </w:t>
          </w:r>
          <w:r w:rsidRPr="00150CD2">
            <w:rPr>
              <w:rFonts w:cs="Arial"/>
            </w:rPr>
            <w:fldChar w:fldCharType="begin"/>
          </w:r>
          <w:r w:rsidRPr="00150CD2">
            <w:rPr>
              <w:rFonts w:cs="Arial"/>
            </w:rPr>
            <w:instrText xml:space="preserve"> PAGE </w:instrText>
          </w:r>
          <w:r w:rsidRPr="00150CD2">
            <w:rPr>
              <w:rFonts w:cs="Arial"/>
            </w:rPr>
            <w:fldChar w:fldCharType="separate"/>
          </w:r>
          <w:r w:rsidRPr="00150CD2">
            <w:rPr>
              <w:rFonts w:cs="Arial"/>
              <w:noProof/>
            </w:rPr>
            <w:t>14</w:t>
          </w:r>
          <w:r w:rsidRPr="00150CD2">
            <w:rPr>
              <w:rFonts w:cs="Arial"/>
            </w:rPr>
            <w:fldChar w:fldCharType="end"/>
          </w:r>
        </w:p>
      </w:tc>
    </w:tr>
  </w:tbl>
  <w:p w14:paraId="06B2AB96" w14:textId="594BDC40" w:rsidR="002D52CF" w:rsidRPr="00A24C89" w:rsidRDefault="002D52CF" w:rsidP="00DC0A63">
    <w:pPr>
      <w:tabs>
        <w:tab w:val="left" w:pos="7458"/>
      </w:tabs>
      <w:rPr>
        <w:sz w:val="2"/>
        <w:szCs w:val="2"/>
      </w:rPr>
    </w:pPr>
    <w:r>
      <w:rPr>
        <w:sz w:val="2"/>
        <w:szCs w:val="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Look w:val="0000" w:firstRow="0" w:lastRow="0" w:firstColumn="0" w:lastColumn="0" w:noHBand="0" w:noVBand="0"/>
    </w:tblPr>
    <w:tblGrid>
      <w:gridCol w:w="7904"/>
      <w:gridCol w:w="1125"/>
    </w:tblGrid>
    <w:tr w:rsidR="002D52CF" w:rsidRPr="00150CD2" w14:paraId="086B82C2" w14:textId="77777777" w:rsidTr="00A24C89">
      <w:trPr>
        <w:trHeight w:val="187"/>
        <w:jc w:val="right"/>
      </w:trPr>
      <w:tc>
        <w:tcPr>
          <w:tcW w:w="12582" w:type="dxa"/>
        </w:tcPr>
        <w:p w14:paraId="4418289E" w14:textId="3536DADD" w:rsidR="002D52CF" w:rsidRPr="00150CD2" w:rsidRDefault="002D52CF" w:rsidP="00FE72CC">
          <w:pPr>
            <w:pStyle w:val="Footer"/>
            <w:tabs>
              <w:tab w:val="clear" w:pos="4320"/>
            </w:tabs>
            <w:ind w:left="-110"/>
            <w:rPr>
              <w:rFonts w:cs="Arial"/>
              <w:szCs w:val="16"/>
            </w:rPr>
          </w:pPr>
          <w:r w:rsidRPr="00150CD2">
            <w:rPr>
              <w:rFonts w:cs="Arial"/>
            </w:rPr>
            <w:t>Ministry of Health Disability Directorate</w:t>
          </w:r>
        </w:p>
      </w:tc>
      <w:tc>
        <w:tcPr>
          <w:tcW w:w="1588" w:type="dxa"/>
        </w:tcPr>
        <w:p w14:paraId="6DDB12C2" w14:textId="77777777" w:rsidR="002D52CF" w:rsidRPr="00150CD2" w:rsidRDefault="002D52CF" w:rsidP="0095150E">
          <w:pPr>
            <w:pStyle w:val="Footer"/>
            <w:jc w:val="right"/>
            <w:rPr>
              <w:rFonts w:cs="Arial"/>
            </w:rPr>
          </w:pPr>
        </w:p>
      </w:tc>
    </w:tr>
    <w:tr w:rsidR="002D52CF" w:rsidRPr="00150CD2" w14:paraId="573B3EBB" w14:textId="77777777" w:rsidTr="00A24C89">
      <w:trPr>
        <w:trHeight w:val="187"/>
        <w:jc w:val="right"/>
      </w:trPr>
      <w:tc>
        <w:tcPr>
          <w:tcW w:w="12582" w:type="dxa"/>
        </w:tcPr>
        <w:p w14:paraId="1F83FDB5" w14:textId="36EBE996" w:rsidR="002D52CF" w:rsidRPr="00150CD2" w:rsidRDefault="002D52CF" w:rsidP="00FE72CC">
          <w:pPr>
            <w:pStyle w:val="Footer"/>
            <w:tabs>
              <w:tab w:val="clear" w:pos="4320"/>
            </w:tabs>
            <w:ind w:left="-110"/>
            <w:rPr>
              <w:rFonts w:cs="Arial"/>
              <w:szCs w:val="16"/>
            </w:rPr>
          </w:pPr>
          <w:r w:rsidRPr="00150CD2">
            <w:rPr>
              <w:rFonts w:cs="Arial"/>
              <w:szCs w:val="16"/>
            </w:rPr>
            <w:t>Wellbeing and service contact outcomes for disabled people: MidCentral region and New Zealand</w:t>
          </w:r>
        </w:p>
      </w:tc>
      <w:tc>
        <w:tcPr>
          <w:tcW w:w="1588" w:type="dxa"/>
        </w:tcPr>
        <w:p w14:paraId="25A8C932" w14:textId="77777777" w:rsidR="002D52CF" w:rsidRPr="00150CD2" w:rsidRDefault="002D52CF" w:rsidP="0095150E">
          <w:pPr>
            <w:pStyle w:val="Footer"/>
            <w:jc w:val="right"/>
            <w:rPr>
              <w:rFonts w:cs="Arial"/>
            </w:rPr>
          </w:pPr>
          <w:r w:rsidRPr="00150CD2">
            <w:rPr>
              <w:rFonts w:cs="Arial"/>
            </w:rPr>
            <w:t xml:space="preserve">EY </w:t>
          </w:r>
          <w:r w:rsidRPr="00150CD2">
            <w:rPr>
              <w:rFonts w:cs="Arial"/>
            </w:rPr>
            <w:sym w:font="Symbol" w:char="F0F7"/>
          </w:r>
          <w:r w:rsidRPr="00150CD2">
            <w:rPr>
              <w:rFonts w:cs="Arial"/>
            </w:rPr>
            <w:t xml:space="preserve">  </w:t>
          </w:r>
          <w:r w:rsidRPr="00150CD2">
            <w:rPr>
              <w:rFonts w:cs="Arial"/>
            </w:rPr>
            <w:fldChar w:fldCharType="begin"/>
          </w:r>
          <w:r w:rsidRPr="00150CD2">
            <w:rPr>
              <w:rFonts w:cs="Arial"/>
            </w:rPr>
            <w:instrText xml:space="preserve"> PAGE </w:instrText>
          </w:r>
          <w:r w:rsidRPr="00150CD2">
            <w:rPr>
              <w:rFonts w:cs="Arial"/>
            </w:rPr>
            <w:fldChar w:fldCharType="separate"/>
          </w:r>
          <w:r w:rsidRPr="00150CD2">
            <w:rPr>
              <w:rFonts w:cs="Arial"/>
              <w:noProof/>
            </w:rPr>
            <w:t>14</w:t>
          </w:r>
          <w:r w:rsidRPr="00150CD2">
            <w:rPr>
              <w:rFonts w:cs="Arial"/>
            </w:rPr>
            <w:fldChar w:fldCharType="end"/>
          </w:r>
        </w:p>
      </w:tc>
    </w:tr>
  </w:tbl>
  <w:p w14:paraId="16E27549" w14:textId="77777777" w:rsidR="002D52CF" w:rsidRPr="00A24C89" w:rsidRDefault="002D52CF" w:rsidP="00A24C89">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Look w:val="0000" w:firstRow="0" w:lastRow="0" w:firstColumn="0" w:lastColumn="0" w:noHBand="0" w:noVBand="0"/>
    </w:tblPr>
    <w:tblGrid>
      <w:gridCol w:w="7935"/>
      <w:gridCol w:w="1094"/>
    </w:tblGrid>
    <w:tr w:rsidR="002D52CF" w:rsidRPr="00150CD2" w14:paraId="3AB96BDF" w14:textId="77777777" w:rsidTr="00F45068">
      <w:trPr>
        <w:trHeight w:val="187"/>
        <w:jc w:val="right"/>
      </w:trPr>
      <w:tc>
        <w:tcPr>
          <w:tcW w:w="4394" w:type="pct"/>
        </w:tcPr>
        <w:p w14:paraId="7DFCF5C4" w14:textId="136CFDC1" w:rsidR="002D52CF" w:rsidRPr="00150CD2" w:rsidRDefault="002D52CF" w:rsidP="00DB6D13">
          <w:pPr>
            <w:pStyle w:val="Footer"/>
            <w:tabs>
              <w:tab w:val="clear" w:pos="4320"/>
            </w:tabs>
            <w:ind w:left="-110"/>
            <w:rPr>
              <w:rFonts w:cs="Arial"/>
              <w:szCs w:val="16"/>
            </w:rPr>
          </w:pPr>
          <w:r w:rsidRPr="00150CD2">
            <w:rPr>
              <w:rFonts w:cs="Arial"/>
            </w:rPr>
            <w:t>Ministry of Health Disability Directorate</w:t>
          </w:r>
        </w:p>
      </w:tc>
      <w:tc>
        <w:tcPr>
          <w:tcW w:w="606" w:type="pct"/>
        </w:tcPr>
        <w:p w14:paraId="6C6D5DEE" w14:textId="77777777" w:rsidR="002D52CF" w:rsidRPr="00150CD2" w:rsidRDefault="002D52CF" w:rsidP="00DB6D13">
          <w:pPr>
            <w:pStyle w:val="Footer"/>
            <w:jc w:val="right"/>
            <w:rPr>
              <w:rFonts w:cs="Arial"/>
            </w:rPr>
          </w:pPr>
        </w:p>
      </w:tc>
    </w:tr>
    <w:tr w:rsidR="002D52CF" w:rsidRPr="00150CD2" w14:paraId="428D22E0" w14:textId="77777777" w:rsidTr="00F45068">
      <w:trPr>
        <w:trHeight w:val="187"/>
        <w:jc w:val="right"/>
      </w:trPr>
      <w:tc>
        <w:tcPr>
          <w:tcW w:w="4394" w:type="pct"/>
        </w:tcPr>
        <w:p w14:paraId="766C1FF4" w14:textId="241D792A" w:rsidR="002D52CF" w:rsidRPr="00150CD2" w:rsidRDefault="002D52CF" w:rsidP="00DB6D13">
          <w:pPr>
            <w:pStyle w:val="Footer"/>
            <w:tabs>
              <w:tab w:val="clear" w:pos="4320"/>
            </w:tabs>
            <w:ind w:left="-110"/>
            <w:rPr>
              <w:rFonts w:cs="Arial"/>
              <w:szCs w:val="16"/>
            </w:rPr>
          </w:pPr>
          <w:r w:rsidRPr="00150CD2">
            <w:rPr>
              <w:rFonts w:cs="Arial"/>
              <w:szCs w:val="16"/>
            </w:rPr>
            <w:t>Wellbeing and service contact outcomes for disabled people: MidCentral region and New Zealand</w:t>
          </w:r>
        </w:p>
      </w:tc>
      <w:tc>
        <w:tcPr>
          <w:tcW w:w="606" w:type="pct"/>
        </w:tcPr>
        <w:p w14:paraId="2D12BA98" w14:textId="77777777" w:rsidR="002D52CF" w:rsidRPr="00150CD2" w:rsidRDefault="002D52CF" w:rsidP="00DB6D13">
          <w:pPr>
            <w:pStyle w:val="Footer"/>
            <w:jc w:val="right"/>
            <w:rPr>
              <w:rFonts w:cs="Arial"/>
            </w:rPr>
          </w:pPr>
          <w:r w:rsidRPr="00150CD2">
            <w:rPr>
              <w:rFonts w:cs="Arial"/>
            </w:rPr>
            <w:t xml:space="preserve">EY </w:t>
          </w:r>
          <w:r w:rsidRPr="00150CD2">
            <w:rPr>
              <w:rFonts w:cs="Arial"/>
            </w:rPr>
            <w:sym w:font="Symbol" w:char="F0F7"/>
          </w:r>
          <w:r w:rsidRPr="00150CD2">
            <w:rPr>
              <w:rFonts w:cs="Arial"/>
            </w:rPr>
            <w:t xml:space="preserve">  </w:t>
          </w:r>
          <w:r w:rsidRPr="00150CD2">
            <w:rPr>
              <w:rFonts w:cs="Arial"/>
            </w:rPr>
            <w:fldChar w:fldCharType="begin"/>
          </w:r>
          <w:r w:rsidRPr="00150CD2">
            <w:rPr>
              <w:rFonts w:cs="Arial"/>
            </w:rPr>
            <w:instrText xml:space="preserve"> PAGE </w:instrText>
          </w:r>
          <w:r w:rsidRPr="00150CD2">
            <w:rPr>
              <w:rFonts w:cs="Arial"/>
            </w:rPr>
            <w:fldChar w:fldCharType="separate"/>
          </w:r>
          <w:r w:rsidRPr="00150CD2">
            <w:rPr>
              <w:rFonts w:cs="Arial"/>
              <w:noProof/>
            </w:rPr>
            <w:t>14</w:t>
          </w:r>
          <w:r w:rsidRPr="00150CD2">
            <w:rPr>
              <w:rFonts w:cs="Arial"/>
            </w:rPr>
            <w:fldChar w:fldCharType="end"/>
          </w:r>
        </w:p>
      </w:tc>
    </w:tr>
  </w:tbl>
  <w:p w14:paraId="3B7FB40E" w14:textId="77777777" w:rsidR="002D52CF" w:rsidRPr="00A24C89" w:rsidRDefault="002D52CF" w:rsidP="00A24C89">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Look w:val="0000" w:firstRow="0" w:lastRow="0" w:firstColumn="0" w:lastColumn="0" w:noHBand="0" w:noVBand="0"/>
    </w:tblPr>
    <w:tblGrid>
      <w:gridCol w:w="7905"/>
      <w:gridCol w:w="1124"/>
    </w:tblGrid>
    <w:tr w:rsidR="002D52CF" w14:paraId="3883C997" w14:textId="77777777" w:rsidTr="00DB6D13">
      <w:trPr>
        <w:trHeight w:val="187"/>
        <w:jc w:val="right"/>
      </w:trPr>
      <w:tc>
        <w:tcPr>
          <w:tcW w:w="12386" w:type="dxa"/>
        </w:tcPr>
        <w:p w14:paraId="24C518FA" w14:textId="19BDFE3A" w:rsidR="002D52CF" w:rsidRPr="00063078" w:rsidRDefault="002D52CF" w:rsidP="00DB6D13">
          <w:pPr>
            <w:pStyle w:val="Footer"/>
            <w:tabs>
              <w:tab w:val="clear" w:pos="4320"/>
            </w:tabs>
            <w:ind w:left="-110"/>
            <w:rPr>
              <w:szCs w:val="16"/>
            </w:rPr>
          </w:pPr>
          <w:r w:rsidRPr="007A38F2">
            <w:t>M</w:t>
          </w:r>
          <w:r>
            <w:t xml:space="preserve">inistry of </w:t>
          </w:r>
          <w:r w:rsidRPr="007A38F2">
            <w:t>H</w:t>
          </w:r>
          <w:r>
            <w:t>ealth</w:t>
          </w:r>
          <w:r w:rsidRPr="007A38F2">
            <w:t xml:space="preserve"> </w:t>
          </w:r>
          <w:r>
            <w:t>Disability Directorate</w:t>
          </w:r>
        </w:p>
      </w:tc>
      <w:tc>
        <w:tcPr>
          <w:tcW w:w="1568" w:type="dxa"/>
        </w:tcPr>
        <w:p w14:paraId="385BE598" w14:textId="77777777" w:rsidR="002D52CF" w:rsidRPr="00625D2E" w:rsidRDefault="002D52CF" w:rsidP="00DB6D13">
          <w:pPr>
            <w:pStyle w:val="Footer"/>
            <w:jc w:val="right"/>
          </w:pPr>
        </w:p>
      </w:tc>
    </w:tr>
    <w:tr w:rsidR="002D52CF" w14:paraId="4E89A6FB" w14:textId="77777777" w:rsidTr="00DB6D13">
      <w:trPr>
        <w:trHeight w:val="187"/>
        <w:jc w:val="right"/>
      </w:trPr>
      <w:tc>
        <w:tcPr>
          <w:tcW w:w="12386" w:type="dxa"/>
        </w:tcPr>
        <w:p w14:paraId="32D989BC" w14:textId="1CB0A02E" w:rsidR="002D52CF" w:rsidRPr="00063078" w:rsidRDefault="002D52CF" w:rsidP="00DB6D13">
          <w:pPr>
            <w:pStyle w:val="Footer"/>
            <w:tabs>
              <w:tab w:val="clear" w:pos="4320"/>
            </w:tabs>
            <w:ind w:left="-110"/>
            <w:rPr>
              <w:szCs w:val="16"/>
            </w:rPr>
          </w:pPr>
          <w:r w:rsidRPr="00941C33">
            <w:rPr>
              <w:szCs w:val="16"/>
            </w:rPr>
            <w:t>Wellbeing and service contact outcomes for disabled people: MidCentral region and New Zealand</w:t>
          </w:r>
        </w:p>
      </w:tc>
      <w:tc>
        <w:tcPr>
          <w:tcW w:w="1568" w:type="dxa"/>
        </w:tcPr>
        <w:p w14:paraId="5E85D001" w14:textId="77777777" w:rsidR="002D52CF" w:rsidRDefault="002D52CF" w:rsidP="00DB6D13">
          <w:pPr>
            <w:pStyle w:val="Footer"/>
            <w:jc w:val="right"/>
          </w:pPr>
          <w:r>
            <w:t>EY</w:t>
          </w:r>
          <w:r w:rsidRPr="00625D2E">
            <w:t xml:space="preserve"> </w:t>
          </w:r>
          <w:r w:rsidRPr="00625D2E">
            <w:sym w:font="Symbol" w:char="F0F7"/>
          </w:r>
          <w:r w:rsidRPr="00625D2E">
            <w:t xml:space="preserve"> </w:t>
          </w:r>
          <w:r>
            <w:t xml:space="preserve"> </w:t>
          </w:r>
          <w:r w:rsidRPr="00D3139D">
            <w:fldChar w:fldCharType="begin"/>
          </w:r>
          <w:r w:rsidRPr="00D3139D">
            <w:instrText xml:space="preserve"> PAGE </w:instrText>
          </w:r>
          <w:r w:rsidRPr="00D3139D">
            <w:fldChar w:fldCharType="separate"/>
          </w:r>
          <w:r>
            <w:rPr>
              <w:noProof/>
            </w:rPr>
            <w:t>14</w:t>
          </w:r>
          <w:r w:rsidRPr="00D3139D">
            <w:fldChar w:fldCharType="end"/>
          </w:r>
        </w:p>
      </w:tc>
    </w:tr>
  </w:tbl>
  <w:p w14:paraId="11D7C540" w14:textId="77777777" w:rsidR="002D52CF" w:rsidRPr="00A24C89" w:rsidRDefault="002D52CF" w:rsidP="00A24C89">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Look w:val="0000" w:firstRow="0" w:lastRow="0" w:firstColumn="0" w:lastColumn="0" w:noHBand="0" w:noVBand="0"/>
    </w:tblPr>
    <w:tblGrid>
      <w:gridCol w:w="7935"/>
      <w:gridCol w:w="1094"/>
    </w:tblGrid>
    <w:tr w:rsidR="002D52CF" w14:paraId="7ACE1303" w14:textId="77777777" w:rsidTr="00F45068">
      <w:trPr>
        <w:trHeight w:val="187"/>
        <w:jc w:val="right"/>
      </w:trPr>
      <w:tc>
        <w:tcPr>
          <w:tcW w:w="4394" w:type="pct"/>
        </w:tcPr>
        <w:p w14:paraId="676BDF98" w14:textId="3EFDBAA9" w:rsidR="002D52CF" w:rsidRPr="00063078" w:rsidRDefault="002D52CF" w:rsidP="00DB6D13">
          <w:pPr>
            <w:pStyle w:val="Footer"/>
            <w:tabs>
              <w:tab w:val="clear" w:pos="4320"/>
            </w:tabs>
            <w:ind w:left="-110"/>
            <w:rPr>
              <w:szCs w:val="16"/>
            </w:rPr>
          </w:pPr>
          <w:r w:rsidRPr="007A38F2">
            <w:t>M</w:t>
          </w:r>
          <w:r>
            <w:t xml:space="preserve">inistry of </w:t>
          </w:r>
          <w:r w:rsidRPr="007A38F2">
            <w:t>H</w:t>
          </w:r>
          <w:r>
            <w:t>ealth</w:t>
          </w:r>
          <w:r w:rsidRPr="007A38F2">
            <w:t xml:space="preserve"> </w:t>
          </w:r>
          <w:r>
            <w:t>Disability Directorate</w:t>
          </w:r>
        </w:p>
      </w:tc>
      <w:tc>
        <w:tcPr>
          <w:tcW w:w="606" w:type="pct"/>
        </w:tcPr>
        <w:p w14:paraId="306DAE8D" w14:textId="77777777" w:rsidR="002D52CF" w:rsidRPr="00625D2E" w:rsidRDefault="002D52CF" w:rsidP="00DB6D13">
          <w:pPr>
            <w:pStyle w:val="Footer"/>
            <w:jc w:val="right"/>
          </w:pPr>
        </w:p>
      </w:tc>
    </w:tr>
    <w:tr w:rsidR="002D52CF" w14:paraId="5831EF79" w14:textId="77777777" w:rsidTr="00F45068">
      <w:trPr>
        <w:trHeight w:val="187"/>
        <w:jc w:val="right"/>
      </w:trPr>
      <w:tc>
        <w:tcPr>
          <w:tcW w:w="4394" w:type="pct"/>
        </w:tcPr>
        <w:p w14:paraId="4EBC5858" w14:textId="456DAB3B" w:rsidR="002D52CF" w:rsidRPr="00063078" w:rsidRDefault="002D52CF" w:rsidP="00DB6D13">
          <w:pPr>
            <w:pStyle w:val="Footer"/>
            <w:tabs>
              <w:tab w:val="clear" w:pos="4320"/>
            </w:tabs>
            <w:ind w:left="-110"/>
            <w:rPr>
              <w:szCs w:val="16"/>
            </w:rPr>
          </w:pPr>
          <w:r w:rsidRPr="00941C33">
            <w:rPr>
              <w:szCs w:val="16"/>
            </w:rPr>
            <w:t>Wellbeing and service contact outcomes for disabled people: MidCentral region and New Zealand</w:t>
          </w:r>
        </w:p>
      </w:tc>
      <w:tc>
        <w:tcPr>
          <w:tcW w:w="606" w:type="pct"/>
        </w:tcPr>
        <w:p w14:paraId="2A96045B" w14:textId="77777777" w:rsidR="002D52CF" w:rsidRDefault="002D52CF" w:rsidP="00DB6D13">
          <w:pPr>
            <w:pStyle w:val="Footer"/>
            <w:jc w:val="right"/>
          </w:pPr>
          <w:r>
            <w:t>EY</w:t>
          </w:r>
          <w:r w:rsidRPr="00625D2E">
            <w:t xml:space="preserve"> </w:t>
          </w:r>
          <w:r w:rsidRPr="00625D2E">
            <w:sym w:font="Symbol" w:char="F0F7"/>
          </w:r>
          <w:r w:rsidRPr="00625D2E">
            <w:t xml:space="preserve"> </w:t>
          </w:r>
          <w:r>
            <w:t xml:space="preserve"> </w:t>
          </w:r>
          <w:r w:rsidRPr="00D3139D">
            <w:fldChar w:fldCharType="begin"/>
          </w:r>
          <w:r w:rsidRPr="00D3139D">
            <w:instrText xml:space="preserve"> PAGE </w:instrText>
          </w:r>
          <w:r w:rsidRPr="00D3139D">
            <w:fldChar w:fldCharType="separate"/>
          </w:r>
          <w:r>
            <w:rPr>
              <w:noProof/>
            </w:rPr>
            <w:t>14</w:t>
          </w:r>
          <w:r w:rsidRPr="00D3139D">
            <w:fldChar w:fldCharType="end"/>
          </w:r>
        </w:p>
      </w:tc>
    </w:tr>
  </w:tbl>
  <w:p w14:paraId="0EBCDBB0" w14:textId="77777777" w:rsidR="002D52CF" w:rsidRPr="00A24C89" w:rsidRDefault="002D52CF" w:rsidP="00A24C89">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Look w:val="0000" w:firstRow="0" w:lastRow="0" w:firstColumn="0" w:lastColumn="0" w:noHBand="0" w:noVBand="0"/>
    </w:tblPr>
    <w:tblGrid>
      <w:gridCol w:w="7905"/>
      <w:gridCol w:w="1124"/>
    </w:tblGrid>
    <w:tr w:rsidR="002D52CF" w14:paraId="02A86CF4" w14:textId="77777777" w:rsidTr="00DB6D13">
      <w:trPr>
        <w:trHeight w:val="187"/>
        <w:jc w:val="right"/>
      </w:trPr>
      <w:tc>
        <w:tcPr>
          <w:tcW w:w="12386" w:type="dxa"/>
        </w:tcPr>
        <w:p w14:paraId="36DC5BB3" w14:textId="1B4EC111" w:rsidR="002D52CF" w:rsidRPr="00063078" w:rsidRDefault="002D52CF" w:rsidP="00DB6D13">
          <w:pPr>
            <w:pStyle w:val="Footer"/>
            <w:tabs>
              <w:tab w:val="clear" w:pos="4320"/>
            </w:tabs>
            <w:ind w:left="-110"/>
            <w:rPr>
              <w:szCs w:val="16"/>
            </w:rPr>
          </w:pPr>
          <w:r w:rsidRPr="007A38F2">
            <w:t>M</w:t>
          </w:r>
          <w:r>
            <w:t>inistry of Health</w:t>
          </w:r>
          <w:r w:rsidRPr="007A38F2">
            <w:t xml:space="preserve"> </w:t>
          </w:r>
          <w:r>
            <w:t>Disability Directorate</w:t>
          </w:r>
        </w:p>
      </w:tc>
      <w:tc>
        <w:tcPr>
          <w:tcW w:w="1568" w:type="dxa"/>
        </w:tcPr>
        <w:p w14:paraId="3EB6B772" w14:textId="77777777" w:rsidR="002D52CF" w:rsidRPr="00625D2E" w:rsidRDefault="002D52CF" w:rsidP="00DB6D13">
          <w:pPr>
            <w:pStyle w:val="Footer"/>
            <w:jc w:val="right"/>
          </w:pPr>
        </w:p>
      </w:tc>
    </w:tr>
    <w:tr w:rsidR="002D52CF" w14:paraId="0CC8752D" w14:textId="77777777" w:rsidTr="00DB6D13">
      <w:trPr>
        <w:trHeight w:val="187"/>
        <w:jc w:val="right"/>
      </w:trPr>
      <w:tc>
        <w:tcPr>
          <w:tcW w:w="12386" w:type="dxa"/>
        </w:tcPr>
        <w:p w14:paraId="12688CA2" w14:textId="46DDCA08" w:rsidR="002D52CF" w:rsidRPr="00063078" w:rsidRDefault="002D52CF" w:rsidP="00DB6D13">
          <w:pPr>
            <w:pStyle w:val="Footer"/>
            <w:tabs>
              <w:tab w:val="clear" w:pos="4320"/>
            </w:tabs>
            <w:ind w:left="-110"/>
            <w:rPr>
              <w:szCs w:val="16"/>
            </w:rPr>
          </w:pPr>
          <w:r w:rsidRPr="00941C33">
            <w:rPr>
              <w:szCs w:val="16"/>
            </w:rPr>
            <w:t>Wellbeing and service contact outcomes for disabled people: MidCentral region and New Zealand</w:t>
          </w:r>
        </w:p>
      </w:tc>
      <w:tc>
        <w:tcPr>
          <w:tcW w:w="1568" w:type="dxa"/>
        </w:tcPr>
        <w:p w14:paraId="4FE7DAF9" w14:textId="77777777" w:rsidR="002D52CF" w:rsidRDefault="002D52CF" w:rsidP="00DB6D13">
          <w:pPr>
            <w:pStyle w:val="Footer"/>
            <w:jc w:val="right"/>
          </w:pPr>
          <w:r>
            <w:t>EY</w:t>
          </w:r>
          <w:r w:rsidRPr="00625D2E">
            <w:t xml:space="preserve"> </w:t>
          </w:r>
          <w:r w:rsidRPr="00625D2E">
            <w:sym w:font="Symbol" w:char="F0F7"/>
          </w:r>
          <w:r w:rsidRPr="00625D2E">
            <w:t xml:space="preserve"> </w:t>
          </w:r>
          <w:r>
            <w:t xml:space="preserve"> </w:t>
          </w:r>
          <w:r w:rsidRPr="00D3139D">
            <w:fldChar w:fldCharType="begin"/>
          </w:r>
          <w:r w:rsidRPr="00D3139D">
            <w:instrText xml:space="preserve"> PAGE </w:instrText>
          </w:r>
          <w:r w:rsidRPr="00D3139D">
            <w:fldChar w:fldCharType="separate"/>
          </w:r>
          <w:r>
            <w:rPr>
              <w:noProof/>
            </w:rPr>
            <w:t>14</w:t>
          </w:r>
          <w:r w:rsidRPr="00D3139D">
            <w:fldChar w:fldCharType="end"/>
          </w:r>
        </w:p>
      </w:tc>
    </w:tr>
  </w:tbl>
  <w:p w14:paraId="0143F659" w14:textId="77777777" w:rsidR="002D52CF" w:rsidRPr="00A24C89" w:rsidRDefault="002D52CF" w:rsidP="00A24C89">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D3F8" w14:textId="77777777" w:rsidR="002D52CF" w:rsidRPr="00094D83" w:rsidRDefault="002D52CF" w:rsidP="00094D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9AC8B" w14:textId="77777777" w:rsidR="003875EB" w:rsidRPr="009F10D4" w:rsidRDefault="003875EB" w:rsidP="009F10D4">
      <w:r>
        <w:separator/>
      </w:r>
    </w:p>
  </w:footnote>
  <w:footnote w:type="continuationSeparator" w:id="0">
    <w:p w14:paraId="077E49B0" w14:textId="77777777" w:rsidR="003875EB" w:rsidRDefault="003875EB">
      <w:r>
        <w:continuationSeparator/>
      </w:r>
    </w:p>
  </w:footnote>
  <w:footnote w:type="continuationNotice" w:id="1">
    <w:p w14:paraId="58ABBD82" w14:textId="77777777" w:rsidR="003875EB" w:rsidRDefault="003875EB"/>
  </w:footnote>
  <w:footnote w:id="2">
    <w:p w14:paraId="5D2F5333" w14:textId="224C43B1" w:rsidR="002D52CF" w:rsidRPr="00D01594" w:rsidRDefault="002D52CF">
      <w:pPr>
        <w:pStyle w:val="FootnoteText"/>
        <w:rPr>
          <w:lang w:val="en-NZ"/>
        </w:rPr>
      </w:pPr>
      <w:r>
        <w:rPr>
          <w:rStyle w:val="FootnoteReference"/>
        </w:rPr>
        <w:footnoteRef/>
      </w:r>
      <w:r>
        <w:t xml:space="preserve"> This includes disabled people allocated a range of disability support services including behaviour support, respite, carer support, supported living, community residential, choices in community living, community day, individualised funding, enhanced individualised funding, regional intellectual disability supported accommodation, younger people in aged care services, family funded care, home and community support. Ministry of Health funded services excluded from this analysis include child development services, Enabling Good Lives Waikato, environmental support (including equipment and modification), sensory (hearing and vision) services, hospital-based assessment, treatment and rehabilitation. This report is based on information about services </w:t>
      </w:r>
      <w:r>
        <w:rPr>
          <w:i/>
        </w:rPr>
        <w:t>allocated</w:t>
      </w:r>
      <w:r w:rsidRPr="00214233">
        <w:rPr>
          <w:i/>
        </w:rPr>
        <w:t xml:space="preserve"> </w:t>
      </w:r>
      <w:r>
        <w:t xml:space="preserve">to people by </w:t>
      </w:r>
      <w:r w:rsidRPr="00594882">
        <w:t>Needs Assessment and Service Co-ordination</w:t>
      </w:r>
      <w:r>
        <w:t xml:space="preserve"> organisations. It does not report on services </w:t>
      </w:r>
      <w:r>
        <w:rPr>
          <w:i/>
        </w:rPr>
        <w:t>used</w:t>
      </w:r>
      <w:r>
        <w:t>. Not included are people with long term chronic conditions aged under 65 years and older people who have services funded by their District Health Board.</w:t>
      </w:r>
    </w:p>
  </w:footnote>
  <w:footnote w:id="3">
    <w:p w14:paraId="14636B2B" w14:textId="5EFC9784" w:rsidR="002D52CF" w:rsidRPr="00C11CE4" w:rsidRDefault="002D52CF">
      <w:pPr>
        <w:pStyle w:val="FootnoteText"/>
      </w:pPr>
      <w:r>
        <w:rPr>
          <w:rStyle w:val="FootnoteReference"/>
        </w:rPr>
        <w:footnoteRef/>
      </w:r>
      <w:r>
        <w:t xml:space="preserve"> </w:t>
      </w:r>
      <w:r>
        <w:rPr>
          <w:lang w:val="en-US"/>
        </w:rPr>
        <w:t>MidCentral population who are not DSS clients</w:t>
      </w:r>
    </w:p>
  </w:footnote>
  <w:footnote w:id="4">
    <w:p w14:paraId="36FA1AB4" w14:textId="72848C76" w:rsidR="002D52CF" w:rsidRPr="00BF1CBA" w:rsidRDefault="002D52CF">
      <w:pPr>
        <w:pStyle w:val="FootnoteText"/>
      </w:pPr>
      <w:r>
        <w:rPr>
          <w:rStyle w:val="FootnoteReference"/>
        </w:rPr>
        <w:footnoteRef/>
      </w:r>
      <w:r>
        <w:t xml:space="preserve"> </w:t>
      </w:r>
      <w:r w:rsidRPr="009078C9">
        <w:t>Other considerations around the use of administrative data are highlighted in</w:t>
      </w:r>
      <w:r>
        <w:t xml:space="preserve"> </w:t>
      </w:r>
      <w:r>
        <w:fldChar w:fldCharType="begin"/>
      </w:r>
      <w:r>
        <w:instrText xml:space="preserve"> REF _Ref44353373 \r \h </w:instrText>
      </w:r>
      <w:r>
        <w:fldChar w:fldCharType="separate"/>
      </w:r>
      <w:r>
        <w:t>Appendix D</w:t>
      </w:r>
      <w:r>
        <w:fldChar w:fldCharType="end"/>
      </w:r>
      <w:r>
        <w:t>.</w:t>
      </w:r>
    </w:p>
  </w:footnote>
  <w:footnote w:id="5">
    <w:p w14:paraId="2EC69E51" w14:textId="77777777" w:rsidR="002D52CF" w:rsidRPr="00385E95" w:rsidRDefault="002D52CF" w:rsidP="00BA2F93">
      <w:pPr>
        <w:pStyle w:val="EYTableNormal"/>
      </w:pPr>
      <w:r w:rsidRPr="00385E95">
        <w:rPr>
          <w:rStyle w:val="FootnoteReference"/>
          <w:rFonts w:ascii="Arial" w:hAnsi="Arial" w:cs="Arial"/>
          <w:sz w:val="18"/>
          <w:szCs w:val="18"/>
        </w:rPr>
        <w:footnoteRef/>
      </w:r>
      <w:r w:rsidRPr="00385E95">
        <w:t xml:space="preserve"> The MidCentral DHB region includes the following districts: Horowhenua, Manawatu, Palmerston North city, Tararua, and the Otaki ward of the Kapiti Coast district.</w:t>
      </w:r>
    </w:p>
  </w:footnote>
  <w:footnote w:id="6">
    <w:p w14:paraId="66920DEB" w14:textId="1B878235" w:rsidR="002D52CF" w:rsidRPr="00C753E7" w:rsidRDefault="002D52CF">
      <w:pPr>
        <w:pStyle w:val="FootnoteText"/>
        <w:rPr>
          <w:lang w:val="en-US"/>
        </w:rPr>
      </w:pPr>
      <w:r>
        <w:rPr>
          <w:rStyle w:val="FootnoteReference"/>
        </w:rPr>
        <w:footnoteRef/>
      </w:r>
      <w:r>
        <w:t xml:space="preserve"> This includes disabled people allocated a range of disability support services including behaviour support, respite, carer support, supported living, community residential, choices in community living, community day, individualised funding, enhanced individualised funding, regional intellectual disability supported accommodation, younger people in aged care services, family funded care, home and community support. Ministry of Health funded services excluded from this analysis include child development services, Enabling Good Lives Waikato, environmental support (including equipment and modification), sensory (hearing and vision) services, hospital-based assessment, treatment and rehabilitation. This report is based on information about services </w:t>
      </w:r>
      <w:r>
        <w:rPr>
          <w:i/>
        </w:rPr>
        <w:t xml:space="preserve">allocated </w:t>
      </w:r>
      <w:r>
        <w:t xml:space="preserve">to people by Needs Assessment and Service Coordination organisations. It does not report on services </w:t>
      </w:r>
      <w:r>
        <w:rPr>
          <w:i/>
        </w:rPr>
        <w:t>used</w:t>
      </w:r>
      <w:r>
        <w:t xml:space="preserve">.  Not included are people with long term chronic conditions aged under 65 years and older people who have services funded by their District Health Board. </w:t>
      </w:r>
    </w:p>
  </w:footnote>
  <w:footnote w:id="7">
    <w:p w14:paraId="4CA21290" w14:textId="77777777" w:rsidR="002D52CF" w:rsidRDefault="002D52CF" w:rsidP="00B209FD">
      <w:pPr>
        <w:pStyle w:val="FootnoteText"/>
      </w:pPr>
      <w:r>
        <w:rPr>
          <w:rStyle w:val="FootnoteReference"/>
        </w:rPr>
        <w:footnoteRef/>
      </w:r>
      <w:r>
        <w:t xml:space="preserve"> The IDI stands for the Integrated Data Infrastructure. </w:t>
      </w:r>
      <w:r w:rsidRPr="00EB4625">
        <w:rPr>
          <w:rFonts w:cs="Arial"/>
          <w:lang w:eastAsia="en-NZ"/>
        </w:rPr>
        <w:t>The IDI is a linked longitudinal dataset that combines unit-record administrative information from a range of agencies and organisations.</w:t>
      </w:r>
      <w:r>
        <w:rPr>
          <w:rFonts w:cs="Arial"/>
          <w:lang w:eastAsia="en-NZ"/>
        </w:rPr>
        <w:t xml:space="preserve"> </w:t>
      </w:r>
      <w:r w:rsidRPr="00EB4625">
        <w:rPr>
          <w:rFonts w:cs="Arial"/>
          <w:lang w:eastAsia="en-NZ"/>
        </w:rPr>
        <w:t>The IDI is maintained by Statistics New Zealand under strict privacy and confidentiality protocols.</w:t>
      </w:r>
    </w:p>
  </w:footnote>
  <w:footnote w:id="8">
    <w:p w14:paraId="7928CF65" w14:textId="2D16C74A" w:rsidR="002D52CF" w:rsidRPr="004A54B7" w:rsidRDefault="002D52CF" w:rsidP="00231990">
      <w:pPr>
        <w:pStyle w:val="FootnoteText"/>
        <w:rPr>
          <w:lang w:val="en-US"/>
        </w:rPr>
      </w:pPr>
      <w:r>
        <w:rPr>
          <w:rStyle w:val="FootnoteReference"/>
        </w:rPr>
        <w:footnoteRef/>
      </w:r>
      <w:r>
        <w:t xml:space="preserve"> This includes disabled people allocated a range of disability support services including behaviour support, respite, carer support, supported living, community residential, choices in community living, community day, individualised funding, enhanced individualised funding, regional intellectual disability supported accommodation, younger people in aged care services, family funded care, home and community support. Ministry of Health funded services excluded from this analysis include child development services, Enabling Good Lives Waikato, environmental support (including equipment and modification), sensory (hearing and vision) services, hospital-based assessment, treatment and rehabilitation. This report is based on information about services </w:t>
      </w:r>
      <w:r w:rsidRPr="00ED0EBA">
        <w:t>allocated</w:t>
      </w:r>
      <w:r>
        <w:t xml:space="preserve"> to people by </w:t>
      </w:r>
      <w:r w:rsidRPr="00594882">
        <w:t>Needs Assessment and Service Co-ordination</w:t>
      </w:r>
      <w:r>
        <w:t xml:space="preserve"> organisations. It does not report on services </w:t>
      </w:r>
      <w:r w:rsidRPr="00ED0EBA">
        <w:t>used</w:t>
      </w:r>
      <w:r>
        <w:t xml:space="preserve">.  Not included are people with long term chronic conditions </w:t>
      </w:r>
      <w:r w:rsidRPr="00DD440D">
        <w:t xml:space="preserve">aged under 65 years and older people </w:t>
      </w:r>
      <w:r>
        <w:t xml:space="preserve">who have services funded by their District Health Board. </w:t>
      </w:r>
    </w:p>
  </w:footnote>
  <w:footnote w:id="9">
    <w:p w14:paraId="4BFEB73E" w14:textId="3BE50B90" w:rsidR="002D52CF" w:rsidRPr="00DE7D64" w:rsidRDefault="002D52CF">
      <w:pPr>
        <w:pStyle w:val="FootnoteText"/>
        <w:rPr>
          <w:lang w:val="en-US"/>
        </w:rPr>
      </w:pPr>
      <w:r>
        <w:rPr>
          <w:rStyle w:val="FootnoteReference"/>
        </w:rPr>
        <w:footnoteRef/>
      </w:r>
      <w:r>
        <w:t xml:space="preserve"> </w:t>
      </w:r>
      <w:r>
        <w:rPr>
          <w:lang w:val="en-US"/>
        </w:rPr>
        <w:t xml:space="preserve">Refer to </w:t>
      </w:r>
      <w:r>
        <w:rPr>
          <w:lang w:val="en-US"/>
        </w:rPr>
        <w:fldChar w:fldCharType="begin"/>
      </w:r>
      <w:r>
        <w:rPr>
          <w:lang w:val="en-US"/>
        </w:rPr>
        <w:instrText xml:space="preserve"> REF _Ref45719533 \r \h </w:instrText>
      </w:r>
      <w:r>
        <w:rPr>
          <w:lang w:val="en-US"/>
        </w:rPr>
      </w:r>
      <w:r>
        <w:rPr>
          <w:lang w:val="en-US"/>
        </w:rPr>
        <w:fldChar w:fldCharType="separate"/>
      </w:r>
      <w:r>
        <w:rPr>
          <w:lang w:val="en-US"/>
        </w:rPr>
        <w:t>Appendix B</w:t>
      </w:r>
      <w:r>
        <w:rPr>
          <w:lang w:val="en-US"/>
        </w:rPr>
        <w:fldChar w:fldCharType="end"/>
      </w:r>
      <w:r w:rsidRPr="00ED0EBA">
        <w:rPr>
          <w:lang w:val="en-US"/>
        </w:rPr>
        <w:t xml:space="preserve"> </w:t>
      </w:r>
      <w:r>
        <w:t>for reference details.</w:t>
      </w:r>
    </w:p>
  </w:footnote>
  <w:footnote w:id="10">
    <w:p w14:paraId="0D79E217" w14:textId="03F8B3B2" w:rsidR="002D52CF" w:rsidRPr="00DC0A63" w:rsidRDefault="002D52CF">
      <w:pPr>
        <w:pStyle w:val="FootnoteText"/>
        <w:rPr>
          <w:lang w:val="en-US"/>
        </w:rPr>
      </w:pPr>
      <w:r>
        <w:rPr>
          <w:rStyle w:val="FootnoteReference"/>
        </w:rPr>
        <w:footnoteRef/>
      </w:r>
      <w:r>
        <w:t xml:space="preserve"> A</w:t>
      </w:r>
      <w:r>
        <w:rPr>
          <w:lang w:val="en-US"/>
        </w:rPr>
        <w:t>ssessed needs levels take into account whether or not there are available ‘natural supports’ to assist (such as family member support).</w:t>
      </w:r>
    </w:p>
  </w:footnote>
  <w:footnote w:id="11">
    <w:p w14:paraId="0EDDD951" w14:textId="655B99F0" w:rsidR="002D52CF" w:rsidRPr="00205B66" w:rsidRDefault="002D52CF">
      <w:pPr>
        <w:pStyle w:val="FootnoteText"/>
      </w:pPr>
      <w:r>
        <w:rPr>
          <w:rStyle w:val="FootnoteReference"/>
        </w:rPr>
        <w:footnoteRef/>
      </w:r>
      <w:r>
        <w:t xml:space="preserve"> </w:t>
      </w:r>
      <w:r>
        <w:rPr>
          <w:lang w:val="en-US"/>
        </w:rPr>
        <w:t xml:space="preserve">Deprived areas are drawn from the NZDep2013 Index of Deprivation developed by Otago University. If a region has the same deprivation profile as New Zealand overall then 20% of the population would live in the 20% least deprived areas and another 20% of the population would live in the 20% most deprived areas. Further information can be found at </w:t>
      </w:r>
      <w:hyperlink r:id="rId1" w:history="1">
        <w:r w:rsidRPr="00BD27DC">
          <w:rPr>
            <w:rStyle w:val="Hyperlink"/>
            <w:sz w:val="16"/>
            <w:lang w:val="en-US"/>
          </w:rPr>
          <w:t>https://www.otago.ac.nz/wellington/departments/publichealth/research/hirp/otago020194.html</w:t>
        </w:r>
      </w:hyperlink>
      <w:r>
        <w:rPr>
          <w:lang w:val="en-US"/>
        </w:rPr>
        <w:t>.</w:t>
      </w:r>
    </w:p>
  </w:footnote>
  <w:footnote w:id="12">
    <w:p w14:paraId="306DDBA8" w14:textId="3F68B1EB" w:rsidR="002D52CF" w:rsidRPr="001E7188" w:rsidRDefault="002D52CF">
      <w:pPr>
        <w:pStyle w:val="FootnoteText"/>
      </w:pPr>
      <w:r>
        <w:rPr>
          <w:rStyle w:val="FootnoteReference"/>
        </w:rPr>
        <w:footnoteRef/>
      </w:r>
      <w:r>
        <w:t xml:space="preserve"> </w:t>
      </w:r>
      <w:r>
        <w:rPr>
          <w:lang w:val="en-US"/>
        </w:rPr>
        <w:t>Figures may differ slightly from those presented in this report, due to the use of a different time period (1 October 2017 to 30 September 2018) and the effects of IDI matching rates and rounding on this report’s figures.</w:t>
      </w:r>
    </w:p>
  </w:footnote>
  <w:footnote w:id="13">
    <w:p w14:paraId="3F69EB83" w14:textId="26CD45E0" w:rsidR="002D52CF" w:rsidRPr="0037250F" w:rsidRDefault="002D52CF">
      <w:pPr>
        <w:pStyle w:val="FootnoteText"/>
      </w:pPr>
      <w:r>
        <w:rPr>
          <w:rStyle w:val="FootnoteReference"/>
        </w:rPr>
        <w:footnoteRef/>
      </w:r>
      <w:r>
        <w:t xml:space="preserve"> Health indicators were taken from the 3 year period to 30 June 2017 due to limited data being available for the 2017-18 year at the time of analysis. </w:t>
      </w:r>
    </w:p>
  </w:footnote>
  <w:footnote w:id="14">
    <w:p w14:paraId="3B29D804" w14:textId="19C89AC7" w:rsidR="002D52CF" w:rsidRPr="00C6181D" w:rsidRDefault="002D52CF">
      <w:pPr>
        <w:pStyle w:val="FootnoteText"/>
        <w:rPr>
          <w:lang w:val="en-NZ"/>
        </w:rPr>
      </w:pPr>
      <w:r>
        <w:rPr>
          <w:rStyle w:val="FootnoteReference"/>
        </w:rPr>
        <w:footnoteRef/>
      </w:r>
      <w:r>
        <w:t xml:space="preserve"> </w:t>
      </w:r>
      <w:r>
        <w:rPr>
          <w:lang w:val="en-NZ"/>
        </w:rPr>
        <w:t>Age is at the beginning of the time period.</w:t>
      </w:r>
    </w:p>
  </w:footnote>
  <w:footnote w:id="15">
    <w:p w14:paraId="34BDECC0" w14:textId="42A7DFBA" w:rsidR="002D52CF" w:rsidRPr="008F1F8C" w:rsidRDefault="002D52CF">
      <w:pPr>
        <w:pStyle w:val="FootnoteText"/>
        <w:rPr>
          <w:lang w:val="en-US"/>
        </w:rPr>
      </w:pPr>
      <w:r>
        <w:rPr>
          <w:rStyle w:val="FootnoteReference"/>
        </w:rPr>
        <w:footnoteRef/>
      </w:r>
      <w:r>
        <w:t xml:space="preserve"> </w:t>
      </w:r>
      <w:r>
        <w:rPr>
          <w:lang w:val="en-US"/>
        </w:rPr>
        <w:t>Based on early childhood education enrolment information provided to the Ministry of Education by parents for children aged 6-10 at 30 June 2018. This information is not yet available for children aged 0-4 as they have not yet started school.</w:t>
      </w:r>
    </w:p>
  </w:footnote>
  <w:footnote w:id="16">
    <w:p w14:paraId="3DDD2EA9" w14:textId="43AE9BE8" w:rsidR="002D52CF" w:rsidRPr="008F1F8C" w:rsidRDefault="002D52CF">
      <w:pPr>
        <w:pStyle w:val="FootnoteText"/>
        <w:rPr>
          <w:lang w:val="en-US"/>
        </w:rPr>
      </w:pPr>
      <w:r>
        <w:rPr>
          <w:rStyle w:val="FootnoteReference"/>
        </w:rPr>
        <w:footnoteRef/>
      </w:r>
      <w:r>
        <w:t xml:space="preserve"> </w:t>
      </w:r>
      <w:r>
        <w:rPr>
          <w:lang w:val="en-US"/>
        </w:rPr>
        <w:t>Based on B4 School Check outcomes recorded for children aged 5-9 at 30 June 2018.</w:t>
      </w:r>
    </w:p>
  </w:footnote>
  <w:footnote w:id="17">
    <w:p w14:paraId="75AD7BD2" w14:textId="0EB3A6A3" w:rsidR="002D52CF" w:rsidRDefault="002D52CF">
      <w:pPr>
        <w:pStyle w:val="FootnoteText"/>
      </w:pPr>
      <w:r>
        <w:rPr>
          <w:rStyle w:val="FootnoteReference"/>
        </w:rPr>
        <w:footnoteRef/>
      </w:r>
      <w:r>
        <w:t xml:space="preserve"> Third-tier MSD support payments are intended to be one-off support payments, including Special Needs Grants, Benefit advances, Recoverable Assistance Program and Home Help payments</w:t>
      </w:r>
    </w:p>
  </w:footnote>
  <w:footnote w:id="18">
    <w:p w14:paraId="0C8CD571" w14:textId="77777777" w:rsidR="002D52CF" w:rsidRDefault="002D52CF" w:rsidP="00786DAF">
      <w:pPr>
        <w:pStyle w:val="FootnoteText"/>
      </w:pPr>
      <w:r>
        <w:rPr>
          <w:rStyle w:val="FootnoteReference"/>
        </w:rPr>
        <w:footnoteRef/>
      </w:r>
      <w:r>
        <w:t xml:space="preserve"> This description and further information can be found at MSD’s website (</w:t>
      </w:r>
      <w:r w:rsidRPr="00786DAF">
        <w:t>https://www.workandincome.govt.nz/products/a-z-benefits/child-disability-allowance.html</w:t>
      </w:r>
      <w:r>
        <w:t>)</w:t>
      </w:r>
    </w:p>
  </w:footnote>
  <w:footnote w:id="19">
    <w:p w14:paraId="283D7AA8" w14:textId="77777777" w:rsidR="002D52CF" w:rsidRPr="0037250F" w:rsidRDefault="002D52CF" w:rsidP="002D27C4">
      <w:pPr>
        <w:pStyle w:val="FootnoteText"/>
      </w:pPr>
      <w:r>
        <w:rPr>
          <w:rStyle w:val="FootnoteReference"/>
        </w:rPr>
        <w:footnoteRef/>
      </w:r>
      <w:r>
        <w:t xml:space="preserve"> Health indicators were taken from the 3 year period to 30 June 2017 due to limited data being available for the 2017-18 year at the time of analysis. </w:t>
      </w:r>
    </w:p>
  </w:footnote>
  <w:footnote w:id="20">
    <w:p w14:paraId="12065A31" w14:textId="4290982E" w:rsidR="002D52CF" w:rsidRPr="00C6181D" w:rsidRDefault="002D52CF" w:rsidP="00422E24">
      <w:pPr>
        <w:pStyle w:val="FootnoteText"/>
        <w:rPr>
          <w:lang w:val="en-NZ"/>
        </w:rPr>
      </w:pPr>
      <w:r>
        <w:rPr>
          <w:rStyle w:val="FootnoteReference"/>
        </w:rPr>
        <w:footnoteRef/>
      </w:r>
      <w:r>
        <w:t xml:space="preserve"> </w:t>
      </w:r>
      <w:r>
        <w:rPr>
          <w:lang w:val="en-NZ"/>
        </w:rPr>
        <w:t>Age is at the beginning of the time period.</w:t>
      </w:r>
    </w:p>
  </w:footnote>
  <w:footnote w:id="21">
    <w:p w14:paraId="1E7EDC4D" w14:textId="35CDFBAC" w:rsidR="002D52CF" w:rsidRDefault="002D52CF">
      <w:pPr>
        <w:pStyle w:val="FootnoteText"/>
      </w:pPr>
      <w:r>
        <w:rPr>
          <w:rStyle w:val="FootnoteReference"/>
        </w:rPr>
        <w:footnoteRef/>
      </w:r>
      <w:r>
        <w:t xml:space="preserve"> </w:t>
      </w:r>
      <w:r w:rsidRPr="00786DAF">
        <w:t>ORS support helps students to join in and learn alongside other students at school. Any student who meets the ORS criteria is included in the scheme. Once a student is in ORS, their funding and support stays with them throughout their time at school. ORS funding and resources are considered to be a contribution to supporting a student’s schooling.</w:t>
      </w:r>
      <w:r>
        <w:t xml:space="preserve"> This description and further information on ORS can be found at the Ministry of Education’s website (</w:t>
      </w:r>
      <w:r w:rsidRPr="00786DAF">
        <w:t>https://www.education.govt.nz/school/student-support/special-education/ors/</w:t>
      </w:r>
      <w:r>
        <w:t>).</w:t>
      </w:r>
    </w:p>
  </w:footnote>
  <w:footnote w:id="22">
    <w:p w14:paraId="4A073920" w14:textId="003D0AC2" w:rsidR="002D52CF" w:rsidRPr="00581A7E" w:rsidRDefault="002D52CF">
      <w:pPr>
        <w:pStyle w:val="FootnoteText"/>
      </w:pPr>
      <w:r>
        <w:rPr>
          <w:rStyle w:val="FootnoteReference"/>
        </w:rPr>
        <w:footnoteRef/>
      </w:r>
      <w:r>
        <w:t xml:space="preserve"> </w:t>
      </w:r>
      <w:r>
        <w:rPr>
          <w:lang w:val="en-US"/>
        </w:rPr>
        <w:t>Truancy data is sourced from the Ministry of Education’s student intervention dataset; a ‘truancy spell’ indicates where a student has been referred to the Attendance Service. These rates may differ from those reported by the Ministry of Education as these are based on more granular student attendance data covering a wider range of non-attendance modes.</w:t>
      </w:r>
    </w:p>
  </w:footnote>
  <w:footnote w:id="23">
    <w:p w14:paraId="0CB462A5" w14:textId="4D7F5381" w:rsidR="002D52CF" w:rsidRPr="006219FC" w:rsidRDefault="002D52CF">
      <w:pPr>
        <w:pStyle w:val="FootnoteText"/>
        <w:rPr>
          <w:lang w:val="en-US"/>
        </w:rPr>
      </w:pPr>
      <w:r>
        <w:rPr>
          <w:rStyle w:val="FootnoteReference"/>
        </w:rPr>
        <w:footnoteRef/>
      </w:r>
      <w:r>
        <w:t xml:space="preserve"> In this report, o</w:t>
      </w:r>
      <w:r>
        <w:rPr>
          <w:lang w:val="en-US"/>
        </w:rPr>
        <w:t xml:space="preserve">ffences are categorised as low level or high level based on the seriousness scores assigned by the Ministry of Justice. </w:t>
      </w:r>
      <w:r w:rsidRPr="00894F25">
        <w:rPr>
          <w:lang w:val="en-US"/>
        </w:rPr>
        <w:t>Seriousness scores are a way of quantifying the relative seriousness of offences</w:t>
      </w:r>
      <w:r>
        <w:rPr>
          <w:lang w:val="en-US"/>
        </w:rPr>
        <w:t xml:space="preserve">. The majority of low level offences have a </w:t>
      </w:r>
      <w:r w:rsidRPr="006219FC">
        <w:rPr>
          <w:lang w:val="en-US"/>
        </w:rPr>
        <w:t xml:space="preserve">seriousness score </w:t>
      </w:r>
      <w:r>
        <w:rPr>
          <w:lang w:val="en-US"/>
        </w:rPr>
        <w:t xml:space="preserve">less than </w:t>
      </w:r>
      <w:r w:rsidRPr="006219FC">
        <w:rPr>
          <w:lang w:val="en-US"/>
        </w:rPr>
        <w:t>100</w:t>
      </w:r>
      <w:r>
        <w:rPr>
          <w:lang w:val="en-US"/>
        </w:rPr>
        <w:t xml:space="preserve">. </w:t>
      </w:r>
      <w:r w:rsidRPr="006219FC">
        <w:rPr>
          <w:lang w:val="en-US"/>
        </w:rPr>
        <w:t>Further information about seriousness scores is available at https://www.justice.govt.nz/assets/Documents/Publications/2016-FAQs-Seriousness-Scores2.pdf</w:t>
      </w:r>
      <w:r>
        <w:rPr>
          <w:lang w:val="en-US"/>
        </w:rPr>
        <w:t>.</w:t>
      </w:r>
    </w:p>
  </w:footnote>
  <w:footnote w:id="24">
    <w:p w14:paraId="2A1F2D81" w14:textId="547DD18E" w:rsidR="002D52CF" w:rsidRPr="001E5F4B" w:rsidRDefault="002D52CF">
      <w:pPr>
        <w:pStyle w:val="FootnoteText"/>
      </w:pPr>
      <w:r>
        <w:rPr>
          <w:rStyle w:val="FootnoteReference"/>
        </w:rPr>
        <w:footnoteRef/>
      </w:r>
      <w:r>
        <w:t xml:space="preserve"> </w:t>
      </w:r>
      <w:r w:rsidRPr="001E5F4B">
        <w:t>Third-tier MSD support payments are intended to be one-off support payments, including Special Needs Grants, Benefit advances, Recoverable Assistance Program and Home Help payments</w:t>
      </w:r>
      <w:r>
        <w:t>.</w:t>
      </w:r>
    </w:p>
  </w:footnote>
  <w:footnote w:id="25">
    <w:p w14:paraId="0022DE66" w14:textId="4EE5F770" w:rsidR="002D52CF" w:rsidRDefault="002D52CF">
      <w:pPr>
        <w:pStyle w:val="FootnoteText"/>
      </w:pPr>
      <w:r>
        <w:rPr>
          <w:rStyle w:val="FootnoteReference"/>
        </w:rPr>
        <w:footnoteRef/>
      </w:r>
      <w:r>
        <w:t xml:space="preserve"> This description and further information can be found at MSD’s website (</w:t>
      </w:r>
      <w:r w:rsidRPr="00786DAF">
        <w:t>https://www.workandincome.govt.nz/products/a-z-benefits/child-disability-allowance.html</w:t>
      </w:r>
      <w:r>
        <w:t>)</w:t>
      </w:r>
    </w:p>
  </w:footnote>
  <w:footnote w:id="26">
    <w:p w14:paraId="15012E12" w14:textId="77777777" w:rsidR="002D52CF" w:rsidRDefault="002D52CF" w:rsidP="00D52403">
      <w:pPr>
        <w:pStyle w:val="FootnoteText"/>
      </w:pPr>
      <w:r>
        <w:rPr>
          <w:rStyle w:val="FootnoteReference"/>
        </w:rPr>
        <w:footnoteRef/>
      </w:r>
      <w:r>
        <w:t xml:space="preserve"> </w:t>
      </w:r>
      <w:r w:rsidRPr="00BB4287">
        <w:t xml:space="preserve">Health </w:t>
      </w:r>
      <w:r>
        <w:t xml:space="preserve">and tertiary education </w:t>
      </w:r>
      <w:r w:rsidRPr="00BB4287">
        <w:t>indicators were taken from the 3 year period to 30 June 2017 due to limited data being available for the 2017-18 year at the time of analysis.</w:t>
      </w:r>
    </w:p>
  </w:footnote>
  <w:footnote w:id="27">
    <w:p w14:paraId="3744B8F9" w14:textId="77777777" w:rsidR="002D52CF" w:rsidRPr="00C6181D" w:rsidRDefault="002D52CF" w:rsidP="00ED3E14">
      <w:pPr>
        <w:pStyle w:val="FootnoteText"/>
        <w:rPr>
          <w:lang w:val="en-NZ"/>
        </w:rPr>
      </w:pPr>
      <w:r>
        <w:rPr>
          <w:rStyle w:val="FootnoteReference"/>
        </w:rPr>
        <w:footnoteRef/>
      </w:r>
      <w:r>
        <w:t xml:space="preserve"> </w:t>
      </w:r>
      <w:r>
        <w:rPr>
          <w:lang w:val="en-NZ"/>
        </w:rPr>
        <w:t>Age is at the beginning of the time period</w:t>
      </w:r>
    </w:p>
  </w:footnote>
  <w:footnote w:id="28">
    <w:p w14:paraId="420CA67D" w14:textId="6F4A783C" w:rsidR="002D52CF" w:rsidRPr="005F41E2" w:rsidRDefault="002D52CF">
      <w:pPr>
        <w:pStyle w:val="FootnoteText"/>
        <w:rPr>
          <w:lang w:val="en-US"/>
        </w:rPr>
      </w:pPr>
      <w:r>
        <w:rPr>
          <w:rStyle w:val="FootnoteReference"/>
        </w:rPr>
        <w:footnoteRef/>
      </w:r>
      <w:r>
        <w:t xml:space="preserve"> T</w:t>
      </w:r>
      <w:r w:rsidRPr="004345EF">
        <w:t>he group</w:t>
      </w:r>
      <w:r w:rsidRPr="00214233">
        <w:t xml:space="preserve"> of MidCentral DSS young people</w:t>
      </w:r>
      <w:r w:rsidRPr="004345EF">
        <w:t xml:space="preserve"> is relatively small and so</w:t>
      </w:r>
      <w:r w:rsidRPr="00214233">
        <w:t xml:space="preserve"> the proportion </w:t>
      </w:r>
      <w:r w:rsidRPr="004345EF">
        <w:t xml:space="preserve">involved in </w:t>
      </w:r>
      <w:r>
        <w:t>post-school education and</w:t>
      </w:r>
      <w:r w:rsidRPr="00214233">
        <w:t xml:space="preserve"> employment </w:t>
      </w:r>
      <w:r>
        <w:t xml:space="preserve">can </w:t>
      </w:r>
      <w:r w:rsidRPr="004345EF">
        <w:t>var</w:t>
      </w:r>
      <w:r>
        <w:t>y</w:t>
      </w:r>
      <w:r w:rsidRPr="004345EF">
        <w:t xml:space="preserve"> between ages and</w:t>
      </w:r>
      <w:r w:rsidRPr="00214233">
        <w:t xml:space="preserve"> year</w:t>
      </w:r>
      <w:r w:rsidRPr="004345EF">
        <w:t xml:space="preserve">-on-year. Comparable </w:t>
      </w:r>
      <w:r w:rsidRPr="00214233">
        <w:t xml:space="preserve">observations </w:t>
      </w:r>
      <w:r w:rsidRPr="004345EF">
        <w:t xml:space="preserve">for </w:t>
      </w:r>
      <w:r w:rsidRPr="00214233">
        <w:t xml:space="preserve">the national </w:t>
      </w:r>
      <w:r w:rsidRPr="004345EF">
        <w:t>population</w:t>
      </w:r>
      <w:r w:rsidRPr="00214233">
        <w:t xml:space="preserve"> of DSS young people </w:t>
      </w:r>
      <w:r w:rsidRPr="004345EF">
        <w:t xml:space="preserve">are set out in Appendix H. These are based on a significantly larger group </w:t>
      </w:r>
      <w:r>
        <w:t xml:space="preserve">so </w:t>
      </w:r>
      <w:r w:rsidRPr="004345EF">
        <w:t>show less variability between ages and across years</w:t>
      </w:r>
      <w:r w:rsidRPr="00214233">
        <w:t>.</w:t>
      </w:r>
    </w:p>
  </w:footnote>
  <w:footnote w:id="29">
    <w:p w14:paraId="19B16D23" w14:textId="0A17A436" w:rsidR="002D52CF" w:rsidRPr="00275726" w:rsidRDefault="002D52CF">
      <w:pPr>
        <w:pStyle w:val="FootnoteText"/>
        <w:rPr>
          <w:lang w:val="en-US"/>
        </w:rPr>
      </w:pPr>
      <w:r>
        <w:rPr>
          <w:rStyle w:val="FootnoteReference"/>
        </w:rPr>
        <w:footnoteRef/>
      </w:r>
      <w:r>
        <w:t xml:space="preserve"> A small proportion of MidCentral </w:t>
      </w:r>
      <w:r>
        <w:rPr>
          <w:lang w:val="en-US"/>
        </w:rPr>
        <w:t>DSS young people were enrolled in tertiary education at ages 23, 24 and 25. These rates have been suppressed due to small counts.</w:t>
      </w:r>
    </w:p>
  </w:footnote>
  <w:footnote w:id="30">
    <w:p w14:paraId="6E58A6C9" w14:textId="4A498AA5" w:rsidR="002D52CF" w:rsidRPr="00BF286E" w:rsidRDefault="002D52CF">
      <w:pPr>
        <w:pStyle w:val="FootnoteText"/>
        <w:rPr>
          <w:lang w:val="en-US"/>
        </w:rPr>
      </w:pPr>
      <w:r>
        <w:rPr>
          <w:rStyle w:val="FootnoteReference"/>
        </w:rPr>
        <w:footnoteRef/>
      </w:r>
      <w:r>
        <w:t xml:space="preserve"> ‘School leavers with NCEA level 2 or above’, Ministry of Education, sourced from: </w:t>
      </w:r>
      <w:r w:rsidRPr="00633A2A">
        <w:rPr>
          <w:lang w:val="en-US"/>
        </w:rPr>
        <w:t>https://www.educationcounts.govt.nz/statistics/indicators/main/education-and-learning-outcomes/1781</w:t>
      </w:r>
    </w:p>
  </w:footnote>
  <w:footnote w:id="31">
    <w:p w14:paraId="2E8439FE" w14:textId="73918EB7" w:rsidR="002D52CF" w:rsidRPr="008C7B3C" w:rsidRDefault="002D52CF">
      <w:pPr>
        <w:pStyle w:val="FootnoteText"/>
        <w:rPr>
          <w:lang w:val="en-US"/>
        </w:rPr>
      </w:pPr>
      <w:r>
        <w:rPr>
          <w:rStyle w:val="FootnoteReference"/>
        </w:rPr>
        <w:footnoteRef/>
      </w:r>
      <w:r>
        <w:t xml:space="preserve"> In this report, o</w:t>
      </w:r>
      <w:r>
        <w:rPr>
          <w:lang w:val="en-US"/>
        </w:rPr>
        <w:t xml:space="preserve">ffences are categorised as low level or high level based on the seriousness scores assigned by the Ministry of Justice. </w:t>
      </w:r>
      <w:r w:rsidRPr="00894F25">
        <w:rPr>
          <w:lang w:val="en-US"/>
        </w:rPr>
        <w:t>Seriousness scores are a way of quantifying the relative seriousness of offences</w:t>
      </w:r>
      <w:r>
        <w:rPr>
          <w:lang w:val="en-US"/>
        </w:rPr>
        <w:t xml:space="preserve">. The majority of low level offences have a </w:t>
      </w:r>
      <w:r w:rsidRPr="006219FC">
        <w:rPr>
          <w:lang w:val="en-US"/>
        </w:rPr>
        <w:t xml:space="preserve">seriousness score </w:t>
      </w:r>
      <w:r>
        <w:rPr>
          <w:lang w:val="en-US"/>
        </w:rPr>
        <w:t xml:space="preserve">less than </w:t>
      </w:r>
      <w:r w:rsidRPr="006219FC">
        <w:rPr>
          <w:lang w:val="en-US"/>
        </w:rPr>
        <w:t>100</w:t>
      </w:r>
      <w:r>
        <w:rPr>
          <w:lang w:val="en-US"/>
        </w:rPr>
        <w:t xml:space="preserve">. </w:t>
      </w:r>
      <w:r w:rsidRPr="006219FC">
        <w:rPr>
          <w:lang w:val="en-US"/>
        </w:rPr>
        <w:t>Further information about seriousness scores is available at https://www.justice.govt.nz/assets/Documents/Publications/2016-FAQs-Seriousness-Scores2.pdf</w:t>
      </w:r>
      <w:r>
        <w:rPr>
          <w:lang w:val="en-US"/>
        </w:rPr>
        <w:t>.</w:t>
      </w:r>
    </w:p>
  </w:footnote>
  <w:footnote w:id="32">
    <w:p w14:paraId="0848FB2E" w14:textId="071E7A9A" w:rsidR="002D52CF" w:rsidRPr="001E5F4B" w:rsidRDefault="002D52CF">
      <w:pPr>
        <w:pStyle w:val="FootnoteText"/>
      </w:pPr>
      <w:r>
        <w:rPr>
          <w:rStyle w:val="FootnoteReference"/>
        </w:rPr>
        <w:footnoteRef/>
      </w:r>
      <w:r>
        <w:t xml:space="preserve"> </w:t>
      </w:r>
      <w:r w:rsidRPr="001E5F4B">
        <w:t>Third-tier MSD support payments are intended to be one-off support payments, including Special Needs Grants, Benefit advances, Recoverable Assistance Program and Home Help payments.</w:t>
      </w:r>
    </w:p>
  </w:footnote>
  <w:footnote w:id="33">
    <w:p w14:paraId="40E42835" w14:textId="5D722742" w:rsidR="002D52CF" w:rsidRPr="00150CD2" w:rsidRDefault="002D52CF">
      <w:pPr>
        <w:pStyle w:val="FootnoteText"/>
        <w:rPr>
          <w:rFonts w:cs="Arial"/>
          <w:lang w:val="en-US"/>
        </w:rPr>
      </w:pPr>
      <w:r w:rsidRPr="00150CD2">
        <w:rPr>
          <w:rStyle w:val="FootnoteReference"/>
          <w:rFonts w:ascii="Arial" w:hAnsi="Arial" w:cs="Arial"/>
        </w:rPr>
        <w:footnoteRef/>
      </w:r>
      <w:r w:rsidRPr="00150CD2">
        <w:rPr>
          <w:rFonts w:cs="Arial"/>
        </w:rPr>
        <w:t xml:space="preserve"> Observations from the 2013 Disability Survey for DSS clients should be treated as indicative only, rather than representative of the overall DSS population, as a relatively small number of current and previous DSS clients responded to the surveys and the profile of their demographic and disability related characteristics varies from that of the overall DSS population. Further information on sample bias is described in section </w:t>
      </w:r>
      <w:r w:rsidRPr="00150CD2">
        <w:rPr>
          <w:rFonts w:cs="Arial"/>
        </w:rPr>
        <w:fldChar w:fldCharType="begin"/>
      </w:r>
      <w:r w:rsidRPr="00150CD2">
        <w:rPr>
          <w:rFonts w:cs="Arial"/>
        </w:rPr>
        <w:instrText xml:space="preserve"> REF _Ref34056683 \r \h </w:instrText>
      </w:r>
      <w:r>
        <w:rPr>
          <w:rFonts w:cs="Arial"/>
        </w:rPr>
        <w:instrText xml:space="preserve"> \* MERGEFORMAT </w:instrText>
      </w:r>
      <w:r w:rsidRPr="00150CD2">
        <w:rPr>
          <w:rFonts w:cs="Arial"/>
        </w:rPr>
      </w:r>
      <w:r w:rsidRPr="00150CD2">
        <w:rPr>
          <w:rFonts w:cs="Arial"/>
        </w:rPr>
        <w:fldChar w:fldCharType="separate"/>
      </w:r>
      <w:r w:rsidRPr="00150CD2">
        <w:rPr>
          <w:rFonts w:cs="Arial"/>
        </w:rPr>
        <w:t>6</w:t>
      </w:r>
      <w:r w:rsidRPr="00150CD2">
        <w:rPr>
          <w:rFonts w:cs="Arial"/>
        </w:rPr>
        <w:fldChar w:fldCharType="end"/>
      </w:r>
      <w:r w:rsidRPr="00150CD2">
        <w:rPr>
          <w:rFonts w:cs="Arial"/>
        </w:rPr>
        <w:t>.</w:t>
      </w:r>
    </w:p>
  </w:footnote>
  <w:footnote w:id="34">
    <w:p w14:paraId="663275FA" w14:textId="51CC51CA" w:rsidR="002D52CF" w:rsidRPr="00D143A9" w:rsidRDefault="002D52CF">
      <w:pPr>
        <w:pStyle w:val="FootnoteText"/>
        <w:rPr>
          <w:lang w:val="en-US"/>
        </w:rPr>
      </w:pPr>
      <w:r w:rsidRPr="00150CD2">
        <w:rPr>
          <w:rStyle w:val="FootnoteReference"/>
          <w:rFonts w:ascii="Arial" w:hAnsi="Arial" w:cs="Arial"/>
        </w:rPr>
        <w:footnoteRef/>
      </w:r>
      <w:r w:rsidRPr="00150CD2">
        <w:rPr>
          <w:rFonts w:cs="Arial"/>
        </w:rPr>
        <w:t xml:space="preserve"> Health and tertiary education indicators were taken from the 3 year period to 30 June 2017 due to limited data being available for the 2017-18 year at the time of analysis.</w:t>
      </w:r>
    </w:p>
  </w:footnote>
  <w:footnote w:id="35">
    <w:p w14:paraId="70DE42AA" w14:textId="02F88135" w:rsidR="002D52CF" w:rsidRPr="00150CD2" w:rsidRDefault="002D52CF">
      <w:pPr>
        <w:pStyle w:val="FootnoteText"/>
        <w:rPr>
          <w:rFonts w:cs="Arial"/>
        </w:rPr>
      </w:pPr>
      <w:r w:rsidRPr="00150CD2">
        <w:rPr>
          <w:rStyle w:val="FootnoteReference"/>
          <w:rFonts w:ascii="Arial" w:hAnsi="Arial" w:cs="Arial"/>
        </w:rPr>
        <w:footnoteRef/>
      </w:r>
      <w:r w:rsidRPr="00150CD2">
        <w:rPr>
          <w:rFonts w:cs="Arial"/>
        </w:rPr>
        <w:t xml:space="preserve"> Third-tier MSD support payments are intended to be one-off support payments, including Special Needs Grants, Benefit advances, Recoverable Assistance Program and Home Help payments.</w:t>
      </w:r>
    </w:p>
  </w:footnote>
  <w:footnote w:id="36">
    <w:p w14:paraId="6E3A69CC" w14:textId="702080A1" w:rsidR="002D52CF" w:rsidRPr="00C03C65" w:rsidRDefault="002D52CF" w:rsidP="00ED3238">
      <w:pPr>
        <w:pStyle w:val="FootnoteText"/>
        <w:rPr>
          <w:lang w:val="en-US"/>
        </w:rPr>
      </w:pPr>
      <w:r>
        <w:rPr>
          <w:rStyle w:val="FootnoteReference"/>
        </w:rPr>
        <w:footnoteRef/>
      </w:r>
      <w:r>
        <w:t xml:space="preserve"> </w:t>
      </w:r>
      <w:r w:rsidRPr="00593C07">
        <w:t>Health indicators were taken from the 3 year period to 30 June 2017 due to limited data being available for the 2017-18 year at the time of analysis.</w:t>
      </w:r>
    </w:p>
  </w:footnote>
  <w:footnote w:id="37">
    <w:p w14:paraId="329F898A" w14:textId="68A0D6CB" w:rsidR="002D52CF" w:rsidRPr="001E5F4B" w:rsidRDefault="002D52CF">
      <w:pPr>
        <w:pStyle w:val="FootnoteText"/>
      </w:pPr>
      <w:r>
        <w:rPr>
          <w:rStyle w:val="FootnoteReference"/>
        </w:rPr>
        <w:footnoteRef/>
      </w:r>
      <w:r>
        <w:t xml:space="preserve"> </w:t>
      </w:r>
      <w:r w:rsidRPr="001E5F4B">
        <w:t>Third-tier MSD support payments are intended to be one-off support payments, including Special Needs Grants, Benefit advances, Recoverable Assistance Program and Home Help payments.</w:t>
      </w:r>
    </w:p>
  </w:footnote>
  <w:footnote w:id="38">
    <w:p w14:paraId="37095ECA" w14:textId="59FE64E4" w:rsidR="002D52CF" w:rsidRPr="00D532B7" w:rsidRDefault="002D52CF">
      <w:pPr>
        <w:pStyle w:val="FootnoteText"/>
        <w:rPr>
          <w:lang w:val="en-US"/>
        </w:rPr>
      </w:pPr>
      <w:r>
        <w:rPr>
          <w:rStyle w:val="FootnoteReference"/>
        </w:rPr>
        <w:footnoteRef/>
      </w:r>
      <w:r>
        <w:t xml:space="preserve"> </w:t>
      </w:r>
      <w:r>
        <w:rPr>
          <w:lang w:val="en-US"/>
        </w:rPr>
        <w:t>Where DSS funding was allocated at some point over the period 1 January 2010 to 30 June 2018.</w:t>
      </w:r>
    </w:p>
  </w:footnote>
  <w:footnote w:id="39">
    <w:p w14:paraId="01212EB5" w14:textId="5B0BBC0B" w:rsidR="002D52CF" w:rsidRPr="00D106A4" w:rsidRDefault="002D52CF">
      <w:pPr>
        <w:pStyle w:val="FootnoteText"/>
        <w:rPr>
          <w:lang w:val="en-US"/>
        </w:rPr>
      </w:pPr>
      <w:r>
        <w:rPr>
          <w:rStyle w:val="FootnoteReference"/>
        </w:rPr>
        <w:footnoteRef/>
      </w:r>
      <w:r>
        <w:t xml:space="preserve"> Health services contact q</w:t>
      </w:r>
      <w:r>
        <w:rPr>
          <w:lang w:val="en-US"/>
        </w:rPr>
        <w:t>uestions were applicable to children aged 6-14.</w:t>
      </w:r>
    </w:p>
  </w:footnote>
  <w:footnote w:id="40">
    <w:p w14:paraId="7EF3ADB3" w14:textId="7F989939" w:rsidR="002D52CF" w:rsidRPr="00DC0A63" w:rsidRDefault="002D52CF">
      <w:pPr>
        <w:pStyle w:val="FootnoteText"/>
        <w:rPr>
          <w:lang w:val="en-US"/>
        </w:rPr>
      </w:pPr>
      <w:r>
        <w:rPr>
          <w:rStyle w:val="FootnoteReference"/>
        </w:rPr>
        <w:footnoteRef/>
      </w:r>
      <w:r>
        <w:t xml:space="preserve"> </w:t>
      </w:r>
      <w:r w:rsidRPr="005F5623">
        <w:t xml:space="preserve">Deprived areas are drawn from the NZDep2013 Index of Deprivation developed by Otago University. If </w:t>
      </w:r>
      <w:r>
        <w:t xml:space="preserve">the DSS population had </w:t>
      </w:r>
      <w:r w:rsidRPr="005F5623">
        <w:t xml:space="preserve">the same deprivation profile as New Zealand overall then 20% of the population would live in the 20% least deprived areas and another 20% of the population would live in the 20% most deprived areas. Further information can be found at </w:t>
      </w:r>
      <w:hyperlink r:id="rId2" w:history="1">
        <w:r w:rsidRPr="00F078E4">
          <w:rPr>
            <w:rStyle w:val="Hyperlink"/>
            <w:sz w:val="16"/>
          </w:rPr>
          <w:t>https://www.otago.ac.nz/wellington/departments/publichealth/research/hirp/otago020194.html</w:t>
        </w:r>
      </w:hyperlink>
      <w:r>
        <w:t>.</w:t>
      </w:r>
    </w:p>
  </w:footnote>
  <w:footnote w:id="41">
    <w:p w14:paraId="1A63D2F2" w14:textId="7EB880F9" w:rsidR="002D52CF" w:rsidRPr="001E7188" w:rsidRDefault="002D52CF" w:rsidP="00124C64">
      <w:pPr>
        <w:pStyle w:val="FootnoteText"/>
      </w:pPr>
      <w:r>
        <w:rPr>
          <w:rStyle w:val="FootnoteReference"/>
        </w:rPr>
        <w:footnoteRef/>
      </w:r>
      <w:r>
        <w:t xml:space="preserve"> </w:t>
      </w:r>
      <w:r>
        <w:rPr>
          <w:lang w:val="en-US"/>
        </w:rPr>
        <w:t>Figures may differ slightly from those presented in this report, due to the use of a different time period (1 October 2017 to 30 September 2018) and the effects of IDI matching rates and rounding on this report’s figures.</w:t>
      </w:r>
    </w:p>
  </w:footnote>
  <w:footnote w:id="42">
    <w:p w14:paraId="40F44CB5" w14:textId="77777777" w:rsidR="002D52CF" w:rsidRPr="00C33A7D" w:rsidRDefault="002D52CF" w:rsidP="00310848">
      <w:pPr>
        <w:pStyle w:val="FootnoteText"/>
        <w:rPr>
          <w:lang w:val="en-US"/>
        </w:rPr>
      </w:pPr>
      <w:r>
        <w:rPr>
          <w:rStyle w:val="FootnoteReference"/>
        </w:rPr>
        <w:footnoteRef/>
      </w:r>
      <w:r>
        <w:t xml:space="preserve"> </w:t>
      </w:r>
      <w:r w:rsidRPr="00C664A7">
        <w:t>Health indicators were taken from the 3 year period to 30 June 2017 due to limited data being available for the 2017-18 year at the time of analysis.</w:t>
      </w:r>
    </w:p>
  </w:footnote>
  <w:footnote w:id="43">
    <w:p w14:paraId="772F8B8D" w14:textId="3D3EBDE9" w:rsidR="002D52CF" w:rsidRPr="008F1F8C" w:rsidRDefault="002D52CF" w:rsidP="00310848">
      <w:pPr>
        <w:pStyle w:val="FootnoteText"/>
        <w:rPr>
          <w:lang w:val="en-US"/>
        </w:rPr>
      </w:pPr>
      <w:r>
        <w:rPr>
          <w:rStyle w:val="FootnoteReference"/>
        </w:rPr>
        <w:footnoteRef/>
      </w:r>
      <w:r>
        <w:t xml:space="preserve"> </w:t>
      </w:r>
      <w:r>
        <w:rPr>
          <w:lang w:val="en-US"/>
        </w:rPr>
        <w:t>Based on early childhood education enrolment information provided to the Ministry of Education by parents for children aged 6-10 at 30 June 2018. This information is not yet available for children aged 0-4 as they have not yet started school.</w:t>
      </w:r>
    </w:p>
  </w:footnote>
  <w:footnote w:id="44">
    <w:p w14:paraId="76098B38" w14:textId="77777777" w:rsidR="002D52CF" w:rsidRPr="008F1F8C" w:rsidRDefault="002D52CF" w:rsidP="00310848">
      <w:pPr>
        <w:pStyle w:val="FootnoteText"/>
        <w:rPr>
          <w:lang w:val="en-US"/>
        </w:rPr>
      </w:pPr>
      <w:r>
        <w:rPr>
          <w:rStyle w:val="FootnoteReference"/>
        </w:rPr>
        <w:footnoteRef/>
      </w:r>
      <w:r>
        <w:t xml:space="preserve"> </w:t>
      </w:r>
      <w:r>
        <w:rPr>
          <w:lang w:val="en-US"/>
        </w:rPr>
        <w:t>Based on B4 School Check outcomes recorded for children aged 5-9 at 30 June 2018.</w:t>
      </w:r>
    </w:p>
  </w:footnote>
  <w:footnote w:id="45">
    <w:p w14:paraId="5D62CC0F" w14:textId="1B1C9D0C" w:rsidR="002D52CF" w:rsidRPr="001E5F4B" w:rsidRDefault="002D52CF">
      <w:pPr>
        <w:pStyle w:val="FootnoteText"/>
      </w:pPr>
      <w:r>
        <w:rPr>
          <w:rStyle w:val="FootnoteReference"/>
        </w:rPr>
        <w:footnoteRef/>
      </w:r>
      <w:r>
        <w:t xml:space="preserve"> </w:t>
      </w:r>
      <w:r w:rsidRPr="001E5F4B">
        <w:t>Third-tier MSD support payments are intended to be one-off support payments, including Special Needs Grants, Benefit advances, Recoverable Assistance Program and Home Help payments.</w:t>
      </w:r>
    </w:p>
  </w:footnote>
  <w:footnote w:id="46">
    <w:p w14:paraId="39190925" w14:textId="77777777" w:rsidR="002D52CF" w:rsidRDefault="002D52CF" w:rsidP="00152FB8">
      <w:pPr>
        <w:pStyle w:val="FootnoteText"/>
      </w:pPr>
      <w:r>
        <w:rPr>
          <w:rStyle w:val="FootnoteReference"/>
        </w:rPr>
        <w:footnoteRef/>
      </w:r>
      <w:r>
        <w:t xml:space="preserve"> This description and further information can be found at MSD’s website (</w:t>
      </w:r>
      <w:r w:rsidRPr="00786DAF">
        <w:t>https://www.workandincome.govt.nz/products/a-z-benefits/child-disability-allowance.html</w:t>
      </w:r>
      <w:r>
        <w:t>)</w:t>
      </w:r>
    </w:p>
  </w:footnote>
  <w:footnote w:id="47">
    <w:p w14:paraId="672ECBDE" w14:textId="77777777" w:rsidR="002D52CF" w:rsidRPr="00C33A7D" w:rsidRDefault="002D52CF" w:rsidP="00310848">
      <w:pPr>
        <w:pStyle w:val="FootnoteText"/>
        <w:rPr>
          <w:lang w:val="en-US"/>
        </w:rPr>
      </w:pPr>
      <w:r>
        <w:rPr>
          <w:rStyle w:val="FootnoteReference"/>
        </w:rPr>
        <w:footnoteRef/>
      </w:r>
      <w:r>
        <w:t xml:space="preserve"> </w:t>
      </w:r>
      <w:r w:rsidRPr="00C664A7">
        <w:t>Health indicators were taken from the 3 year period to 30 June 2017 due to limited data being available for the 2017-18 year at the time of analysis.</w:t>
      </w:r>
    </w:p>
  </w:footnote>
  <w:footnote w:id="48">
    <w:p w14:paraId="27994C23" w14:textId="77777777" w:rsidR="002D52CF" w:rsidRDefault="002D52CF" w:rsidP="00786DAF">
      <w:pPr>
        <w:pStyle w:val="FootnoteText"/>
      </w:pPr>
      <w:r>
        <w:rPr>
          <w:rStyle w:val="FootnoteReference"/>
        </w:rPr>
        <w:footnoteRef/>
      </w:r>
      <w:r>
        <w:t xml:space="preserve"> </w:t>
      </w:r>
      <w:r w:rsidRPr="00786DAF">
        <w:t>ORS support helps students to join in and learn alongside other students at school. Any student who meets the ORS criteria is included in the scheme. Once a student is in ORS, their funding and support stays with them throughout their time at school. ORS funding and resources are considered to be a contribution to supporting a student’s schooling.</w:t>
      </w:r>
      <w:r>
        <w:t xml:space="preserve"> This description and further information on ORS can be found at the Ministry of Education’s website (</w:t>
      </w:r>
      <w:r w:rsidRPr="00786DAF">
        <w:t>https://www.education.govt.nz/school/student-support/special-education/ors/</w:t>
      </w:r>
      <w:r>
        <w:t>).</w:t>
      </w:r>
    </w:p>
  </w:footnote>
  <w:footnote w:id="49">
    <w:p w14:paraId="5CA4D770" w14:textId="36CDCF00" w:rsidR="002D52CF" w:rsidRPr="00581A7E" w:rsidRDefault="002D52CF">
      <w:pPr>
        <w:pStyle w:val="FootnoteText"/>
      </w:pPr>
      <w:r>
        <w:rPr>
          <w:rStyle w:val="FootnoteReference"/>
        </w:rPr>
        <w:footnoteRef/>
      </w:r>
      <w:r>
        <w:t xml:space="preserve"> </w:t>
      </w:r>
      <w:r>
        <w:rPr>
          <w:lang w:val="en-US"/>
        </w:rPr>
        <w:t>Truancy data is sourced from the Ministry of Education’s student intervention dataset; a ‘truancy spell’ indicates where a student has been referred to the Attendance Service. These rates may differ from those reported by the Ministry of Education as these are based on more granular student attendance data covering a wider range of non-attendance modes.</w:t>
      </w:r>
    </w:p>
  </w:footnote>
  <w:footnote w:id="50">
    <w:p w14:paraId="1D560CD3" w14:textId="546BD2D8" w:rsidR="002D52CF" w:rsidRPr="008C7B3C" w:rsidRDefault="002D52CF">
      <w:pPr>
        <w:pStyle w:val="FootnoteText"/>
        <w:rPr>
          <w:lang w:val="en-US"/>
        </w:rPr>
      </w:pPr>
      <w:r>
        <w:rPr>
          <w:rStyle w:val="FootnoteReference"/>
        </w:rPr>
        <w:footnoteRef/>
      </w:r>
      <w:r>
        <w:t xml:space="preserve"> In this report, o</w:t>
      </w:r>
      <w:r>
        <w:rPr>
          <w:lang w:val="en-US"/>
        </w:rPr>
        <w:t xml:space="preserve">ffences are categorised as low level or high level based on the seriousness scores assigned by the Ministry of Justice. </w:t>
      </w:r>
      <w:r w:rsidRPr="00894F25">
        <w:rPr>
          <w:lang w:val="en-US"/>
        </w:rPr>
        <w:t>Seriousness scores are a way of quantifying the relative seriousness of offences</w:t>
      </w:r>
      <w:r>
        <w:rPr>
          <w:lang w:val="en-US"/>
        </w:rPr>
        <w:t xml:space="preserve">. The majority of high level offences have a </w:t>
      </w:r>
      <w:r w:rsidRPr="006219FC">
        <w:rPr>
          <w:lang w:val="en-US"/>
        </w:rPr>
        <w:t xml:space="preserve">seriousness score </w:t>
      </w:r>
      <w:r>
        <w:rPr>
          <w:lang w:val="en-US"/>
        </w:rPr>
        <w:t xml:space="preserve">greater than </w:t>
      </w:r>
      <w:r w:rsidRPr="006219FC">
        <w:rPr>
          <w:lang w:val="en-US"/>
        </w:rPr>
        <w:t>100</w:t>
      </w:r>
      <w:r>
        <w:rPr>
          <w:lang w:val="en-US"/>
        </w:rPr>
        <w:t xml:space="preserve">. </w:t>
      </w:r>
      <w:r w:rsidRPr="006219FC">
        <w:rPr>
          <w:lang w:val="en-US"/>
        </w:rPr>
        <w:t>Further information about seriousness scores is available at https://www.justice.govt.nz/assets/Documents/Publications/2016-FAQs-Seriousness-Scores2.pdf</w:t>
      </w:r>
      <w:r>
        <w:rPr>
          <w:lang w:val="en-US"/>
        </w:rPr>
        <w:t>.</w:t>
      </w:r>
    </w:p>
  </w:footnote>
  <w:footnote w:id="51">
    <w:p w14:paraId="3E980004" w14:textId="24821D9F" w:rsidR="002D52CF" w:rsidRPr="001E5F4B" w:rsidRDefault="002D52CF">
      <w:pPr>
        <w:pStyle w:val="FootnoteText"/>
      </w:pPr>
      <w:r>
        <w:rPr>
          <w:rStyle w:val="FootnoteReference"/>
        </w:rPr>
        <w:footnoteRef/>
      </w:r>
      <w:r>
        <w:t xml:space="preserve"> </w:t>
      </w:r>
      <w:r w:rsidRPr="001E5F4B">
        <w:t>Third-tier MSD support payments are intended to be one-off support payments, including Special Needs Grants, Benefit advances, Recoverable Assistance Program and Home Help payments.</w:t>
      </w:r>
    </w:p>
  </w:footnote>
  <w:footnote w:id="52">
    <w:p w14:paraId="75C06649" w14:textId="77777777" w:rsidR="002D52CF" w:rsidRDefault="002D52CF" w:rsidP="00152FB8">
      <w:pPr>
        <w:pStyle w:val="FootnoteText"/>
      </w:pPr>
      <w:r>
        <w:rPr>
          <w:rStyle w:val="FootnoteReference"/>
        </w:rPr>
        <w:footnoteRef/>
      </w:r>
      <w:r>
        <w:t xml:space="preserve"> This description and further information can be found at MSD’s website (</w:t>
      </w:r>
      <w:r w:rsidRPr="00786DAF">
        <w:t>https://www.workandincome.govt.nz/products/a-z-benefits/child-disability-allowance.html</w:t>
      </w:r>
      <w:r>
        <w:t>)</w:t>
      </w:r>
    </w:p>
  </w:footnote>
  <w:footnote w:id="53">
    <w:p w14:paraId="7BAF54D9" w14:textId="77777777" w:rsidR="002D52CF" w:rsidRPr="00C664A7" w:rsidRDefault="002D52CF" w:rsidP="00A01006">
      <w:pPr>
        <w:pStyle w:val="FootnoteText"/>
      </w:pPr>
      <w:r>
        <w:rPr>
          <w:rStyle w:val="FootnoteReference"/>
        </w:rPr>
        <w:footnoteRef/>
      </w:r>
      <w:r>
        <w:t xml:space="preserve"> </w:t>
      </w:r>
      <w:r>
        <w:rPr>
          <w:lang w:val="en-US"/>
        </w:rPr>
        <w:t>Health and tertiary education indicators were taken from the 3 year period to 30 June 2017 due to limited data being available for the 2017-18 year at the time of analysis.</w:t>
      </w:r>
    </w:p>
  </w:footnote>
  <w:footnote w:id="54">
    <w:p w14:paraId="04485327" w14:textId="7BBF7537" w:rsidR="002D52CF" w:rsidRPr="0024127F" w:rsidRDefault="002D52CF">
      <w:pPr>
        <w:pStyle w:val="FootnoteText"/>
        <w:rPr>
          <w:lang w:val="en-US"/>
        </w:rPr>
      </w:pPr>
      <w:r>
        <w:rPr>
          <w:rStyle w:val="FootnoteReference"/>
        </w:rPr>
        <w:footnoteRef/>
      </w:r>
      <w:r>
        <w:t xml:space="preserve"> </w:t>
      </w:r>
      <w:r>
        <w:rPr>
          <w:lang w:val="en-US"/>
        </w:rPr>
        <w:t xml:space="preserve">Note that the Ministry of Education reports that almost 80% of school leavers achieve at least NCEA level 2 or equivalent; the figure reported here is lower as it includes young people resident in New Zealand at June 2018 who completed their education overseas, e.g. recent migrants. Refer to </w:t>
      </w:r>
      <w:r w:rsidRPr="00633A2A">
        <w:rPr>
          <w:lang w:val="en-US"/>
        </w:rPr>
        <w:t>https://www.educationcounts.govt.nz/statistics/indicators/main/education-and-learning-outcomes/1781</w:t>
      </w:r>
    </w:p>
  </w:footnote>
  <w:footnote w:id="55">
    <w:p w14:paraId="26296796" w14:textId="77777777" w:rsidR="002D52CF" w:rsidRPr="00BF286E" w:rsidRDefault="002D52CF" w:rsidP="00DE3929">
      <w:pPr>
        <w:pStyle w:val="FootnoteText"/>
        <w:rPr>
          <w:lang w:val="en-US"/>
        </w:rPr>
      </w:pPr>
      <w:r>
        <w:rPr>
          <w:rStyle w:val="FootnoteReference"/>
        </w:rPr>
        <w:footnoteRef/>
      </w:r>
      <w:r>
        <w:t xml:space="preserve"> ‘School leavers with NCEA level 2 or above’, Ministry of Education, sourced from: </w:t>
      </w:r>
      <w:r w:rsidRPr="00633A2A">
        <w:rPr>
          <w:lang w:val="en-US"/>
        </w:rPr>
        <w:t>https://www.educationcounts.govt.nz/statistics/indicators/main/education-and-learning-outcomes/1781</w:t>
      </w:r>
    </w:p>
  </w:footnote>
  <w:footnote w:id="56">
    <w:p w14:paraId="59D99C12" w14:textId="631C39AD" w:rsidR="002D52CF" w:rsidRPr="008C7B3C" w:rsidRDefault="002D52CF">
      <w:pPr>
        <w:pStyle w:val="FootnoteText"/>
        <w:rPr>
          <w:lang w:val="en-US"/>
        </w:rPr>
      </w:pPr>
      <w:r>
        <w:rPr>
          <w:rStyle w:val="FootnoteReference"/>
        </w:rPr>
        <w:footnoteRef/>
      </w:r>
      <w:r>
        <w:t xml:space="preserve"> </w:t>
      </w:r>
      <w:r w:rsidRPr="008C7B3C">
        <w:t xml:space="preserve">In this report, offences are categorised as low level or high level based on the seriousness scores assigned by the Ministry of Justice. Seriousness scores are a way of quantifying the relative seriousness of offences. The majority of </w:t>
      </w:r>
      <w:r>
        <w:t>high</w:t>
      </w:r>
      <w:r w:rsidRPr="008C7B3C">
        <w:t xml:space="preserve"> level offences have a seriousness score </w:t>
      </w:r>
      <w:r>
        <w:t>greater</w:t>
      </w:r>
      <w:r w:rsidRPr="008C7B3C">
        <w:t xml:space="preserve"> than 100. Further information about seriousness scores is available at https://www.justice.govt.nz/assets/Documents/Publications/2016-FAQs-Seriousness-Scores2.pdf.</w:t>
      </w:r>
    </w:p>
  </w:footnote>
  <w:footnote w:id="57">
    <w:p w14:paraId="2F8D9CB8" w14:textId="070DB8C1" w:rsidR="002D52CF" w:rsidRPr="001E5F4B" w:rsidRDefault="002D52CF">
      <w:pPr>
        <w:pStyle w:val="FootnoteText"/>
      </w:pPr>
      <w:r>
        <w:rPr>
          <w:rStyle w:val="FootnoteReference"/>
        </w:rPr>
        <w:footnoteRef/>
      </w:r>
      <w:r>
        <w:t xml:space="preserve"> </w:t>
      </w:r>
      <w:r w:rsidRPr="001E5F4B">
        <w:t>Third-tier MSD support payments are intended to be one-off support payments, including Special Needs Grants, Benefit advances, Recoverable Assistance Program and Home Help payments.</w:t>
      </w:r>
    </w:p>
  </w:footnote>
  <w:footnote w:id="58">
    <w:p w14:paraId="38FC2696" w14:textId="1B530A07" w:rsidR="002D52CF" w:rsidRPr="00893A82" w:rsidRDefault="002D52CF">
      <w:pPr>
        <w:pStyle w:val="FootnoteText"/>
      </w:pPr>
      <w:r>
        <w:rPr>
          <w:rStyle w:val="FootnoteReference"/>
        </w:rPr>
        <w:footnoteRef/>
      </w:r>
      <w:r>
        <w:t xml:space="preserve"> </w:t>
      </w:r>
      <w:r>
        <w:rPr>
          <w:lang w:val="en-US"/>
        </w:rPr>
        <w:t xml:space="preserve">Observations from the 2013 Disability Survey for DSS clients should be treated as indicative only, rather than representative of the overall DSS population, as </w:t>
      </w:r>
      <w:r w:rsidRPr="006E78F4">
        <w:rPr>
          <w:lang w:val="en-US"/>
        </w:rPr>
        <w:t xml:space="preserve">a relatively small number of current and previous DSS clients responded to the surveys and </w:t>
      </w:r>
      <w:r>
        <w:rPr>
          <w:lang w:val="en-US"/>
        </w:rPr>
        <w:t xml:space="preserve">the profile of their demographic and disability related characteristics varies from that of the overall DSS population. Further information on sample bias is described in section </w:t>
      </w:r>
      <w:r>
        <w:rPr>
          <w:lang w:val="en-US"/>
        </w:rPr>
        <w:fldChar w:fldCharType="begin"/>
      </w:r>
      <w:r>
        <w:rPr>
          <w:lang w:val="en-US"/>
        </w:rPr>
        <w:instrText xml:space="preserve"> REF _Ref34056683 \r \h </w:instrText>
      </w:r>
      <w:r>
        <w:rPr>
          <w:lang w:val="en-US"/>
        </w:rPr>
      </w:r>
      <w:r>
        <w:rPr>
          <w:lang w:val="en-US"/>
        </w:rPr>
        <w:fldChar w:fldCharType="separate"/>
      </w:r>
      <w:r>
        <w:rPr>
          <w:lang w:val="en-US"/>
        </w:rPr>
        <w:t>6</w:t>
      </w:r>
      <w:r>
        <w:rPr>
          <w:lang w:val="en-US"/>
        </w:rPr>
        <w:fldChar w:fldCharType="end"/>
      </w:r>
      <w:r>
        <w:rPr>
          <w:lang w:val="en-US"/>
        </w:rPr>
        <w:t>.</w:t>
      </w:r>
    </w:p>
  </w:footnote>
  <w:footnote w:id="59">
    <w:p w14:paraId="5A2FBC37" w14:textId="77777777" w:rsidR="002D52CF" w:rsidRPr="00267FD0" w:rsidRDefault="002D52CF" w:rsidP="00310848">
      <w:pPr>
        <w:pStyle w:val="FootnoteText"/>
        <w:rPr>
          <w:lang w:val="en-US"/>
        </w:rPr>
      </w:pPr>
      <w:r>
        <w:rPr>
          <w:rStyle w:val="FootnoteReference"/>
        </w:rPr>
        <w:footnoteRef/>
      </w:r>
      <w:r>
        <w:t xml:space="preserve"> </w:t>
      </w:r>
      <w:r>
        <w:rPr>
          <w:lang w:val="en-US"/>
        </w:rPr>
        <w:t>Health and tertiary education indicators were taken from the 3 year period to 30 June 2017 due to limited data being available for the 2017-18 year at the time of analysis.</w:t>
      </w:r>
    </w:p>
  </w:footnote>
  <w:footnote w:id="60">
    <w:p w14:paraId="73922AC3" w14:textId="3C99C67B" w:rsidR="002D52CF" w:rsidRPr="001E5F4B" w:rsidRDefault="002D52CF">
      <w:pPr>
        <w:pStyle w:val="FootnoteText"/>
      </w:pPr>
      <w:r>
        <w:rPr>
          <w:rStyle w:val="FootnoteReference"/>
        </w:rPr>
        <w:footnoteRef/>
      </w:r>
      <w:r>
        <w:t xml:space="preserve"> </w:t>
      </w:r>
      <w:r w:rsidRPr="001E5F4B">
        <w:t>Third-tier MSD support payments are intended to be one-off support payments, including Special Needs Grants, Benefit advances, Recoverable Assistance Program and Home Help payments.</w:t>
      </w:r>
    </w:p>
  </w:footnote>
  <w:footnote w:id="61">
    <w:p w14:paraId="74547726" w14:textId="77777777" w:rsidR="002D52CF" w:rsidRPr="00C03C65" w:rsidRDefault="002D52CF" w:rsidP="00310848">
      <w:pPr>
        <w:pStyle w:val="FootnoteText"/>
        <w:rPr>
          <w:lang w:val="en-US"/>
        </w:rPr>
      </w:pPr>
      <w:r>
        <w:rPr>
          <w:rStyle w:val="FootnoteReference"/>
        </w:rPr>
        <w:footnoteRef/>
      </w:r>
      <w:r>
        <w:t xml:space="preserve"> </w:t>
      </w:r>
      <w:r w:rsidRPr="00593C07">
        <w:t>Health indicators were taken from the 3 year period to 30 June 2017 due to limited data being available for the 2017-18 year at the time of analysis.</w:t>
      </w:r>
    </w:p>
  </w:footnote>
  <w:footnote w:id="62">
    <w:p w14:paraId="5EB61AF7" w14:textId="0FD2A562" w:rsidR="002D52CF" w:rsidRPr="001E5F4B" w:rsidRDefault="002D52CF">
      <w:pPr>
        <w:pStyle w:val="FootnoteText"/>
      </w:pPr>
      <w:r>
        <w:rPr>
          <w:rStyle w:val="FootnoteReference"/>
        </w:rPr>
        <w:footnoteRef/>
      </w:r>
      <w:r>
        <w:t xml:space="preserve"> </w:t>
      </w:r>
      <w:r w:rsidRPr="001E5F4B">
        <w:t>Third-tier MSD support payments are intended to be one-off support payments, including Special Needs Grants, Benefit advances, Recoverable Assistance Program and Home Help payments.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BE38" w14:textId="77777777" w:rsidR="002D52CF" w:rsidRDefault="002D52CF">
    <w:pPr>
      <w:pStyle w:val="Header"/>
    </w:pPr>
    <w:r>
      <w:rPr>
        <w:noProof/>
        <w:lang w:eastAsia="en-AU"/>
      </w:rPr>
      <mc:AlternateContent>
        <mc:Choice Requires="wps">
          <w:drawing>
            <wp:anchor distT="0" distB="0" distL="114300" distR="114300" simplePos="0" relativeHeight="251662336" behindDoc="1" locked="0" layoutInCell="1" allowOverlap="1" wp14:anchorId="73F73DC6" wp14:editId="6E65DF0F">
              <wp:simplePos x="0" y="0"/>
              <wp:positionH relativeFrom="page">
                <wp:posOffset>451262</wp:posOffset>
              </wp:positionH>
              <wp:positionV relativeFrom="page">
                <wp:posOffset>629391</wp:posOffset>
              </wp:positionV>
              <wp:extent cx="4694400" cy="4417621"/>
              <wp:effectExtent l="0" t="0" r="0" b="2540"/>
              <wp:wrapNone/>
              <wp:docPr id="23" name="Freeform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694400" cy="4417621"/>
                      </a:xfrm>
                      <a:custGeom>
                        <a:avLst/>
                        <a:gdLst>
                          <a:gd name="T0" fmla="*/ 0 w 2074"/>
                          <a:gd name="T1" fmla="*/ 367 h 3182"/>
                          <a:gd name="T2" fmla="*/ 0 w 2074"/>
                          <a:gd name="T3" fmla="*/ 3182 h 3182"/>
                          <a:gd name="T4" fmla="*/ 2074 w 2074"/>
                          <a:gd name="T5" fmla="*/ 3182 h 3182"/>
                          <a:gd name="T6" fmla="*/ 2074 w 2074"/>
                          <a:gd name="T7" fmla="*/ 0 h 3182"/>
                          <a:gd name="T8" fmla="*/ 0 w 2074"/>
                          <a:gd name="T9" fmla="*/ 367 h 3182"/>
                          <a:gd name="connsiteX0" fmla="*/ 0 w 10000"/>
                          <a:gd name="connsiteY0" fmla="*/ 1153 h 10000"/>
                          <a:gd name="connsiteX1" fmla="*/ 0 w 10000"/>
                          <a:gd name="connsiteY1" fmla="*/ 8036 h 10000"/>
                          <a:gd name="connsiteX2" fmla="*/ 10000 w 10000"/>
                          <a:gd name="connsiteY2" fmla="*/ 10000 h 10000"/>
                          <a:gd name="connsiteX3" fmla="*/ 10000 w 10000"/>
                          <a:gd name="connsiteY3" fmla="*/ 0 h 10000"/>
                          <a:gd name="connsiteX4" fmla="*/ 0 w 10000"/>
                          <a:gd name="connsiteY4" fmla="*/ 1153 h 10000"/>
                          <a:gd name="connsiteX0" fmla="*/ 0 w 10000"/>
                          <a:gd name="connsiteY0" fmla="*/ 1153 h 8085"/>
                          <a:gd name="connsiteX1" fmla="*/ 0 w 10000"/>
                          <a:gd name="connsiteY1" fmla="*/ 8036 h 8085"/>
                          <a:gd name="connsiteX2" fmla="*/ 10000 w 10000"/>
                          <a:gd name="connsiteY2" fmla="*/ 8085 h 8085"/>
                          <a:gd name="connsiteX3" fmla="*/ 10000 w 10000"/>
                          <a:gd name="connsiteY3" fmla="*/ 0 h 8085"/>
                          <a:gd name="connsiteX4" fmla="*/ 0 w 10000"/>
                          <a:gd name="connsiteY4" fmla="*/ 1153 h 8085"/>
                          <a:gd name="connsiteX0" fmla="*/ 0 w 10000"/>
                          <a:gd name="connsiteY0" fmla="*/ 1426 h 10000"/>
                          <a:gd name="connsiteX1" fmla="*/ 0 w 10000"/>
                          <a:gd name="connsiteY1" fmla="*/ 9939 h 10000"/>
                          <a:gd name="connsiteX2" fmla="*/ 10000 w 10000"/>
                          <a:gd name="connsiteY2" fmla="*/ 10000 h 10000"/>
                          <a:gd name="connsiteX3" fmla="*/ 10000 w 10000"/>
                          <a:gd name="connsiteY3" fmla="*/ 0 h 10000"/>
                          <a:gd name="connsiteX4" fmla="*/ 0 w 10000"/>
                          <a:gd name="connsiteY4" fmla="*/ 1426 h 10000"/>
                          <a:gd name="connsiteX0" fmla="*/ 0 w 10000"/>
                          <a:gd name="connsiteY0" fmla="*/ 1426 h 10000"/>
                          <a:gd name="connsiteX1" fmla="*/ 0 w 10000"/>
                          <a:gd name="connsiteY1" fmla="*/ 9939 h 10000"/>
                          <a:gd name="connsiteX2" fmla="*/ 10000 w 10000"/>
                          <a:gd name="connsiteY2" fmla="*/ 10000 h 10000"/>
                          <a:gd name="connsiteX3" fmla="*/ 10000 w 10000"/>
                          <a:gd name="connsiteY3" fmla="*/ 0 h 10000"/>
                          <a:gd name="connsiteX4" fmla="*/ 0 w 10000"/>
                          <a:gd name="connsiteY4" fmla="*/ 1426 h 10000"/>
                          <a:gd name="connsiteX0" fmla="*/ 0 w 10000"/>
                          <a:gd name="connsiteY0" fmla="*/ 1823 h 10397"/>
                          <a:gd name="connsiteX1" fmla="*/ 0 w 10000"/>
                          <a:gd name="connsiteY1" fmla="*/ 10336 h 10397"/>
                          <a:gd name="connsiteX2" fmla="*/ 10000 w 10000"/>
                          <a:gd name="connsiteY2" fmla="*/ 10397 h 10397"/>
                          <a:gd name="connsiteX3" fmla="*/ 10000 w 10000"/>
                          <a:gd name="connsiteY3" fmla="*/ 0 h 10397"/>
                          <a:gd name="connsiteX4" fmla="*/ 0 w 10000"/>
                          <a:gd name="connsiteY4" fmla="*/ 1823 h 10397"/>
                          <a:gd name="connsiteX0" fmla="*/ 0 w 10000"/>
                          <a:gd name="connsiteY0" fmla="*/ 1928 h 10502"/>
                          <a:gd name="connsiteX1" fmla="*/ 0 w 10000"/>
                          <a:gd name="connsiteY1" fmla="*/ 10441 h 10502"/>
                          <a:gd name="connsiteX2" fmla="*/ 10000 w 10000"/>
                          <a:gd name="connsiteY2" fmla="*/ 10502 h 10502"/>
                          <a:gd name="connsiteX3" fmla="*/ 10000 w 10000"/>
                          <a:gd name="connsiteY3" fmla="*/ 0 h 10502"/>
                          <a:gd name="connsiteX4" fmla="*/ 0 w 10000"/>
                          <a:gd name="connsiteY4" fmla="*/ 1928 h 10502"/>
                          <a:gd name="connsiteX0" fmla="*/ 0 w 10000"/>
                          <a:gd name="connsiteY0" fmla="*/ 1928 h 10502"/>
                          <a:gd name="connsiteX1" fmla="*/ 0 w 10000"/>
                          <a:gd name="connsiteY1" fmla="*/ 10502 h 10502"/>
                          <a:gd name="connsiteX2" fmla="*/ 10000 w 10000"/>
                          <a:gd name="connsiteY2" fmla="*/ 10502 h 10502"/>
                          <a:gd name="connsiteX3" fmla="*/ 10000 w 10000"/>
                          <a:gd name="connsiteY3" fmla="*/ 0 h 10502"/>
                          <a:gd name="connsiteX4" fmla="*/ 0 w 10000"/>
                          <a:gd name="connsiteY4" fmla="*/ 1928 h 10502"/>
                          <a:gd name="connsiteX0" fmla="*/ 0 w 10000"/>
                          <a:gd name="connsiteY0" fmla="*/ 1754 h 10502"/>
                          <a:gd name="connsiteX1" fmla="*/ 0 w 10000"/>
                          <a:gd name="connsiteY1" fmla="*/ 10502 h 10502"/>
                          <a:gd name="connsiteX2" fmla="*/ 10000 w 10000"/>
                          <a:gd name="connsiteY2" fmla="*/ 10502 h 10502"/>
                          <a:gd name="connsiteX3" fmla="*/ 10000 w 10000"/>
                          <a:gd name="connsiteY3" fmla="*/ 0 h 10502"/>
                          <a:gd name="connsiteX4" fmla="*/ 0 w 10000"/>
                          <a:gd name="connsiteY4" fmla="*/ 1754 h 10502"/>
                          <a:gd name="connsiteX0" fmla="*/ 0 w 10000"/>
                          <a:gd name="connsiteY0" fmla="*/ 2117 h 10502"/>
                          <a:gd name="connsiteX1" fmla="*/ 0 w 10000"/>
                          <a:gd name="connsiteY1" fmla="*/ 10502 h 10502"/>
                          <a:gd name="connsiteX2" fmla="*/ 10000 w 10000"/>
                          <a:gd name="connsiteY2" fmla="*/ 10502 h 10502"/>
                          <a:gd name="connsiteX3" fmla="*/ 10000 w 10000"/>
                          <a:gd name="connsiteY3" fmla="*/ 0 h 10502"/>
                          <a:gd name="connsiteX4" fmla="*/ 0 w 10000"/>
                          <a:gd name="connsiteY4" fmla="*/ 2117 h 10502"/>
                          <a:gd name="connsiteX0" fmla="*/ 0 w 10000"/>
                          <a:gd name="connsiteY0" fmla="*/ 2957 h 10502"/>
                          <a:gd name="connsiteX1" fmla="*/ 0 w 10000"/>
                          <a:gd name="connsiteY1" fmla="*/ 10502 h 10502"/>
                          <a:gd name="connsiteX2" fmla="*/ 10000 w 10000"/>
                          <a:gd name="connsiteY2" fmla="*/ 10502 h 10502"/>
                          <a:gd name="connsiteX3" fmla="*/ 10000 w 10000"/>
                          <a:gd name="connsiteY3" fmla="*/ 0 h 10502"/>
                          <a:gd name="connsiteX4" fmla="*/ 0 w 10000"/>
                          <a:gd name="connsiteY4" fmla="*/ 2117 h 10502"/>
                          <a:gd name="connsiteX0" fmla="*/ 0 w 10000"/>
                          <a:gd name="connsiteY0" fmla="*/ 2957 h 10502"/>
                          <a:gd name="connsiteX1" fmla="*/ 0 w 10000"/>
                          <a:gd name="connsiteY1" fmla="*/ 10502 h 10502"/>
                          <a:gd name="connsiteX2" fmla="*/ 10000 w 10000"/>
                          <a:gd name="connsiteY2" fmla="*/ 10502 h 10502"/>
                          <a:gd name="connsiteX3" fmla="*/ 10000 w 10000"/>
                          <a:gd name="connsiteY3" fmla="*/ 0 h 10502"/>
                          <a:gd name="connsiteX4" fmla="*/ 0 w 10000"/>
                          <a:gd name="connsiteY4" fmla="*/ 2957 h 10502"/>
                          <a:gd name="connsiteX5" fmla="*/ 0 w 10000"/>
                          <a:gd name="connsiteY5" fmla="*/ 2957 h 10502"/>
                          <a:gd name="connsiteX0" fmla="*/ 0 w 10000"/>
                          <a:gd name="connsiteY0" fmla="*/ 1915 h 10502"/>
                          <a:gd name="connsiteX1" fmla="*/ 0 w 10000"/>
                          <a:gd name="connsiteY1" fmla="*/ 10502 h 10502"/>
                          <a:gd name="connsiteX2" fmla="*/ 10000 w 10000"/>
                          <a:gd name="connsiteY2" fmla="*/ 10502 h 10502"/>
                          <a:gd name="connsiteX3" fmla="*/ 10000 w 10000"/>
                          <a:gd name="connsiteY3" fmla="*/ 0 h 10502"/>
                          <a:gd name="connsiteX4" fmla="*/ 0 w 10000"/>
                          <a:gd name="connsiteY4" fmla="*/ 2957 h 10502"/>
                          <a:gd name="connsiteX5" fmla="*/ 0 w 10000"/>
                          <a:gd name="connsiteY5" fmla="*/ 1915 h 10502"/>
                          <a:gd name="connsiteX0" fmla="*/ 0 w 10000"/>
                          <a:gd name="connsiteY0" fmla="*/ 1915 h 10502"/>
                          <a:gd name="connsiteX1" fmla="*/ 0 w 10000"/>
                          <a:gd name="connsiteY1" fmla="*/ 10502 h 10502"/>
                          <a:gd name="connsiteX2" fmla="*/ 10000 w 10000"/>
                          <a:gd name="connsiteY2" fmla="*/ 10502 h 10502"/>
                          <a:gd name="connsiteX3" fmla="*/ 10000 w 10000"/>
                          <a:gd name="connsiteY3" fmla="*/ 0 h 10502"/>
                          <a:gd name="connsiteX4" fmla="*/ 0 w 10000"/>
                          <a:gd name="connsiteY4" fmla="*/ 1915 h 10502"/>
                          <a:gd name="connsiteX0" fmla="*/ 0 w 10000"/>
                          <a:gd name="connsiteY0" fmla="*/ 2150 h 10737"/>
                          <a:gd name="connsiteX1" fmla="*/ 0 w 10000"/>
                          <a:gd name="connsiteY1" fmla="*/ 10737 h 10737"/>
                          <a:gd name="connsiteX2" fmla="*/ 10000 w 10000"/>
                          <a:gd name="connsiteY2" fmla="*/ 10737 h 10737"/>
                          <a:gd name="connsiteX3" fmla="*/ 10000 w 10000"/>
                          <a:gd name="connsiteY3" fmla="*/ 0 h 10737"/>
                          <a:gd name="connsiteX4" fmla="*/ 0 w 10000"/>
                          <a:gd name="connsiteY4" fmla="*/ 2150 h 10737"/>
                          <a:gd name="connsiteX0" fmla="*/ 0 w 10000"/>
                          <a:gd name="connsiteY0" fmla="*/ 2377 h 10737"/>
                          <a:gd name="connsiteX1" fmla="*/ 0 w 10000"/>
                          <a:gd name="connsiteY1" fmla="*/ 10737 h 10737"/>
                          <a:gd name="connsiteX2" fmla="*/ 10000 w 10000"/>
                          <a:gd name="connsiteY2" fmla="*/ 10737 h 10737"/>
                          <a:gd name="connsiteX3" fmla="*/ 10000 w 10000"/>
                          <a:gd name="connsiteY3" fmla="*/ 0 h 10737"/>
                          <a:gd name="connsiteX4" fmla="*/ 0 w 10000"/>
                          <a:gd name="connsiteY4" fmla="*/ 2377 h 10737"/>
                          <a:gd name="connsiteX0" fmla="*/ 0 w 10000"/>
                          <a:gd name="connsiteY0" fmla="*/ 1881 h 10241"/>
                          <a:gd name="connsiteX1" fmla="*/ 0 w 10000"/>
                          <a:gd name="connsiteY1" fmla="*/ 10241 h 10241"/>
                          <a:gd name="connsiteX2" fmla="*/ 10000 w 10000"/>
                          <a:gd name="connsiteY2" fmla="*/ 10241 h 10241"/>
                          <a:gd name="connsiteX3" fmla="*/ 10000 w 10000"/>
                          <a:gd name="connsiteY3" fmla="*/ 0 h 10241"/>
                          <a:gd name="connsiteX4" fmla="*/ 0 w 10000"/>
                          <a:gd name="connsiteY4" fmla="*/ 1881 h 10241"/>
                          <a:gd name="connsiteX0" fmla="*/ 0 w 10000"/>
                          <a:gd name="connsiteY0" fmla="*/ 2325 h 10685"/>
                          <a:gd name="connsiteX1" fmla="*/ 0 w 10000"/>
                          <a:gd name="connsiteY1" fmla="*/ 10685 h 10685"/>
                          <a:gd name="connsiteX2" fmla="*/ 10000 w 10000"/>
                          <a:gd name="connsiteY2" fmla="*/ 10685 h 10685"/>
                          <a:gd name="connsiteX3" fmla="*/ 10000 w 10000"/>
                          <a:gd name="connsiteY3" fmla="*/ 0 h 10685"/>
                          <a:gd name="connsiteX4" fmla="*/ 0 w 10000"/>
                          <a:gd name="connsiteY4" fmla="*/ 2325 h 106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685">
                            <a:moveTo>
                              <a:pt x="0" y="2325"/>
                            </a:moveTo>
                            <a:lnTo>
                              <a:pt x="0" y="10685"/>
                            </a:lnTo>
                            <a:lnTo>
                              <a:pt x="10000" y="10685"/>
                            </a:lnTo>
                            <a:lnTo>
                              <a:pt x="10000" y="0"/>
                            </a:lnTo>
                            <a:lnTo>
                              <a:pt x="0" y="2325"/>
                            </a:lnTo>
                            <a:close/>
                          </a:path>
                        </a:pathLst>
                      </a:custGeom>
                      <a:solidFill>
                        <a:srgbClr val="FFE600"/>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EFA6375" id="Freeform 23" o:spid="_x0000_s1026" style="position:absolute;margin-left:35.55pt;margin-top:49.55pt;width:369.65pt;height:347.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000,1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" path="m,2325r,8360l10000,10685,10000,,,2325xe" fillcolor="#ffe600" stroked="f">
              <v:path arrowok="t" o:connecttype="custom" o:connectlocs="0,961251;0,4417621;4694400,4417621;4694400,0;0,961251" o:connectangles="0,0,0,0,0"/>
              <o:lock v:ext="edit" aspectratio="t"/>
              <w10:wrap anchorx="page" anchory="page"/>
            </v:shape>
          </w:pict>
        </mc:Fallback>
      </mc:AlternateContent>
    </w:r>
    <w:r w:rsidRPr="00DC7AEB">
      <w:rPr>
        <w:noProof/>
        <w:lang w:eastAsia="en-AU"/>
      </w:rPr>
      <w:drawing>
        <wp:anchor distT="0" distB="0" distL="114300" distR="114300" simplePos="0" relativeHeight="251660288" behindDoc="1" locked="0" layoutInCell="1" allowOverlap="1" wp14:anchorId="64C427CF" wp14:editId="552B2AAC">
          <wp:simplePos x="0" y="0"/>
          <wp:positionH relativeFrom="page">
            <wp:posOffset>5760720</wp:posOffset>
          </wp:positionH>
          <wp:positionV relativeFrom="page">
            <wp:posOffset>9152255</wp:posOffset>
          </wp:positionV>
          <wp:extent cx="1080000" cy="1260000"/>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ish.raju\Desktop\1503-1413062_Brand update template creation\13-May-2015\A4 pieces\EY Logo A4_proposal.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2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189E" w14:textId="77777777" w:rsidR="002D52CF" w:rsidRPr="00622DC9" w:rsidRDefault="002D52CF" w:rsidP="00622DC9">
    <w:pPr>
      <w:rPr>
        <w:szCs w:val="24"/>
      </w:rPr>
    </w:pPr>
    <w:r>
      <w:rPr>
        <w:noProof/>
        <w:szCs w:val="24"/>
        <w:lang w:eastAsia="en-AU"/>
      </w:rPr>
      <mc:AlternateContent>
        <mc:Choice Requires="wps">
          <w:drawing>
            <wp:anchor distT="0" distB="0" distL="114300" distR="114300" simplePos="0" relativeHeight="251656704" behindDoc="0" locked="0" layoutInCell="1" allowOverlap="1" wp14:anchorId="0502B204" wp14:editId="3F1D1978">
              <wp:simplePos x="0" y="0"/>
              <wp:positionH relativeFrom="column">
                <wp:posOffset>3566160</wp:posOffset>
              </wp:positionH>
              <wp:positionV relativeFrom="paragraph">
                <wp:posOffset>8741410</wp:posOffset>
              </wp:positionV>
              <wp:extent cx="2081530" cy="796290"/>
              <wp:effectExtent l="3810" t="0" r="1270" b="0"/>
              <wp:wrapNone/>
              <wp:docPr id="3"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74DBB" w14:textId="77777777" w:rsidR="002D52CF" w:rsidRDefault="002D52CF" w:rsidP="007B258A">
                          <w:pPr>
                            <w:spacing w:before="120"/>
                            <w:rPr>
                              <w:rFonts w:ascii="EY Tagline" w:hAnsi="EY Tagline"/>
                              <w:sz w:val="64"/>
                              <w:szCs w:val="64"/>
                            </w:rPr>
                          </w:pPr>
                          <w:r>
                            <w:rPr>
                              <w:rFonts w:ascii="EY Tagline" w:hAnsi="EY Tagline"/>
                              <w:sz w:val="64"/>
                              <w:szCs w:val="64"/>
                            </w:rPr>
                            <w:t>!@#</w:t>
                          </w:r>
                        </w:p>
                        <w:p w14:paraId="020DF3E7" w14:textId="77777777" w:rsidR="002D52CF" w:rsidRDefault="002D52CF"/>
                        <w:p w14:paraId="6C5286DC" w14:textId="77777777" w:rsidR="002D52CF" w:rsidRDefault="002D52CF" w:rsidP="007B258A">
                          <w:pPr>
                            <w:spacing w:before="120"/>
                            <w:rPr>
                              <w:rFonts w:ascii="EY Tagline" w:hAnsi="EY Tagline"/>
                              <w:sz w:val="64"/>
                              <w:szCs w:val="64"/>
                            </w:rPr>
                          </w:pPr>
                          <w:r>
                            <w:rPr>
                              <w:rFonts w:ascii="EY Tagline" w:hAnsi="EY Tagline"/>
                              <w:sz w:val="64"/>
                              <w:szCs w:val="64"/>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2B204" id="_x0000_t202" coordsize="21600,21600" o:spt="202" path="m,l,21600r21600,l21600,xe">
              <v:stroke joinstyle="miter"/>
              <v:path gradientshapeok="t" o:connecttype="rect"/>
            </v:shapetype>
            <v:shape id="Text Box 20" o:spid="_x0000_s1029" type="#_x0000_t202" style="position:absolute;margin-left:280.8pt;margin-top:688.3pt;width:163.9pt;height:62.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" stroked="f">
              <v:textbox>
                <w:txbxContent>
                  <w:p w14:paraId="7D174DBB" w14:textId="77777777" w:rsidR="002D52CF" w:rsidRDefault="002D52CF" w:rsidP="007B258A">
                    <w:pPr>
                      <w:spacing w:before="120"/>
                      <w:rPr>
                        <w:rFonts w:ascii="EY Tagline" w:hAnsi="EY Tagline"/>
                        <w:sz w:val="64"/>
                        <w:szCs w:val="64"/>
                      </w:rPr>
                    </w:pPr>
                    <w:r>
                      <w:rPr>
                        <w:rFonts w:ascii="EY Tagline" w:hAnsi="EY Tagline"/>
                        <w:sz w:val="64"/>
                        <w:szCs w:val="64"/>
                      </w:rPr>
                      <w:t>!@#</w:t>
                    </w:r>
                  </w:p>
                  <w:p w14:paraId="020DF3E7" w14:textId="77777777" w:rsidR="002D52CF" w:rsidRDefault="002D52CF"/>
                  <w:p w14:paraId="6C5286DC" w14:textId="77777777" w:rsidR="002D52CF" w:rsidRDefault="002D52CF" w:rsidP="007B258A">
                    <w:pPr>
                      <w:spacing w:before="120"/>
                      <w:rPr>
                        <w:rFonts w:ascii="EY Tagline" w:hAnsi="EY Tagline"/>
                        <w:sz w:val="64"/>
                        <w:szCs w:val="64"/>
                      </w:rPr>
                    </w:pPr>
                    <w:r>
                      <w:rPr>
                        <w:rFonts w:ascii="EY Tagline" w:hAnsi="EY Tagline"/>
                        <w:sz w:val="64"/>
                        <w:szCs w:val="64"/>
                      </w:rP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2DF4" w14:textId="32595EA5" w:rsidR="002D52CF" w:rsidRDefault="002D52C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96D8" w14:textId="77777777" w:rsidR="002D52CF" w:rsidRDefault="002D52CF" w:rsidP="00A24C89"/>
  <w:p w14:paraId="079E7F04" w14:textId="74ACE565" w:rsidR="002D52CF" w:rsidRPr="00A24C89" w:rsidRDefault="002D52CF" w:rsidP="00A24C8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B1A1" w14:textId="77777777" w:rsidR="002D52CF" w:rsidRPr="00094D83" w:rsidRDefault="002D52CF" w:rsidP="00094D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360D54"/>
    <w:lvl w:ilvl="0">
      <w:numFmt w:val="bullet"/>
      <w:lvlText w:val="*"/>
      <w:lvlJc w:val="left"/>
    </w:lvl>
  </w:abstractNum>
  <w:abstractNum w:abstractNumId="1" w15:restartNumberingAfterBreak="0">
    <w:nsid w:val="05C514A8"/>
    <w:multiLevelType w:val="multilevel"/>
    <w:tmpl w:val="1C0C6E04"/>
    <w:lvl w:ilvl="0">
      <w:start w:val="1"/>
      <w:numFmt w:val="decimal"/>
      <w:lvlRestart w:val="0"/>
      <w:pStyle w:val="EYHeading1"/>
      <w:lvlText w:val="%1."/>
      <w:lvlJc w:val="left"/>
      <w:pPr>
        <w:ind w:left="851" w:hanging="851"/>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YHeading2"/>
      <w:lvlText w:val="%1.%2"/>
      <w:lvlJc w:val="left"/>
      <w:pPr>
        <w:tabs>
          <w:tab w:val="num" w:pos="0"/>
        </w:tabs>
        <w:ind w:left="851" w:hanging="851"/>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YHeading3"/>
      <w:lvlText w:val="%1.%2.%3"/>
      <w:lvlJc w:val="left"/>
      <w:pPr>
        <w:tabs>
          <w:tab w:val="num" w:pos="0"/>
        </w:tabs>
        <w:ind w:left="851" w:hanging="851"/>
      </w:pPr>
      <w:rPr>
        <w:rFonts w:ascii="EYInterstate Light" w:hAnsi="EYInterstate Light" w:hint="default"/>
        <w:b/>
        <w:i w:val="0"/>
        <w:color w:val="000000"/>
        <w:sz w:val="26"/>
      </w:rPr>
    </w:lvl>
    <w:lvl w:ilvl="3">
      <w:start w:val="1"/>
      <w:numFmt w:val="decimal"/>
      <w:pStyle w:val="EYHeading4"/>
      <w:lvlText w:val="%1.%2.%3.%4"/>
      <w:lvlJc w:val="left"/>
      <w:pPr>
        <w:tabs>
          <w:tab w:val="num" w:pos="0"/>
        </w:tabs>
        <w:ind w:left="851" w:hanging="851"/>
      </w:pPr>
      <w:rPr>
        <w:rFonts w:ascii="EYInterstate Light" w:hAnsi="EYInterstate Light" w:hint="default"/>
        <w:b/>
        <w:i w:val="0"/>
        <w:color w:val="000000"/>
        <w:sz w:val="22"/>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2" w15:restartNumberingAfterBreak="0">
    <w:nsid w:val="0C9605C2"/>
    <w:multiLevelType w:val="multilevel"/>
    <w:tmpl w:val="E3168314"/>
    <w:lvl w:ilvl="0">
      <w:start w:val="1"/>
      <w:numFmt w:val="decimal"/>
      <w:lvlText w:val="H.%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15:restartNumberingAfterBreak="0">
    <w:nsid w:val="0FB7214D"/>
    <w:multiLevelType w:val="hybridMultilevel"/>
    <w:tmpl w:val="61B6F7E4"/>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033317C"/>
    <w:multiLevelType w:val="hybridMultilevel"/>
    <w:tmpl w:val="413C14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F53D6A"/>
    <w:multiLevelType w:val="multilevel"/>
    <w:tmpl w:val="BA9C6570"/>
    <w:lvl w:ilvl="0">
      <w:start w:val="1"/>
      <w:numFmt w:val="bullet"/>
      <w:lvlText w:val="►"/>
      <w:lvlJc w:val="left"/>
      <w:pPr>
        <w:ind w:left="425" w:hanging="425"/>
      </w:pPr>
      <w:rPr>
        <w:rFonts w:ascii="Arial" w:hAnsi="Arial" w:hint="default"/>
        <w:sz w:val="16"/>
      </w:rPr>
    </w:lvl>
    <w:lvl w:ilvl="1">
      <w:start w:val="1"/>
      <w:numFmt w:val="bullet"/>
      <w:lvlText w:val="►"/>
      <w:lvlJc w:val="left"/>
      <w:pPr>
        <w:ind w:left="850" w:hanging="425"/>
      </w:pPr>
      <w:rPr>
        <w:rFonts w:ascii="Arial" w:hAnsi="Arial" w:hint="default"/>
        <w:sz w:val="16"/>
      </w:rPr>
    </w:lvl>
    <w:lvl w:ilvl="2">
      <w:start w:val="1"/>
      <w:numFmt w:val="bullet"/>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6" w15:restartNumberingAfterBreak="0">
    <w:nsid w:val="1B605744"/>
    <w:multiLevelType w:val="hybridMultilevel"/>
    <w:tmpl w:val="78B8CEFA"/>
    <w:lvl w:ilvl="0" w:tplc="C5A25AA2">
      <w:start w:val="5"/>
      <w:numFmt w:val="upperLetter"/>
      <w:lvlText w:val="%1."/>
      <w:lvlJc w:val="left"/>
      <w:pPr>
        <w:ind w:left="795" w:hanging="435"/>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43653B"/>
    <w:multiLevelType w:val="multilevel"/>
    <w:tmpl w:val="0108EF8E"/>
    <w:styleLink w:val="EYPlainBulletList"/>
    <w:lvl w:ilvl="0">
      <w:start w:val="1"/>
      <w:numFmt w:val="bullet"/>
      <w:pStyle w:val="EYBulletnoparaspace"/>
      <w:lvlText w:val="►"/>
      <w:lvlJc w:val="left"/>
      <w:pPr>
        <w:ind w:left="425" w:hanging="425"/>
      </w:pPr>
      <w:rPr>
        <w:rFonts w:ascii="Arial" w:hAnsi="Arial" w:hint="default"/>
        <w:sz w:val="16"/>
      </w:rPr>
    </w:lvl>
    <w:lvl w:ilvl="1">
      <w:start w:val="1"/>
      <w:numFmt w:val="bullet"/>
      <w:pStyle w:val="EYBullet2noparaspace"/>
      <w:lvlText w:val="►"/>
      <w:lvlJc w:val="left"/>
      <w:pPr>
        <w:ind w:left="850" w:hanging="425"/>
      </w:pPr>
      <w:rPr>
        <w:rFonts w:ascii="Arial" w:hAnsi="Arial" w:hint="default"/>
        <w:sz w:val="16"/>
      </w:rPr>
    </w:lvl>
    <w:lvl w:ilvl="2">
      <w:start w:val="1"/>
      <w:numFmt w:val="bullet"/>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8" w15:restartNumberingAfterBreak="0">
    <w:nsid w:val="21685793"/>
    <w:multiLevelType w:val="hybridMultilevel"/>
    <w:tmpl w:val="F2D20230"/>
    <w:lvl w:ilvl="0" w:tplc="0C09000F">
      <w:start w:val="1"/>
      <w:numFmt w:val="decimal"/>
      <w:lvlText w:val="%1."/>
      <w:lvlJc w:val="left"/>
      <w:pPr>
        <w:ind w:left="360" w:hanging="360"/>
      </w:pPr>
    </w:lvl>
    <w:lvl w:ilvl="1" w:tplc="3FDE977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8D468C"/>
    <w:multiLevelType w:val="hybridMultilevel"/>
    <w:tmpl w:val="A7064324"/>
    <w:lvl w:ilvl="0" w:tplc="00B0A078">
      <w:start w:val="1"/>
      <w:numFmt w:val="decimal"/>
      <w:lvlText w:val="%1."/>
      <w:lvlJc w:val="left"/>
      <w:pPr>
        <w:ind w:left="420" w:hanging="4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0103F3"/>
    <w:multiLevelType w:val="hybridMultilevel"/>
    <w:tmpl w:val="4F225FA4"/>
    <w:lvl w:ilvl="0" w:tplc="14090001">
      <w:start w:val="1"/>
      <w:numFmt w:val="bullet"/>
      <w:lvlText w:val=""/>
      <w:lvlJc w:val="left"/>
      <w:pPr>
        <w:ind w:left="723" w:hanging="360"/>
      </w:pPr>
      <w:rPr>
        <w:rFonts w:ascii="Symbol" w:hAnsi="Symbol" w:hint="default"/>
      </w:rPr>
    </w:lvl>
    <w:lvl w:ilvl="1" w:tplc="14090003">
      <w:start w:val="1"/>
      <w:numFmt w:val="bullet"/>
      <w:lvlText w:val="o"/>
      <w:lvlJc w:val="left"/>
      <w:pPr>
        <w:ind w:left="1443" w:hanging="360"/>
      </w:pPr>
      <w:rPr>
        <w:rFonts w:ascii="Courier New" w:hAnsi="Courier New" w:cs="Courier New" w:hint="default"/>
      </w:rPr>
    </w:lvl>
    <w:lvl w:ilvl="2" w:tplc="1409001B">
      <w:start w:val="1"/>
      <w:numFmt w:val="lowerRoman"/>
      <w:lvlText w:val="%3."/>
      <w:lvlJc w:val="right"/>
      <w:pPr>
        <w:ind w:left="2163" w:hanging="180"/>
      </w:pPr>
    </w:lvl>
    <w:lvl w:ilvl="3" w:tplc="1409000F">
      <w:start w:val="1"/>
      <w:numFmt w:val="decimal"/>
      <w:lvlText w:val="%4."/>
      <w:lvlJc w:val="left"/>
      <w:pPr>
        <w:ind w:left="2883" w:hanging="360"/>
      </w:pPr>
    </w:lvl>
    <w:lvl w:ilvl="4" w:tplc="14090019" w:tentative="1">
      <w:start w:val="1"/>
      <w:numFmt w:val="lowerLetter"/>
      <w:lvlText w:val="%5."/>
      <w:lvlJc w:val="left"/>
      <w:pPr>
        <w:ind w:left="3603" w:hanging="360"/>
      </w:pPr>
    </w:lvl>
    <w:lvl w:ilvl="5" w:tplc="1409001B" w:tentative="1">
      <w:start w:val="1"/>
      <w:numFmt w:val="lowerRoman"/>
      <w:lvlText w:val="%6."/>
      <w:lvlJc w:val="right"/>
      <w:pPr>
        <w:ind w:left="4323" w:hanging="180"/>
      </w:pPr>
    </w:lvl>
    <w:lvl w:ilvl="6" w:tplc="1409000F" w:tentative="1">
      <w:start w:val="1"/>
      <w:numFmt w:val="decimal"/>
      <w:lvlText w:val="%7."/>
      <w:lvlJc w:val="left"/>
      <w:pPr>
        <w:ind w:left="5043" w:hanging="360"/>
      </w:pPr>
    </w:lvl>
    <w:lvl w:ilvl="7" w:tplc="14090019" w:tentative="1">
      <w:start w:val="1"/>
      <w:numFmt w:val="lowerLetter"/>
      <w:lvlText w:val="%8."/>
      <w:lvlJc w:val="left"/>
      <w:pPr>
        <w:ind w:left="5763" w:hanging="360"/>
      </w:pPr>
    </w:lvl>
    <w:lvl w:ilvl="8" w:tplc="1409001B" w:tentative="1">
      <w:start w:val="1"/>
      <w:numFmt w:val="lowerRoman"/>
      <w:lvlText w:val="%9."/>
      <w:lvlJc w:val="right"/>
      <w:pPr>
        <w:ind w:left="6483" w:hanging="180"/>
      </w:pPr>
    </w:lvl>
  </w:abstractNum>
  <w:abstractNum w:abstractNumId="11" w15:restartNumberingAfterBreak="0">
    <w:nsid w:val="2FC60030"/>
    <w:multiLevelType w:val="hybridMultilevel"/>
    <w:tmpl w:val="ABC88F5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FD003F5"/>
    <w:multiLevelType w:val="multilevel"/>
    <w:tmpl w:val="909639F8"/>
    <w:lvl w:ilvl="0">
      <w:start w:val="1"/>
      <w:numFmt w:val="bullet"/>
      <w:lvlText w:val="►"/>
      <w:lvlJc w:val="left"/>
      <w:pPr>
        <w:ind w:left="425" w:hanging="425"/>
      </w:pPr>
      <w:rPr>
        <w:rFonts w:ascii="Arial" w:hAnsi="Arial" w:hint="default"/>
        <w:color w:val="auto"/>
        <w:sz w:val="16"/>
        <w:szCs w:val="20"/>
      </w:rPr>
    </w:lvl>
    <w:lvl w:ilvl="1">
      <w:start w:val="1"/>
      <w:numFmt w:val="bullet"/>
      <w:lvlText w:val="►"/>
      <w:lvlJc w:val="left"/>
      <w:pPr>
        <w:ind w:left="850" w:hanging="425"/>
      </w:pPr>
      <w:rPr>
        <w:rFonts w:ascii="Arial" w:hAnsi="Arial" w:hint="default"/>
        <w:sz w:val="16"/>
      </w:rPr>
    </w:lvl>
    <w:lvl w:ilvl="2">
      <w:start w:val="1"/>
      <w:numFmt w:val="bullet"/>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13" w15:restartNumberingAfterBreak="0">
    <w:nsid w:val="358D0EA1"/>
    <w:multiLevelType w:val="multilevel"/>
    <w:tmpl w:val="F18E6F0A"/>
    <w:lvl w:ilvl="0">
      <w:start w:val="1"/>
      <w:numFmt w:val="bullet"/>
      <w:lvlText w:val="►"/>
      <w:lvlJc w:val="left"/>
      <w:pPr>
        <w:ind w:left="425" w:hanging="425"/>
      </w:pPr>
      <w:rPr>
        <w:rFonts w:ascii="Arial" w:hAnsi="Arial" w:hint="default"/>
        <w:sz w:val="16"/>
      </w:rPr>
    </w:lvl>
    <w:lvl w:ilvl="1">
      <w:start w:val="1"/>
      <w:numFmt w:val="bullet"/>
      <w:lvlText w:val="►"/>
      <w:lvlJc w:val="left"/>
      <w:pPr>
        <w:ind w:left="850" w:hanging="425"/>
      </w:pPr>
      <w:rPr>
        <w:rFonts w:ascii="Arial" w:hAnsi="Arial" w:hint="default"/>
        <w:sz w:val="16"/>
      </w:rPr>
    </w:lvl>
    <w:lvl w:ilvl="2">
      <w:start w:val="1"/>
      <w:numFmt w:val="bullet"/>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14" w15:restartNumberingAfterBreak="0">
    <w:nsid w:val="37451F2C"/>
    <w:multiLevelType w:val="hybridMultilevel"/>
    <w:tmpl w:val="26284674"/>
    <w:lvl w:ilvl="0" w:tplc="08AABF94">
      <w:start w:val="1"/>
      <w:numFmt w:val="decimal"/>
      <w:lvlText w:val="%1."/>
      <w:lvlJc w:val="left"/>
      <w:pPr>
        <w:ind w:left="360" w:hanging="360"/>
      </w:pPr>
      <w:rPr>
        <w:rFonts w:cs="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47E4E06"/>
    <w:multiLevelType w:val="multilevel"/>
    <w:tmpl w:val="909639F8"/>
    <w:styleLink w:val="EYBulletList"/>
    <w:lvl w:ilvl="0">
      <w:start w:val="1"/>
      <w:numFmt w:val="bullet"/>
      <w:pStyle w:val="EYBulletedText1"/>
      <w:lvlText w:val="►"/>
      <w:lvlJc w:val="left"/>
      <w:pPr>
        <w:ind w:left="425" w:hanging="425"/>
      </w:pPr>
      <w:rPr>
        <w:rFonts w:ascii="Arial" w:hAnsi="Arial" w:hint="default"/>
        <w:color w:val="auto"/>
        <w:sz w:val="16"/>
        <w:szCs w:val="20"/>
      </w:rPr>
    </w:lvl>
    <w:lvl w:ilvl="1">
      <w:start w:val="1"/>
      <w:numFmt w:val="bullet"/>
      <w:pStyle w:val="EYBulletedText2"/>
      <w:lvlText w:val="►"/>
      <w:lvlJc w:val="left"/>
      <w:pPr>
        <w:ind w:left="850" w:hanging="425"/>
      </w:pPr>
      <w:rPr>
        <w:rFonts w:ascii="Arial" w:hAnsi="Arial" w:hint="default"/>
        <w:sz w:val="16"/>
      </w:rPr>
    </w:lvl>
    <w:lvl w:ilvl="2">
      <w:start w:val="1"/>
      <w:numFmt w:val="bullet"/>
      <w:pStyle w:val="EYBulletedText3"/>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16" w15:restartNumberingAfterBreak="0">
    <w:nsid w:val="4C18701D"/>
    <w:multiLevelType w:val="multilevel"/>
    <w:tmpl w:val="F1669212"/>
    <w:styleLink w:val="EYAlphaNumList"/>
    <w:lvl w:ilvl="0">
      <w:start w:val="1"/>
      <w:numFmt w:val="decimal"/>
      <w:pStyle w:val="EY1Number"/>
      <w:lvlText w:val="%1."/>
      <w:lvlJc w:val="left"/>
      <w:pPr>
        <w:ind w:left="425" w:hanging="425"/>
      </w:pPr>
      <w:rPr>
        <w:rFonts w:hint="default"/>
      </w:rPr>
    </w:lvl>
    <w:lvl w:ilvl="1">
      <w:start w:val="1"/>
      <w:numFmt w:val="lowerLetter"/>
      <w:pStyle w:val="EY2Letter"/>
      <w:lvlText w:val="%2."/>
      <w:lvlJc w:val="left"/>
      <w:pPr>
        <w:ind w:left="851" w:hanging="426"/>
      </w:pPr>
      <w:rPr>
        <w:rFonts w:hint="default"/>
      </w:rPr>
    </w:lvl>
    <w:lvl w:ilvl="2">
      <w:start w:val="1"/>
      <w:numFmt w:val="lowerRoman"/>
      <w:pStyle w:val="EY3Roman"/>
      <w:lvlText w:val="%3."/>
      <w:lvlJc w:val="left"/>
      <w:pPr>
        <w:ind w:left="1276" w:hanging="425"/>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F25123F"/>
    <w:multiLevelType w:val="hybridMultilevel"/>
    <w:tmpl w:val="D7D80E5A"/>
    <w:lvl w:ilvl="0" w:tplc="14090001">
      <w:start w:val="1"/>
      <w:numFmt w:val="bullet"/>
      <w:lvlText w:val=""/>
      <w:lvlJc w:val="left"/>
      <w:pPr>
        <w:ind w:left="723" w:hanging="360"/>
      </w:pPr>
      <w:rPr>
        <w:rFonts w:ascii="Symbol" w:hAnsi="Symbol" w:hint="default"/>
      </w:rPr>
    </w:lvl>
    <w:lvl w:ilvl="1" w:tplc="14090003">
      <w:start w:val="1"/>
      <w:numFmt w:val="bullet"/>
      <w:lvlText w:val="o"/>
      <w:lvlJc w:val="left"/>
      <w:pPr>
        <w:ind w:left="1443" w:hanging="360"/>
      </w:pPr>
      <w:rPr>
        <w:rFonts w:ascii="Courier New" w:hAnsi="Courier New" w:cs="Courier New" w:hint="default"/>
      </w:rPr>
    </w:lvl>
    <w:lvl w:ilvl="2" w:tplc="1409001B">
      <w:start w:val="1"/>
      <w:numFmt w:val="lowerRoman"/>
      <w:lvlText w:val="%3."/>
      <w:lvlJc w:val="right"/>
      <w:pPr>
        <w:ind w:left="2163" w:hanging="180"/>
      </w:pPr>
    </w:lvl>
    <w:lvl w:ilvl="3" w:tplc="1409000F">
      <w:start w:val="1"/>
      <w:numFmt w:val="decimal"/>
      <w:lvlText w:val="%4."/>
      <w:lvlJc w:val="left"/>
      <w:pPr>
        <w:ind w:left="2883" w:hanging="360"/>
      </w:pPr>
    </w:lvl>
    <w:lvl w:ilvl="4" w:tplc="14090019" w:tentative="1">
      <w:start w:val="1"/>
      <w:numFmt w:val="lowerLetter"/>
      <w:lvlText w:val="%5."/>
      <w:lvlJc w:val="left"/>
      <w:pPr>
        <w:ind w:left="3603" w:hanging="360"/>
      </w:pPr>
    </w:lvl>
    <w:lvl w:ilvl="5" w:tplc="1409001B" w:tentative="1">
      <w:start w:val="1"/>
      <w:numFmt w:val="lowerRoman"/>
      <w:lvlText w:val="%6."/>
      <w:lvlJc w:val="right"/>
      <w:pPr>
        <w:ind w:left="4323" w:hanging="180"/>
      </w:pPr>
    </w:lvl>
    <w:lvl w:ilvl="6" w:tplc="1409000F" w:tentative="1">
      <w:start w:val="1"/>
      <w:numFmt w:val="decimal"/>
      <w:lvlText w:val="%7."/>
      <w:lvlJc w:val="left"/>
      <w:pPr>
        <w:ind w:left="5043" w:hanging="360"/>
      </w:pPr>
    </w:lvl>
    <w:lvl w:ilvl="7" w:tplc="14090019" w:tentative="1">
      <w:start w:val="1"/>
      <w:numFmt w:val="lowerLetter"/>
      <w:lvlText w:val="%8."/>
      <w:lvlJc w:val="left"/>
      <w:pPr>
        <w:ind w:left="5763" w:hanging="360"/>
      </w:pPr>
    </w:lvl>
    <w:lvl w:ilvl="8" w:tplc="1409001B" w:tentative="1">
      <w:start w:val="1"/>
      <w:numFmt w:val="lowerRoman"/>
      <w:lvlText w:val="%9."/>
      <w:lvlJc w:val="right"/>
      <w:pPr>
        <w:ind w:left="6483" w:hanging="180"/>
      </w:pPr>
    </w:lvl>
  </w:abstractNum>
  <w:abstractNum w:abstractNumId="18" w15:restartNumberingAfterBreak="0">
    <w:nsid w:val="56DA3F1D"/>
    <w:multiLevelType w:val="hybridMultilevel"/>
    <w:tmpl w:val="685E4592"/>
    <w:lvl w:ilvl="0" w:tplc="C80ADD0A">
      <w:start w:val="1"/>
      <w:numFmt w:val="decimal"/>
      <w:lvlText w:val="%1."/>
      <w:lvlJc w:val="left"/>
      <w:pPr>
        <w:ind w:left="360" w:hanging="360"/>
      </w:pPr>
      <w:rPr>
        <w:rFonts w:hint="default"/>
        <w:b/>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8B277D7"/>
    <w:multiLevelType w:val="multilevel"/>
    <w:tmpl w:val="07B8786A"/>
    <w:name w:val="my list"/>
    <w:lvl w:ilvl="0">
      <w:numFmt w:val="none"/>
      <w:lvlText w:val=""/>
      <w:lvlJc w:val="left"/>
      <w:pPr>
        <w:tabs>
          <w:tab w:val="num" w:pos="360"/>
        </w:tabs>
      </w:pPr>
    </w:lvl>
    <w:lvl w:ilvl="1">
      <w:start w:val="1"/>
      <w:numFmt w:val="decimal"/>
      <w:lvlRestart w:val="0"/>
      <w:lvlText w:val="%1.%2"/>
      <w:lvlJc w:val="left"/>
      <w:pPr>
        <w:tabs>
          <w:tab w:val="num" w:pos="1"/>
        </w:tabs>
        <w:ind w:left="1" w:hanging="851"/>
      </w:pPr>
      <w:rPr>
        <w:rFonts w:hint="default"/>
        <w:b/>
        <w:i w:val="0"/>
        <w:color w:val="000000"/>
        <w:sz w:val="28"/>
      </w:rPr>
    </w:lvl>
    <w:lvl w:ilvl="2">
      <w:start w:val="1"/>
      <w:numFmt w:val="decimal"/>
      <w:lvlRestart w:val="0"/>
      <w:lvlText w:val="%1.%2.%3"/>
      <w:lvlJc w:val="left"/>
      <w:pPr>
        <w:tabs>
          <w:tab w:val="num" w:pos="1"/>
        </w:tabs>
        <w:ind w:left="1" w:hanging="851"/>
      </w:pPr>
      <w:rPr>
        <w:rFonts w:hint="default"/>
        <w:b/>
        <w:i w:val="0"/>
        <w:color w:val="000000"/>
        <w:sz w:val="24"/>
      </w:rPr>
    </w:lvl>
    <w:lvl w:ilvl="3">
      <w:start w:val="1"/>
      <w:numFmt w:val="decimal"/>
      <w:lvlRestart w:val="0"/>
      <w:lvlText w:val="%1.%2.%3.%4"/>
      <w:lvlJc w:val="left"/>
      <w:pPr>
        <w:tabs>
          <w:tab w:val="num" w:pos="1"/>
        </w:tabs>
        <w:ind w:left="1" w:hanging="851"/>
      </w:pPr>
      <w:rPr>
        <w:rFonts w:hint="default"/>
        <w:b/>
        <w:i w:val="0"/>
        <w:color w:val="000000"/>
        <w:sz w:val="20"/>
      </w:rPr>
    </w:lvl>
    <w:lvl w:ilvl="4">
      <w:start w:val="1"/>
      <w:numFmt w:val="none"/>
      <w:lvlText w:val=""/>
      <w:lvlJc w:val="left"/>
      <w:pPr>
        <w:tabs>
          <w:tab w:val="num" w:pos="1"/>
        </w:tabs>
        <w:ind w:left="1" w:firstLine="0"/>
      </w:pPr>
      <w:rPr>
        <w:rFonts w:hint="default"/>
        <w:b/>
        <w:color w:val="7F7E82"/>
        <w:sz w:val="20"/>
        <w:szCs w:val="20"/>
      </w:rPr>
    </w:lvl>
    <w:lvl w:ilvl="5">
      <w:start w:val="1"/>
      <w:numFmt w:val="none"/>
      <w:lvlText w:val=""/>
      <w:lvlJc w:val="left"/>
      <w:pPr>
        <w:tabs>
          <w:tab w:val="num" w:pos="1"/>
        </w:tabs>
        <w:ind w:left="1" w:firstLine="0"/>
      </w:pPr>
      <w:rPr>
        <w:rFonts w:hint="default"/>
        <w:color w:val="4367C5"/>
      </w:rPr>
    </w:lvl>
    <w:lvl w:ilvl="6">
      <w:start w:val="1"/>
      <w:numFmt w:val="none"/>
      <w:lvlText w:val=""/>
      <w:lvlJc w:val="left"/>
      <w:pPr>
        <w:tabs>
          <w:tab w:val="num" w:pos="1"/>
        </w:tabs>
        <w:ind w:left="1" w:firstLine="0"/>
      </w:pPr>
      <w:rPr>
        <w:rFonts w:hint="default"/>
        <w:color w:val="4367C5"/>
      </w:rPr>
    </w:lvl>
    <w:lvl w:ilvl="7">
      <w:start w:val="1"/>
      <w:numFmt w:val="none"/>
      <w:lvlText w:val=""/>
      <w:lvlJc w:val="left"/>
      <w:pPr>
        <w:tabs>
          <w:tab w:val="num" w:pos="1"/>
        </w:tabs>
        <w:ind w:left="1" w:firstLine="0"/>
      </w:pPr>
      <w:rPr>
        <w:rFonts w:hint="default"/>
        <w:color w:val="4367C5"/>
      </w:rPr>
    </w:lvl>
    <w:lvl w:ilvl="8">
      <w:start w:val="1"/>
      <w:numFmt w:val="none"/>
      <w:lvlText w:val=""/>
      <w:lvlJc w:val="left"/>
      <w:pPr>
        <w:tabs>
          <w:tab w:val="num" w:pos="1"/>
        </w:tabs>
        <w:ind w:left="1" w:firstLine="0"/>
      </w:pPr>
      <w:rPr>
        <w:rFonts w:hint="default"/>
        <w:color w:val="4367C5"/>
      </w:rPr>
    </w:lvl>
  </w:abstractNum>
  <w:abstractNum w:abstractNumId="20" w15:restartNumberingAfterBreak="0">
    <w:nsid w:val="5EBB6CEA"/>
    <w:multiLevelType w:val="hybridMultilevel"/>
    <w:tmpl w:val="10E6C0AC"/>
    <w:lvl w:ilvl="0" w:tplc="7DC8FEDE">
      <w:start w:val="5"/>
      <w:numFmt w:val="upperLetter"/>
      <w:lvlText w:val="%1."/>
      <w:lvlJc w:val="left"/>
      <w:pPr>
        <w:ind w:left="795" w:hanging="435"/>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F81A65"/>
    <w:multiLevelType w:val="hybridMultilevel"/>
    <w:tmpl w:val="976EE016"/>
    <w:lvl w:ilvl="0" w:tplc="00B0A078">
      <w:start w:val="1"/>
      <w:numFmt w:val="decimal"/>
      <w:lvlText w:val="%1."/>
      <w:lvlJc w:val="left"/>
      <w:pPr>
        <w:ind w:left="42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0C5D09"/>
    <w:multiLevelType w:val="multilevel"/>
    <w:tmpl w:val="B746AD6A"/>
    <w:lvl w:ilvl="0">
      <w:start w:val="1"/>
      <w:numFmt w:val="upperLetter"/>
      <w:pStyle w:val="EYAppendix"/>
      <w:lvlText w:val="Appendix %1"/>
      <w:lvlJc w:val="left"/>
      <w:pPr>
        <w:tabs>
          <w:tab w:val="num" w:pos="2268"/>
        </w:tabs>
        <w:ind w:left="2268" w:hanging="2268"/>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23" w15:restartNumberingAfterBreak="0">
    <w:nsid w:val="73A37718"/>
    <w:multiLevelType w:val="multilevel"/>
    <w:tmpl w:val="B12A2EF4"/>
    <w:lvl w:ilvl="0">
      <w:start w:val="1"/>
      <w:numFmt w:val="bullet"/>
      <w:pStyle w:val="EYTablebullet1"/>
      <w:lvlText w:val="►"/>
      <w:lvlJc w:val="left"/>
      <w:pPr>
        <w:tabs>
          <w:tab w:val="num" w:pos="284"/>
        </w:tabs>
        <w:ind w:left="284" w:hanging="284"/>
      </w:pPr>
      <w:rPr>
        <w:rFonts w:ascii="Arial" w:hAnsi="Arial" w:cs="Times New Roman" w:hint="default"/>
        <w:b w:val="0"/>
        <w:bCs/>
        <w:i w:val="0"/>
        <w:color w:val="auto"/>
        <w:sz w:val="12"/>
        <w:szCs w:val="24"/>
      </w:rPr>
    </w:lvl>
    <w:lvl w:ilvl="1">
      <w:start w:val="1"/>
      <w:numFmt w:val="bullet"/>
      <w:pStyle w:val="EYTablebullet2"/>
      <w:lvlText w:val="►"/>
      <w:lvlJc w:val="left"/>
      <w:pPr>
        <w:tabs>
          <w:tab w:val="num" w:pos="567"/>
        </w:tabs>
        <w:ind w:left="567" w:hanging="283"/>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4" w15:restartNumberingAfterBreak="0">
    <w:nsid w:val="779730BE"/>
    <w:multiLevelType w:val="multilevel"/>
    <w:tmpl w:val="12209E72"/>
    <w:styleLink w:val="StyleNumbered"/>
    <w:lvl w:ilvl="0">
      <w:start w:val="1"/>
      <w:numFmt w:val="lowerRoman"/>
      <w:lvlText w:val="%1)"/>
      <w:lvlJc w:val="left"/>
      <w:pPr>
        <w:tabs>
          <w:tab w:val="num" w:pos="360"/>
        </w:tabs>
        <w:ind w:left="360" w:hanging="360"/>
      </w:pPr>
      <w:rPr>
        <w:rFonts w:ascii="EYInterstate Light" w:hAnsi="EYInterstate Light"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15:restartNumberingAfterBreak="0">
    <w:nsid w:val="7A985A71"/>
    <w:multiLevelType w:val="hybridMultilevel"/>
    <w:tmpl w:val="2E98FD7E"/>
    <w:lvl w:ilvl="0" w:tplc="7ADA82EC">
      <w:numFmt w:val="bullet"/>
      <w:lvlText w:val="-"/>
      <w:lvlJc w:val="left"/>
      <w:pPr>
        <w:ind w:left="720" w:hanging="360"/>
      </w:pPr>
      <w:rPr>
        <w:rFonts w:ascii="EYInterstate Light" w:eastAsia="Times New Roman" w:hAnsi="EYInterstate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
  </w:num>
  <w:num w:numId="4">
    <w:abstractNumId w:val="23"/>
  </w:num>
  <w:num w:numId="5">
    <w:abstractNumId w:val="15"/>
  </w:num>
  <w:num w:numId="6">
    <w:abstractNumId w:val="7"/>
  </w:num>
  <w:num w:numId="7">
    <w:abstractNumId w:val="12"/>
  </w:num>
  <w:num w:numId="8">
    <w:abstractNumId w:val="16"/>
  </w:num>
  <w:num w:numId="9">
    <w:abstractNumId w:val="16"/>
  </w:num>
  <w:num w:numId="10">
    <w:abstractNumId w:val="8"/>
  </w:num>
  <w:num w:numId="11">
    <w:abstractNumId w:val="5"/>
  </w:num>
  <w:num w:numId="12">
    <w:abstractNumId w:val="13"/>
  </w:num>
  <w:num w:numId="13">
    <w:abstractNumId w:val="3"/>
  </w:num>
  <w:num w:numId="14">
    <w:abstractNumId w:val="10"/>
  </w:num>
  <w:num w:numId="15">
    <w:abstractNumId w:val="17"/>
  </w:num>
  <w:num w:numId="16">
    <w:abstractNumId w:val="23"/>
  </w:num>
  <w:num w:numId="17">
    <w:abstractNumId w:val="7"/>
  </w:num>
  <w:num w:numId="18">
    <w:abstractNumId w:val="23"/>
  </w:num>
  <w:num w:numId="19">
    <w:abstractNumId w:val="23"/>
  </w:num>
  <w:num w:numId="20">
    <w:abstractNumId w:val="23"/>
  </w:num>
  <w:num w:numId="21">
    <w:abstractNumId w:val="23"/>
  </w:num>
  <w:num w:numId="22">
    <w:abstractNumId w:val="23"/>
  </w:num>
  <w:num w:numId="23">
    <w:abstractNumId w:val="15"/>
  </w:num>
  <w:num w:numId="24">
    <w:abstractNumId w:val="4"/>
  </w:num>
  <w:num w:numId="25">
    <w:abstractNumId w:val="9"/>
  </w:num>
  <w:num w:numId="26">
    <w:abstractNumId w:val="21"/>
  </w:num>
  <w:num w:numId="27">
    <w:abstractNumId w:val="15"/>
  </w:num>
  <w:num w:numId="28">
    <w:abstractNumId w:val="7"/>
  </w:num>
  <w:num w:numId="29">
    <w:abstractNumId w:val="7"/>
  </w:num>
  <w:num w:numId="30">
    <w:abstractNumId w:val="1"/>
  </w:num>
  <w:num w:numId="31">
    <w:abstractNumId w:val="11"/>
  </w:num>
  <w:num w:numId="32">
    <w:abstractNumId w:val="23"/>
  </w:num>
  <w:num w:numId="33">
    <w:abstractNumId w:val="23"/>
  </w:num>
  <w:num w:numId="34">
    <w:abstractNumId w:val="15"/>
  </w:num>
  <w:num w:numId="35">
    <w:abstractNumId w:val="15"/>
  </w:num>
  <w:num w:numId="36">
    <w:abstractNumId w:val="6"/>
  </w:num>
  <w:num w:numId="37">
    <w:abstractNumId w:val="20"/>
  </w:num>
  <w:num w:numId="38">
    <w:abstractNumId w:val="18"/>
  </w:num>
  <w:num w:numId="39">
    <w:abstractNumId w:val="16"/>
  </w:num>
  <w:num w:numId="40">
    <w:abstractNumId w:val="0"/>
    <w:lvlOverride w:ilvl="0">
      <w:lvl w:ilvl="0">
        <w:numFmt w:val="bullet"/>
        <w:lvlText w:val=""/>
        <w:legacy w:legacy="1" w:legacySpace="0" w:legacyIndent="0"/>
        <w:lvlJc w:val="left"/>
        <w:rPr>
          <w:rFonts w:ascii="Symbol" w:hAnsi="Symbol" w:hint="default"/>
          <w:sz w:val="22"/>
        </w:rPr>
      </w:lvl>
    </w:lvlOverride>
  </w:num>
  <w:num w:numId="41">
    <w:abstractNumId w:val="15"/>
  </w:num>
  <w:num w:numId="42">
    <w:abstractNumId w:val="23"/>
  </w:num>
  <w:num w:numId="43">
    <w:abstractNumId w:val="23"/>
  </w:num>
  <w:num w:numId="44">
    <w:abstractNumId w:val="23"/>
  </w:num>
  <w:num w:numId="45">
    <w:abstractNumId w:val="15"/>
  </w:num>
  <w:num w:numId="46">
    <w:abstractNumId w:val="22"/>
  </w:num>
  <w:num w:numId="47">
    <w:abstractNumId w:val="22"/>
  </w:num>
  <w:num w:numId="48">
    <w:abstractNumId w:val="7"/>
  </w:num>
  <w:num w:numId="49">
    <w:abstractNumId w:val="15"/>
  </w:num>
  <w:num w:numId="50">
    <w:abstractNumId w:val="1"/>
  </w:num>
  <w:num w:numId="51">
    <w:abstractNumId w:val="14"/>
  </w:num>
  <w:num w:numId="52">
    <w:abstractNumId w:val="15"/>
  </w:num>
  <w:num w:numId="53">
    <w:abstractNumId w:val="15"/>
  </w:num>
  <w:num w:numId="54">
    <w:abstractNumId w:val="15"/>
  </w:num>
  <w:num w:numId="55">
    <w:abstractNumId w:val="25"/>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37"/>
    <w:rsid w:val="000003B9"/>
    <w:rsid w:val="000008A8"/>
    <w:rsid w:val="00001D9C"/>
    <w:rsid w:val="00001E63"/>
    <w:rsid w:val="00002AFE"/>
    <w:rsid w:val="00003A2A"/>
    <w:rsid w:val="00005E9E"/>
    <w:rsid w:val="00006B1E"/>
    <w:rsid w:val="0000786F"/>
    <w:rsid w:val="000102DB"/>
    <w:rsid w:val="000103C6"/>
    <w:rsid w:val="0001095D"/>
    <w:rsid w:val="00010F87"/>
    <w:rsid w:val="000111B8"/>
    <w:rsid w:val="00013ED9"/>
    <w:rsid w:val="00013FDC"/>
    <w:rsid w:val="000144D2"/>
    <w:rsid w:val="00014C3A"/>
    <w:rsid w:val="00015020"/>
    <w:rsid w:val="000155E9"/>
    <w:rsid w:val="00016530"/>
    <w:rsid w:val="00016736"/>
    <w:rsid w:val="00017560"/>
    <w:rsid w:val="00017648"/>
    <w:rsid w:val="00020915"/>
    <w:rsid w:val="00020A8C"/>
    <w:rsid w:val="00020B95"/>
    <w:rsid w:val="00021AD2"/>
    <w:rsid w:val="00022956"/>
    <w:rsid w:val="00023DE0"/>
    <w:rsid w:val="0002408D"/>
    <w:rsid w:val="000253BD"/>
    <w:rsid w:val="000261F5"/>
    <w:rsid w:val="00030DB5"/>
    <w:rsid w:val="00030EB7"/>
    <w:rsid w:val="00030F76"/>
    <w:rsid w:val="00031645"/>
    <w:rsid w:val="0003180D"/>
    <w:rsid w:val="00031FB0"/>
    <w:rsid w:val="00032482"/>
    <w:rsid w:val="00032A27"/>
    <w:rsid w:val="000349AE"/>
    <w:rsid w:val="00034D67"/>
    <w:rsid w:val="00035588"/>
    <w:rsid w:val="00036D6E"/>
    <w:rsid w:val="00037510"/>
    <w:rsid w:val="000376D1"/>
    <w:rsid w:val="00037DFE"/>
    <w:rsid w:val="00040FB5"/>
    <w:rsid w:val="00042134"/>
    <w:rsid w:val="00042629"/>
    <w:rsid w:val="000431DF"/>
    <w:rsid w:val="00043E32"/>
    <w:rsid w:val="000454E9"/>
    <w:rsid w:val="00045653"/>
    <w:rsid w:val="000458E5"/>
    <w:rsid w:val="00045EA0"/>
    <w:rsid w:val="00051621"/>
    <w:rsid w:val="000522B8"/>
    <w:rsid w:val="00052869"/>
    <w:rsid w:val="00052DD1"/>
    <w:rsid w:val="00053D9A"/>
    <w:rsid w:val="000542E2"/>
    <w:rsid w:val="0005452B"/>
    <w:rsid w:val="00055290"/>
    <w:rsid w:val="000563BF"/>
    <w:rsid w:val="000579FD"/>
    <w:rsid w:val="000601E7"/>
    <w:rsid w:val="0006029A"/>
    <w:rsid w:val="000609FE"/>
    <w:rsid w:val="00060DA7"/>
    <w:rsid w:val="00062966"/>
    <w:rsid w:val="00062E1A"/>
    <w:rsid w:val="0006308C"/>
    <w:rsid w:val="00063C31"/>
    <w:rsid w:val="00063CBA"/>
    <w:rsid w:val="00064BFF"/>
    <w:rsid w:val="00064D45"/>
    <w:rsid w:val="00064F6C"/>
    <w:rsid w:val="00065B59"/>
    <w:rsid w:val="00065D96"/>
    <w:rsid w:val="00065EF0"/>
    <w:rsid w:val="00067538"/>
    <w:rsid w:val="00067ABF"/>
    <w:rsid w:val="00070B0C"/>
    <w:rsid w:val="00070DEC"/>
    <w:rsid w:val="000711A7"/>
    <w:rsid w:val="00073746"/>
    <w:rsid w:val="0007389D"/>
    <w:rsid w:val="00075F7A"/>
    <w:rsid w:val="00076C02"/>
    <w:rsid w:val="00080063"/>
    <w:rsid w:val="00081121"/>
    <w:rsid w:val="00081DAB"/>
    <w:rsid w:val="00082E58"/>
    <w:rsid w:val="00083D39"/>
    <w:rsid w:val="0008581C"/>
    <w:rsid w:val="00085EE5"/>
    <w:rsid w:val="0008630E"/>
    <w:rsid w:val="000865B8"/>
    <w:rsid w:val="000868F2"/>
    <w:rsid w:val="000915EB"/>
    <w:rsid w:val="00092B20"/>
    <w:rsid w:val="00092FCE"/>
    <w:rsid w:val="000932AB"/>
    <w:rsid w:val="00093BAF"/>
    <w:rsid w:val="000946B9"/>
    <w:rsid w:val="0009470D"/>
    <w:rsid w:val="000949CA"/>
    <w:rsid w:val="00094D39"/>
    <w:rsid w:val="00094D83"/>
    <w:rsid w:val="000967D6"/>
    <w:rsid w:val="000968D7"/>
    <w:rsid w:val="000A0CEC"/>
    <w:rsid w:val="000A13D0"/>
    <w:rsid w:val="000A27C6"/>
    <w:rsid w:val="000A39F7"/>
    <w:rsid w:val="000A3F40"/>
    <w:rsid w:val="000A49E5"/>
    <w:rsid w:val="000A4F6B"/>
    <w:rsid w:val="000A5A7F"/>
    <w:rsid w:val="000A5C4C"/>
    <w:rsid w:val="000A773A"/>
    <w:rsid w:val="000B0A18"/>
    <w:rsid w:val="000B12E6"/>
    <w:rsid w:val="000B16F5"/>
    <w:rsid w:val="000B1A14"/>
    <w:rsid w:val="000B37DA"/>
    <w:rsid w:val="000B40B2"/>
    <w:rsid w:val="000B424D"/>
    <w:rsid w:val="000B4FEA"/>
    <w:rsid w:val="000B7183"/>
    <w:rsid w:val="000C0239"/>
    <w:rsid w:val="000C02BA"/>
    <w:rsid w:val="000C12F1"/>
    <w:rsid w:val="000C477F"/>
    <w:rsid w:val="000C4F6C"/>
    <w:rsid w:val="000C549D"/>
    <w:rsid w:val="000C5CA6"/>
    <w:rsid w:val="000C714A"/>
    <w:rsid w:val="000C7A73"/>
    <w:rsid w:val="000D0C5D"/>
    <w:rsid w:val="000D1580"/>
    <w:rsid w:val="000D2EF4"/>
    <w:rsid w:val="000D3CFD"/>
    <w:rsid w:val="000D4243"/>
    <w:rsid w:val="000D463C"/>
    <w:rsid w:val="000D4FD9"/>
    <w:rsid w:val="000D5480"/>
    <w:rsid w:val="000D7126"/>
    <w:rsid w:val="000D7705"/>
    <w:rsid w:val="000E15D4"/>
    <w:rsid w:val="000E3478"/>
    <w:rsid w:val="000E3B8C"/>
    <w:rsid w:val="000E479C"/>
    <w:rsid w:val="000E497E"/>
    <w:rsid w:val="000E4BD7"/>
    <w:rsid w:val="000E4EBB"/>
    <w:rsid w:val="000E53F2"/>
    <w:rsid w:val="000E58AB"/>
    <w:rsid w:val="000E5990"/>
    <w:rsid w:val="000F0894"/>
    <w:rsid w:val="000F203A"/>
    <w:rsid w:val="000F2FEB"/>
    <w:rsid w:val="000F367A"/>
    <w:rsid w:val="000F425E"/>
    <w:rsid w:val="000F42A3"/>
    <w:rsid w:val="000F4CB6"/>
    <w:rsid w:val="000F5070"/>
    <w:rsid w:val="000F70F1"/>
    <w:rsid w:val="000F7276"/>
    <w:rsid w:val="000F773B"/>
    <w:rsid w:val="00100E76"/>
    <w:rsid w:val="001013E2"/>
    <w:rsid w:val="00101A85"/>
    <w:rsid w:val="00102DEB"/>
    <w:rsid w:val="00103594"/>
    <w:rsid w:val="00104796"/>
    <w:rsid w:val="001053EB"/>
    <w:rsid w:val="00105439"/>
    <w:rsid w:val="001056D0"/>
    <w:rsid w:val="00105712"/>
    <w:rsid w:val="0010571E"/>
    <w:rsid w:val="001057F2"/>
    <w:rsid w:val="00111DAA"/>
    <w:rsid w:val="00111FD0"/>
    <w:rsid w:val="00113FFC"/>
    <w:rsid w:val="0011491B"/>
    <w:rsid w:val="0011517C"/>
    <w:rsid w:val="0011539F"/>
    <w:rsid w:val="001201B2"/>
    <w:rsid w:val="00120374"/>
    <w:rsid w:val="00120904"/>
    <w:rsid w:val="00122045"/>
    <w:rsid w:val="00123FA9"/>
    <w:rsid w:val="00124C64"/>
    <w:rsid w:val="00124E17"/>
    <w:rsid w:val="0012518C"/>
    <w:rsid w:val="00125227"/>
    <w:rsid w:val="001268D7"/>
    <w:rsid w:val="00126BC1"/>
    <w:rsid w:val="00126F62"/>
    <w:rsid w:val="00131483"/>
    <w:rsid w:val="0013328E"/>
    <w:rsid w:val="001343BE"/>
    <w:rsid w:val="001347ED"/>
    <w:rsid w:val="00136130"/>
    <w:rsid w:val="00136726"/>
    <w:rsid w:val="00136D86"/>
    <w:rsid w:val="0013711E"/>
    <w:rsid w:val="0014045C"/>
    <w:rsid w:val="0014081A"/>
    <w:rsid w:val="001411FC"/>
    <w:rsid w:val="001419D0"/>
    <w:rsid w:val="00142A17"/>
    <w:rsid w:val="00143021"/>
    <w:rsid w:val="001433E8"/>
    <w:rsid w:val="0014433A"/>
    <w:rsid w:val="001445E2"/>
    <w:rsid w:val="00145E0E"/>
    <w:rsid w:val="00145F79"/>
    <w:rsid w:val="00146560"/>
    <w:rsid w:val="00146755"/>
    <w:rsid w:val="00147137"/>
    <w:rsid w:val="001472C4"/>
    <w:rsid w:val="00150B53"/>
    <w:rsid w:val="00150BF1"/>
    <w:rsid w:val="00150CD2"/>
    <w:rsid w:val="00151E1C"/>
    <w:rsid w:val="001526E1"/>
    <w:rsid w:val="00152FB8"/>
    <w:rsid w:val="00153EE9"/>
    <w:rsid w:val="00153F37"/>
    <w:rsid w:val="00156127"/>
    <w:rsid w:val="00156151"/>
    <w:rsid w:val="001572E5"/>
    <w:rsid w:val="00160C70"/>
    <w:rsid w:val="001610AB"/>
    <w:rsid w:val="00161131"/>
    <w:rsid w:val="0016197A"/>
    <w:rsid w:val="00161FB7"/>
    <w:rsid w:val="001620B6"/>
    <w:rsid w:val="00163417"/>
    <w:rsid w:val="001653B7"/>
    <w:rsid w:val="00165767"/>
    <w:rsid w:val="001661C2"/>
    <w:rsid w:val="001677EA"/>
    <w:rsid w:val="00170779"/>
    <w:rsid w:val="0017183E"/>
    <w:rsid w:val="0017417A"/>
    <w:rsid w:val="00174ECB"/>
    <w:rsid w:val="00174F49"/>
    <w:rsid w:val="00175494"/>
    <w:rsid w:val="001756CC"/>
    <w:rsid w:val="00175D8B"/>
    <w:rsid w:val="00176037"/>
    <w:rsid w:val="00176AB0"/>
    <w:rsid w:val="00176F85"/>
    <w:rsid w:val="00180B71"/>
    <w:rsid w:val="001821FE"/>
    <w:rsid w:val="001822DF"/>
    <w:rsid w:val="001830BA"/>
    <w:rsid w:val="00183726"/>
    <w:rsid w:val="00184038"/>
    <w:rsid w:val="001868C9"/>
    <w:rsid w:val="00187932"/>
    <w:rsid w:val="00190488"/>
    <w:rsid w:val="00190929"/>
    <w:rsid w:val="001923DA"/>
    <w:rsid w:val="00192A60"/>
    <w:rsid w:val="001937B8"/>
    <w:rsid w:val="00194249"/>
    <w:rsid w:val="00194F49"/>
    <w:rsid w:val="00195FFB"/>
    <w:rsid w:val="001968D9"/>
    <w:rsid w:val="0019705A"/>
    <w:rsid w:val="001A02CE"/>
    <w:rsid w:val="001A09D7"/>
    <w:rsid w:val="001A2F73"/>
    <w:rsid w:val="001A3CF5"/>
    <w:rsid w:val="001A4109"/>
    <w:rsid w:val="001A4190"/>
    <w:rsid w:val="001A4F9A"/>
    <w:rsid w:val="001A76C4"/>
    <w:rsid w:val="001A7E23"/>
    <w:rsid w:val="001B0767"/>
    <w:rsid w:val="001B1423"/>
    <w:rsid w:val="001B1546"/>
    <w:rsid w:val="001B1577"/>
    <w:rsid w:val="001B47B7"/>
    <w:rsid w:val="001B619A"/>
    <w:rsid w:val="001B7413"/>
    <w:rsid w:val="001B7493"/>
    <w:rsid w:val="001B74A0"/>
    <w:rsid w:val="001B7515"/>
    <w:rsid w:val="001B763C"/>
    <w:rsid w:val="001B7D1A"/>
    <w:rsid w:val="001B7FEB"/>
    <w:rsid w:val="001C0556"/>
    <w:rsid w:val="001C304A"/>
    <w:rsid w:val="001C316D"/>
    <w:rsid w:val="001C5011"/>
    <w:rsid w:val="001C52AF"/>
    <w:rsid w:val="001C53F9"/>
    <w:rsid w:val="001C6D36"/>
    <w:rsid w:val="001C6F74"/>
    <w:rsid w:val="001C7291"/>
    <w:rsid w:val="001C744E"/>
    <w:rsid w:val="001D07CE"/>
    <w:rsid w:val="001D193A"/>
    <w:rsid w:val="001D31ED"/>
    <w:rsid w:val="001D4D59"/>
    <w:rsid w:val="001D4FD4"/>
    <w:rsid w:val="001D52A5"/>
    <w:rsid w:val="001D5301"/>
    <w:rsid w:val="001D682A"/>
    <w:rsid w:val="001D6F2E"/>
    <w:rsid w:val="001E1FB2"/>
    <w:rsid w:val="001E4477"/>
    <w:rsid w:val="001E47F8"/>
    <w:rsid w:val="001E524F"/>
    <w:rsid w:val="001E5C2C"/>
    <w:rsid w:val="001E5DF8"/>
    <w:rsid w:val="001E5F4B"/>
    <w:rsid w:val="001E6446"/>
    <w:rsid w:val="001E6BB7"/>
    <w:rsid w:val="001E7188"/>
    <w:rsid w:val="001F0822"/>
    <w:rsid w:val="001F1194"/>
    <w:rsid w:val="001F2ABA"/>
    <w:rsid w:val="001F3077"/>
    <w:rsid w:val="001F3AA2"/>
    <w:rsid w:val="001F51E8"/>
    <w:rsid w:val="001F57BC"/>
    <w:rsid w:val="001F75B3"/>
    <w:rsid w:val="00200A85"/>
    <w:rsid w:val="00200E83"/>
    <w:rsid w:val="00203836"/>
    <w:rsid w:val="00205632"/>
    <w:rsid w:val="00205B0D"/>
    <w:rsid w:val="00205B66"/>
    <w:rsid w:val="002073D4"/>
    <w:rsid w:val="0020747D"/>
    <w:rsid w:val="00207730"/>
    <w:rsid w:val="00207868"/>
    <w:rsid w:val="00207BA6"/>
    <w:rsid w:val="002104E8"/>
    <w:rsid w:val="00212776"/>
    <w:rsid w:val="0021298C"/>
    <w:rsid w:val="00213BB0"/>
    <w:rsid w:val="00214157"/>
    <w:rsid w:val="00214233"/>
    <w:rsid w:val="00215465"/>
    <w:rsid w:val="00215B69"/>
    <w:rsid w:val="002168B6"/>
    <w:rsid w:val="00216A96"/>
    <w:rsid w:val="002171A4"/>
    <w:rsid w:val="00220060"/>
    <w:rsid w:val="00221450"/>
    <w:rsid w:val="00221A1D"/>
    <w:rsid w:val="002225CD"/>
    <w:rsid w:val="00225D67"/>
    <w:rsid w:val="00225F3F"/>
    <w:rsid w:val="002267BD"/>
    <w:rsid w:val="002275C0"/>
    <w:rsid w:val="00227944"/>
    <w:rsid w:val="00227F79"/>
    <w:rsid w:val="00230E89"/>
    <w:rsid w:val="002314E6"/>
    <w:rsid w:val="0023162D"/>
    <w:rsid w:val="002317DB"/>
    <w:rsid w:val="00231990"/>
    <w:rsid w:val="00233D93"/>
    <w:rsid w:val="00234D7F"/>
    <w:rsid w:val="00235653"/>
    <w:rsid w:val="0023639D"/>
    <w:rsid w:val="002366A1"/>
    <w:rsid w:val="00236C25"/>
    <w:rsid w:val="00237044"/>
    <w:rsid w:val="00237122"/>
    <w:rsid w:val="002371E3"/>
    <w:rsid w:val="00240423"/>
    <w:rsid w:val="0024091A"/>
    <w:rsid w:val="00240AF9"/>
    <w:rsid w:val="0024127F"/>
    <w:rsid w:val="00241293"/>
    <w:rsid w:val="0024153D"/>
    <w:rsid w:val="0024156E"/>
    <w:rsid w:val="00244034"/>
    <w:rsid w:val="00244390"/>
    <w:rsid w:val="00244FC5"/>
    <w:rsid w:val="00245437"/>
    <w:rsid w:val="00245B66"/>
    <w:rsid w:val="002472AF"/>
    <w:rsid w:val="002476E9"/>
    <w:rsid w:val="00247C33"/>
    <w:rsid w:val="00247E14"/>
    <w:rsid w:val="00247F4A"/>
    <w:rsid w:val="002502BD"/>
    <w:rsid w:val="00251792"/>
    <w:rsid w:val="002524DC"/>
    <w:rsid w:val="00253268"/>
    <w:rsid w:val="00253731"/>
    <w:rsid w:val="0025407A"/>
    <w:rsid w:val="00254ADC"/>
    <w:rsid w:val="00254F21"/>
    <w:rsid w:val="002551DD"/>
    <w:rsid w:val="002555B9"/>
    <w:rsid w:val="00255E09"/>
    <w:rsid w:val="00256354"/>
    <w:rsid w:val="002566C9"/>
    <w:rsid w:val="00256B35"/>
    <w:rsid w:val="00256F80"/>
    <w:rsid w:val="00257126"/>
    <w:rsid w:val="00261387"/>
    <w:rsid w:val="00263421"/>
    <w:rsid w:val="00263AAE"/>
    <w:rsid w:val="00263F1C"/>
    <w:rsid w:val="002659E0"/>
    <w:rsid w:val="002663C9"/>
    <w:rsid w:val="0026657D"/>
    <w:rsid w:val="00266626"/>
    <w:rsid w:val="002667DD"/>
    <w:rsid w:val="00266E43"/>
    <w:rsid w:val="00267FD0"/>
    <w:rsid w:val="00270FF5"/>
    <w:rsid w:val="00271719"/>
    <w:rsid w:val="00271F5A"/>
    <w:rsid w:val="00275433"/>
    <w:rsid w:val="00275726"/>
    <w:rsid w:val="00277721"/>
    <w:rsid w:val="00281B0C"/>
    <w:rsid w:val="00281B85"/>
    <w:rsid w:val="00282738"/>
    <w:rsid w:val="00282CA5"/>
    <w:rsid w:val="002831EC"/>
    <w:rsid w:val="00283D31"/>
    <w:rsid w:val="00284B33"/>
    <w:rsid w:val="00284C28"/>
    <w:rsid w:val="00285256"/>
    <w:rsid w:val="002862B3"/>
    <w:rsid w:val="0028673C"/>
    <w:rsid w:val="00286893"/>
    <w:rsid w:val="00287B18"/>
    <w:rsid w:val="00287D09"/>
    <w:rsid w:val="0029237D"/>
    <w:rsid w:val="00292B41"/>
    <w:rsid w:val="00293143"/>
    <w:rsid w:val="002931C6"/>
    <w:rsid w:val="00294518"/>
    <w:rsid w:val="002946B7"/>
    <w:rsid w:val="00294CF8"/>
    <w:rsid w:val="0029531F"/>
    <w:rsid w:val="002972D6"/>
    <w:rsid w:val="002975A6"/>
    <w:rsid w:val="002A056E"/>
    <w:rsid w:val="002A0FB3"/>
    <w:rsid w:val="002A1B62"/>
    <w:rsid w:val="002A2308"/>
    <w:rsid w:val="002A2ACD"/>
    <w:rsid w:val="002A3075"/>
    <w:rsid w:val="002A5CE0"/>
    <w:rsid w:val="002A5FE5"/>
    <w:rsid w:val="002A71AE"/>
    <w:rsid w:val="002A71B3"/>
    <w:rsid w:val="002A7CCF"/>
    <w:rsid w:val="002B0437"/>
    <w:rsid w:val="002B0627"/>
    <w:rsid w:val="002B0B1E"/>
    <w:rsid w:val="002B10A0"/>
    <w:rsid w:val="002B1EBA"/>
    <w:rsid w:val="002B38F7"/>
    <w:rsid w:val="002B4332"/>
    <w:rsid w:val="002B7341"/>
    <w:rsid w:val="002C03B9"/>
    <w:rsid w:val="002C09A9"/>
    <w:rsid w:val="002C123D"/>
    <w:rsid w:val="002C1B3B"/>
    <w:rsid w:val="002C3460"/>
    <w:rsid w:val="002C4069"/>
    <w:rsid w:val="002C525D"/>
    <w:rsid w:val="002C57BD"/>
    <w:rsid w:val="002C5FD0"/>
    <w:rsid w:val="002C6168"/>
    <w:rsid w:val="002C657A"/>
    <w:rsid w:val="002C6A49"/>
    <w:rsid w:val="002C6E46"/>
    <w:rsid w:val="002C7205"/>
    <w:rsid w:val="002D0396"/>
    <w:rsid w:val="002D143D"/>
    <w:rsid w:val="002D2577"/>
    <w:rsid w:val="002D27C4"/>
    <w:rsid w:val="002D29BB"/>
    <w:rsid w:val="002D2D8C"/>
    <w:rsid w:val="002D335D"/>
    <w:rsid w:val="002D410E"/>
    <w:rsid w:val="002D4BE0"/>
    <w:rsid w:val="002D52CF"/>
    <w:rsid w:val="002D63F2"/>
    <w:rsid w:val="002D76ED"/>
    <w:rsid w:val="002E0A70"/>
    <w:rsid w:val="002E22C3"/>
    <w:rsid w:val="002E2A2C"/>
    <w:rsid w:val="002E3C86"/>
    <w:rsid w:val="002E59E2"/>
    <w:rsid w:val="002E5B25"/>
    <w:rsid w:val="002E605E"/>
    <w:rsid w:val="002E67CE"/>
    <w:rsid w:val="002E6C02"/>
    <w:rsid w:val="002E70C9"/>
    <w:rsid w:val="002F07B9"/>
    <w:rsid w:val="002F0A62"/>
    <w:rsid w:val="002F13A0"/>
    <w:rsid w:val="002F1B71"/>
    <w:rsid w:val="002F2E35"/>
    <w:rsid w:val="002F2FF1"/>
    <w:rsid w:val="002F4983"/>
    <w:rsid w:val="002F4E67"/>
    <w:rsid w:val="002F579A"/>
    <w:rsid w:val="002F5970"/>
    <w:rsid w:val="002F6766"/>
    <w:rsid w:val="002F677E"/>
    <w:rsid w:val="002F69EF"/>
    <w:rsid w:val="002F6EEC"/>
    <w:rsid w:val="002F7F2D"/>
    <w:rsid w:val="003012C1"/>
    <w:rsid w:val="00301A5B"/>
    <w:rsid w:val="00301DE2"/>
    <w:rsid w:val="003023A7"/>
    <w:rsid w:val="00302A2F"/>
    <w:rsid w:val="00302B8D"/>
    <w:rsid w:val="003036A0"/>
    <w:rsid w:val="003038D2"/>
    <w:rsid w:val="00303E76"/>
    <w:rsid w:val="0030402F"/>
    <w:rsid w:val="00305015"/>
    <w:rsid w:val="00305DCC"/>
    <w:rsid w:val="003067F7"/>
    <w:rsid w:val="00310513"/>
    <w:rsid w:val="0031074E"/>
    <w:rsid w:val="00310848"/>
    <w:rsid w:val="00310D9A"/>
    <w:rsid w:val="003116E1"/>
    <w:rsid w:val="00312578"/>
    <w:rsid w:val="0031314C"/>
    <w:rsid w:val="00313578"/>
    <w:rsid w:val="003139AB"/>
    <w:rsid w:val="003148DF"/>
    <w:rsid w:val="003150D1"/>
    <w:rsid w:val="00316DE5"/>
    <w:rsid w:val="00317823"/>
    <w:rsid w:val="00317B53"/>
    <w:rsid w:val="00317EAA"/>
    <w:rsid w:val="003202AC"/>
    <w:rsid w:val="00320967"/>
    <w:rsid w:val="0032250C"/>
    <w:rsid w:val="00322E95"/>
    <w:rsid w:val="00322EEB"/>
    <w:rsid w:val="003230C1"/>
    <w:rsid w:val="0032337B"/>
    <w:rsid w:val="003237C1"/>
    <w:rsid w:val="00323A96"/>
    <w:rsid w:val="00323C86"/>
    <w:rsid w:val="00324522"/>
    <w:rsid w:val="003252C0"/>
    <w:rsid w:val="0032654A"/>
    <w:rsid w:val="00330432"/>
    <w:rsid w:val="00330765"/>
    <w:rsid w:val="003310B3"/>
    <w:rsid w:val="00331337"/>
    <w:rsid w:val="0033155E"/>
    <w:rsid w:val="00331881"/>
    <w:rsid w:val="00332D54"/>
    <w:rsid w:val="00334C3D"/>
    <w:rsid w:val="003359F4"/>
    <w:rsid w:val="00336432"/>
    <w:rsid w:val="00336449"/>
    <w:rsid w:val="003367EA"/>
    <w:rsid w:val="00337C92"/>
    <w:rsid w:val="0034028D"/>
    <w:rsid w:val="003403A6"/>
    <w:rsid w:val="003408B5"/>
    <w:rsid w:val="00341EE5"/>
    <w:rsid w:val="0034246E"/>
    <w:rsid w:val="0034249A"/>
    <w:rsid w:val="003429D3"/>
    <w:rsid w:val="0034301A"/>
    <w:rsid w:val="003431DE"/>
    <w:rsid w:val="00343366"/>
    <w:rsid w:val="00343A66"/>
    <w:rsid w:val="003441EE"/>
    <w:rsid w:val="00344E5F"/>
    <w:rsid w:val="003451CD"/>
    <w:rsid w:val="00347527"/>
    <w:rsid w:val="00347A5B"/>
    <w:rsid w:val="0035092D"/>
    <w:rsid w:val="00350CCC"/>
    <w:rsid w:val="00350F5E"/>
    <w:rsid w:val="00351952"/>
    <w:rsid w:val="00351E20"/>
    <w:rsid w:val="00352558"/>
    <w:rsid w:val="0035354B"/>
    <w:rsid w:val="00353810"/>
    <w:rsid w:val="00354284"/>
    <w:rsid w:val="00354FBA"/>
    <w:rsid w:val="00355F66"/>
    <w:rsid w:val="003567B3"/>
    <w:rsid w:val="00356C17"/>
    <w:rsid w:val="00357480"/>
    <w:rsid w:val="00357F73"/>
    <w:rsid w:val="00357FD9"/>
    <w:rsid w:val="00360187"/>
    <w:rsid w:val="00360701"/>
    <w:rsid w:val="00360AEB"/>
    <w:rsid w:val="00360FC5"/>
    <w:rsid w:val="003618EB"/>
    <w:rsid w:val="003635C4"/>
    <w:rsid w:val="00363837"/>
    <w:rsid w:val="00363A48"/>
    <w:rsid w:val="00363BEF"/>
    <w:rsid w:val="003643B7"/>
    <w:rsid w:val="0036459A"/>
    <w:rsid w:val="00365374"/>
    <w:rsid w:val="0036625F"/>
    <w:rsid w:val="00366DB0"/>
    <w:rsid w:val="00367CEB"/>
    <w:rsid w:val="003704F2"/>
    <w:rsid w:val="00371A5B"/>
    <w:rsid w:val="00371B3E"/>
    <w:rsid w:val="00371B43"/>
    <w:rsid w:val="00371BA1"/>
    <w:rsid w:val="0037250F"/>
    <w:rsid w:val="003737CF"/>
    <w:rsid w:val="003742A5"/>
    <w:rsid w:val="00374376"/>
    <w:rsid w:val="003748DC"/>
    <w:rsid w:val="0037522A"/>
    <w:rsid w:val="00375482"/>
    <w:rsid w:val="003757F9"/>
    <w:rsid w:val="00375E1A"/>
    <w:rsid w:val="00376D4E"/>
    <w:rsid w:val="00377565"/>
    <w:rsid w:val="00377E29"/>
    <w:rsid w:val="0038147F"/>
    <w:rsid w:val="00381C13"/>
    <w:rsid w:val="00381F33"/>
    <w:rsid w:val="00382788"/>
    <w:rsid w:val="003832E5"/>
    <w:rsid w:val="003846E2"/>
    <w:rsid w:val="00384CA5"/>
    <w:rsid w:val="00385703"/>
    <w:rsid w:val="0038678D"/>
    <w:rsid w:val="00387280"/>
    <w:rsid w:val="003875EB"/>
    <w:rsid w:val="00390B44"/>
    <w:rsid w:val="003914B0"/>
    <w:rsid w:val="0039196E"/>
    <w:rsid w:val="00392C9F"/>
    <w:rsid w:val="0039393C"/>
    <w:rsid w:val="003958AB"/>
    <w:rsid w:val="00395A3C"/>
    <w:rsid w:val="00395BD7"/>
    <w:rsid w:val="00397640"/>
    <w:rsid w:val="003A027D"/>
    <w:rsid w:val="003A112B"/>
    <w:rsid w:val="003A227B"/>
    <w:rsid w:val="003A23FD"/>
    <w:rsid w:val="003A2B0D"/>
    <w:rsid w:val="003A2E77"/>
    <w:rsid w:val="003A2EAA"/>
    <w:rsid w:val="003A302D"/>
    <w:rsid w:val="003A3119"/>
    <w:rsid w:val="003A40C1"/>
    <w:rsid w:val="003A4D3B"/>
    <w:rsid w:val="003A54B3"/>
    <w:rsid w:val="003A5F98"/>
    <w:rsid w:val="003A6F1E"/>
    <w:rsid w:val="003B0068"/>
    <w:rsid w:val="003B01DB"/>
    <w:rsid w:val="003B0CF3"/>
    <w:rsid w:val="003B1E1B"/>
    <w:rsid w:val="003B2073"/>
    <w:rsid w:val="003B3FBC"/>
    <w:rsid w:val="003B457A"/>
    <w:rsid w:val="003B50CC"/>
    <w:rsid w:val="003B5C5C"/>
    <w:rsid w:val="003B6C47"/>
    <w:rsid w:val="003B7869"/>
    <w:rsid w:val="003C01E6"/>
    <w:rsid w:val="003C087C"/>
    <w:rsid w:val="003C0986"/>
    <w:rsid w:val="003C2B11"/>
    <w:rsid w:val="003C2CF4"/>
    <w:rsid w:val="003C46CF"/>
    <w:rsid w:val="003C4BAF"/>
    <w:rsid w:val="003C594F"/>
    <w:rsid w:val="003C64BC"/>
    <w:rsid w:val="003C656D"/>
    <w:rsid w:val="003C6C3F"/>
    <w:rsid w:val="003C76E7"/>
    <w:rsid w:val="003D060B"/>
    <w:rsid w:val="003D1199"/>
    <w:rsid w:val="003D11F1"/>
    <w:rsid w:val="003D22D2"/>
    <w:rsid w:val="003D2375"/>
    <w:rsid w:val="003D5985"/>
    <w:rsid w:val="003D5D16"/>
    <w:rsid w:val="003D5ED1"/>
    <w:rsid w:val="003D6698"/>
    <w:rsid w:val="003D67EE"/>
    <w:rsid w:val="003D71CC"/>
    <w:rsid w:val="003D735D"/>
    <w:rsid w:val="003E20A5"/>
    <w:rsid w:val="003E2120"/>
    <w:rsid w:val="003E21BB"/>
    <w:rsid w:val="003E48F9"/>
    <w:rsid w:val="003E713A"/>
    <w:rsid w:val="003E776F"/>
    <w:rsid w:val="003E7DCD"/>
    <w:rsid w:val="003F02D1"/>
    <w:rsid w:val="003F02D5"/>
    <w:rsid w:val="003F035A"/>
    <w:rsid w:val="003F0740"/>
    <w:rsid w:val="003F0BFC"/>
    <w:rsid w:val="003F194C"/>
    <w:rsid w:val="003F1B58"/>
    <w:rsid w:val="003F211F"/>
    <w:rsid w:val="003F2235"/>
    <w:rsid w:val="003F3AA7"/>
    <w:rsid w:val="003F49F6"/>
    <w:rsid w:val="003F6049"/>
    <w:rsid w:val="004015BE"/>
    <w:rsid w:val="004021AC"/>
    <w:rsid w:val="004026F6"/>
    <w:rsid w:val="00403E7B"/>
    <w:rsid w:val="004041AD"/>
    <w:rsid w:val="004044F8"/>
    <w:rsid w:val="004045A7"/>
    <w:rsid w:val="004049A2"/>
    <w:rsid w:val="00410946"/>
    <w:rsid w:val="004116C6"/>
    <w:rsid w:val="004118A1"/>
    <w:rsid w:val="00411A53"/>
    <w:rsid w:val="00412093"/>
    <w:rsid w:val="004127DE"/>
    <w:rsid w:val="00412DDC"/>
    <w:rsid w:val="00412FD1"/>
    <w:rsid w:val="00413CBA"/>
    <w:rsid w:val="00414981"/>
    <w:rsid w:val="00415331"/>
    <w:rsid w:val="004160CE"/>
    <w:rsid w:val="00416750"/>
    <w:rsid w:val="00420E23"/>
    <w:rsid w:val="004214BE"/>
    <w:rsid w:val="004215CB"/>
    <w:rsid w:val="00421FE7"/>
    <w:rsid w:val="00422183"/>
    <w:rsid w:val="00422E24"/>
    <w:rsid w:val="00423445"/>
    <w:rsid w:val="0042375E"/>
    <w:rsid w:val="0042434B"/>
    <w:rsid w:val="00424612"/>
    <w:rsid w:val="00425D50"/>
    <w:rsid w:val="00425E63"/>
    <w:rsid w:val="0042604E"/>
    <w:rsid w:val="0042631D"/>
    <w:rsid w:val="004265DF"/>
    <w:rsid w:val="004274A8"/>
    <w:rsid w:val="0042751D"/>
    <w:rsid w:val="00430ABB"/>
    <w:rsid w:val="00431D41"/>
    <w:rsid w:val="00432B94"/>
    <w:rsid w:val="004345EF"/>
    <w:rsid w:val="00434D75"/>
    <w:rsid w:val="004356ED"/>
    <w:rsid w:val="0043594B"/>
    <w:rsid w:val="00437E10"/>
    <w:rsid w:val="00440505"/>
    <w:rsid w:val="00440CE9"/>
    <w:rsid w:val="0044144A"/>
    <w:rsid w:val="004415C4"/>
    <w:rsid w:val="00442A74"/>
    <w:rsid w:val="00444A53"/>
    <w:rsid w:val="00444CBD"/>
    <w:rsid w:val="00444D4E"/>
    <w:rsid w:val="004452C6"/>
    <w:rsid w:val="0044550B"/>
    <w:rsid w:val="00446448"/>
    <w:rsid w:val="004516BE"/>
    <w:rsid w:val="00451F79"/>
    <w:rsid w:val="00452BA2"/>
    <w:rsid w:val="00453D10"/>
    <w:rsid w:val="00453FD3"/>
    <w:rsid w:val="00454367"/>
    <w:rsid w:val="00454B95"/>
    <w:rsid w:val="004552DE"/>
    <w:rsid w:val="004579B3"/>
    <w:rsid w:val="004579CC"/>
    <w:rsid w:val="0046209A"/>
    <w:rsid w:val="00462542"/>
    <w:rsid w:val="00464816"/>
    <w:rsid w:val="00464ACD"/>
    <w:rsid w:val="00465236"/>
    <w:rsid w:val="0046681E"/>
    <w:rsid w:val="00466AC9"/>
    <w:rsid w:val="00471A5D"/>
    <w:rsid w:val="00471FC0"/>
    <w:rsid w:val="00474B98"/>
    <w:rsid w:val="00475556"/>
    <w:rsid w:val="00475C1E"/>
    <w:rsid w:val="00475D42"/>
    <w:rsid w:val="004770DF"/>
    <w:rsid w:val="00477470"/>
    <w:rsid w:val="004776FC"/>
    <w:rsid w:val="004812C3"/>
    <w:rsid w:val="0048174C"/>
    <w:rsid w:val="0048292F"/>
    <w:rsid w:val="00482D9B"/>
    <w:rsid w:val="0048344F"/>
    <w:rsid w:val="004836FE"/>
    <w:rsid w:val="004837FE"/>
    <w:rsid w:val="00483F81"/>
    <w:rsid w:val="0048445F"/>
    <w:rsid w:val="004844AF"/>
    <w:rsid w:val="00484608"/>
    <w:rsid w:val="00485D07"/>
    <w:rsid w:val="00485DEC"/>
    <w:rsid w:val="00486FBF"/>
    <w:rsid w:val="0048713A"/>
    <w:rsid w:val="00487C3A"/>
    <w:rsid w:val="00490270"/>
    <w:rsid w:val="00490577"/>
    <w:rsid w:val="00490FDA"/>
    <w:rsid w:val="004913A3"/>
    <w:rsid w:val="00492302"/>
    <w:rsid w:val="00493141"/>
    <w:rsid w:val="00494522"/>
    <w:rsid w:val="00494F75"/>
    <w:rsid w:val="00496EEA"/>
    <w:rsid w:val="00497DC6"/>
    <w:rsid w:val="004A04D7"/>
    <w:rsid w:val="004A135E"/>
    <w:rsid w:val="004A2178"/>
    <w:rsid w:val="004A316D"/>
    <w:rsid w:val="004A31AE"/>
    <w:rsid w:val="004A4E8C"/>
    <w:rsid w:val="004A4F72"/>
    <w:rsid w:val="004A54B7"/>
    <w:rsid w:val="004A6EF3"/>
    <w:rsid w:val="004B1E70"/>
    <w:rsid w:val="004B21FA"/>
    <w:rsid w:val="004B2FD7"/>
    <w:rsid w:val="004B3D56"/>
    <w:rsid w:val="004B419C"/>
    <w:rsid w:val="004B4C9D"/>
    <w:rsid w:val="004B5240"/>
    <w:rsid w:val="004B658E"/>
    <w:rsid w:val="004B7B40"/>
    <w:rsid w:val="004B7DCD"/>
    <w:rsid w:val="004C1A2C"/>
    <w:rsid w:val="004C2195"/>
    <w:rsid w:val="004C254E"/>
    <w:rsid w:val="004C4A50"/>
    <w:rsid w:val="004C4E6A"/>
    <w:rsid w:val="004C56F4"/>
    <w:rsid w:val="004C6F17"/>
    <w:rsid w:val="004C6F2C"/>
    <w:rsid w:val="004C7AA7"/>
    <w:rsid w:val="004C7D83"/>
    <w:rsid w:val="004D1BBD"/>
    <w:rsid w:val="004D2188"/>
    <w:rsid w:val="004D3CC7"/>
    <w:rsid w:val="004D4B5E"/>
    <w:rsid w:val="004D4FDA"/>
    <w:rsid w:val="004D7716"/>
    <w:rsid w:val="004D7EDC"/>
    <w:rsid w:val="004E1D9D"/>
    <w:rsid w:val="004E2DC8"/>
    <w:rsid w:val="004E426A"/>
    <w:rsid w:val="004E5D87"/>
    <w:rsid w:val="004E6464"/>
    <w:rsid w:val="004E6E3F"/>
    <w:rsid w:val="004E71B5"/>
    <w:rsid w:val="004E7908"/>
    <w:rsid w:val="004E7F0B"/>
    <w:rsid w:val="004F026E"/>
    <w:rsid w:val="004F0C6B"/>
    <w:rsid w:val="004F129C"/>
    <w:rsid w:val="004F1AD1"/>
    <w:rsid w:val="004F1CB6"/>
    <w:rsid w:val="004F22EC"/>
    <w:rsid w:val="004F2573"/>
    <w:rsid w:val="004F44BF"/>
    <w:rsid w:val="004F7E15"/>
    <w:rsid w:val="004F7FD8"/>
    <w:rsid w:val="0050040E"/>
    <w:rsid w:val="00500A35"/>
    <w:rsid w:val="005022FE"/>
    <w:rsid w:val="00503939"/>
    <w:rsid w:val="005069BF"/>
    <w:rsid w:val="00507561"/>
    <w:rsid w:val="005075C9"/>
    <w:rsid w:val="00507EDD"/>
    <w:rsid w:val="00510953"/>
    <w:rsid w:val="005113E9"/>
    <w:rsid w:val="00511700"/>
    <w:rsid w:val="00511BB8"/>
    <w:rsid w:val="00512DBF"/>
    <w:rsid w:val="00513398"/>
    <w:rsid w:val="00513B83"/>
    <w:rsid w:val="00514911"/>
    <w:rsid w:val="00514B1C"/>
    <w:rsid w:val="00514D8E"/>
    <w:rsid w:val="005158D5"/>
    <w:rsid w:val="00515C80"/>
    <w:rsid w:val="00516105"/>
    <w:rsid w:val="00523560"/>
    <w:rsid w:val="00524680"/>
    <w:rsid w:val="00524A41"/>
    <w:rsid w:val="00525759"/>
    <w:rsid w:val="00525B8D"/>
    <w:rsid w:val="0052645F"/>
    <w:rsid w:val="00527B6E"/>
    <w:rsid w:val="00527D58"/>
    <w:rsid w:val="0053045D"/>
    <w:rsid w:val="005309A4"/>
    <w:rsid w:val="00531530"/>
    <w:rsid w:val="005315E5"/>
    <w:rsid w:val="005338F2"/>
    <w:rsid w:val="00534711"/>
    <w:rsid w:val="00534FED"/>
    <w:rsid w:val="005370F4"/>
    <w:rsid w:val="00537280"/>
    <w:rsid w:val="005415B6"/>
    <w:rsid w:val="00541E60"/>
    <w:rsid w:val="00543429"/>
    <w:rsid w:val="00543A69"/>
    <w:rsid w:val="005442FE"/>
    <w:rsid w:val="005458D0"/>
    <w:rsid w:val="00546BF6"/>
    <w:rsid w:val="00546DED"/>
    <w:rsid w:val="00546F97"/>
    <w:rsid w:val="0054784F"/>
    <w:rsid w:val="005500AB"/>
    <w:rsid w:val="00550AC4"/>
    <w:rsid w:val="00550D0E"/>
    <w:rsid w:val="00551CA4"/>
    <w:rsid w:val="005524A4"/>
    <w:rsid w:val="00552B64"/>
    <w:rsid w:val="005534D9"/>
    <w:rsid w:val="00554243"/>
    <w:rsid w:val="00554E3B"/>
    <w:rsid w:val="0055501D"/>
    <w:rsid w:val="0055560E"/>
    <w:rsid w:val="005573DD"/>
    <w:rsid w:val="005579AB"/>
    <w:rsid w:val="00557C07"/>
    <w:rsid w:val="00557D08"/>
    <w:rsid w:val="0056097B"/>
    <w:rsid w:val="00562150"/>
    <w:rsid w:val="0056224C"/>
    <w:rsid w:val="00562F48"/>
    <w:rsid w:val="00563404"/>
    <w:rsid w:val="00563530"/>
    <w:rsid w:val="00563D18"/>
    <w:rsid w:val="00564148"/>
    <w:rsid w:val="00565D55"/>
    <w:rsid w:val="00565E81"/>
    <w:rsid w:val="005670CA"/>
    <w:rsid w:val="0056721E"/>
    <w:rsid w:val="00567BCD"/>
    <w:rsid w:val="00570211"/>
    <w:rsid w:val="005804C2"/>
    <w:rsid w:val="00580652"/>
    <w:rsid w:val="00580D7C"/>
    <w:rsid w:val="00581A33"/>
    <w:rsid w:val="00581A7E"/>
    <w:rsid w:val="00581FBE"/>
    <w:rsid w:val="005824D7"/>
    <w:rsid w:val="005826EF"/>
    <w:rsid w:val="00582CB3"/>
    <w:rsid w:val="0058564F"/>
    <w:rsid w:val="0058659F"/>
    <w:rsid w:val="00587967"/>
    <w:rsid w:val="00590D0E"/>
    <w:rsid w:val="0059133C"/>
    <w:rsid w:val="005938A7"/>
    <w:rsid w:val="00593C07"/>
    <w:rsid w:val="00593CED"/>
    <w:rsid w:val="00593EF4"/>
    <w:rsid w:val="00594882"/>
    <w:rsid w:val="005949BD"/>
    <w:rsid w:val="00594CD3"/>
    <w:rsid w:val="00595EE3"/>
    <w:rsid w:val="00596110"/>
    <w:rsid w:val="00596732"/>
    <w:rsid w:val="00596E0D"/>
    <w:rsid w:val="005A2107"/>
    <w:rsid w:val="005A3149"/>
    <w:rsid w:val="005A31FC"/>
    <w:rsid w:val="005A36C3"/>
    <w:rsid w:val="005A4103"/>
    <w:rsid w:val="005A43BC"/>
    <w:rsid w:val="005A46E6"/>
    <w:rsid w:val="005A4736"/>
    <w:rsid w:val="005A4914"/>
    <w:rsid w:val="005A5E45"/>
    <w:rsid w:val="005A72BE"/>
    <w:rsid w:val="005B007F"/>
    <w:rsid w:val="005B0A3E"/>
    <w:rsid w:val="005B17B3"/>
    <w:rsid w:val="005B1F92"/>
    <w:rsid w:val="005B2389"/>
    <w:rsid w:val="005B3269"/>
    <w:rsid w:val="005B3645"/>
    <w:rsid w:val="005B3973"/>
    <w:rsid w:val="005B3E29"/>
    <w:rsid w:val="005B4183"/>
    <w:rsid w:val="005B5A21"/>
    <w:rsid w:val="005B5CC5"/>
    <w:rsid w:val="005C11A3"/>
    <w:rsid w:val="005C1BC2"/>
    <w:rsid w:val="005C2DA6"/>
    <w:rsid w:val="005C37C4"/>
    <w:rsid w:val="005C4320"/>
    <w:rsid w:val="005C5C2C"/>
    <w:rsid w:val="005C5C72"/>
    <w:rsid w:val="005C5F68"/>
    <w:rsid w:val="005C65B0"/>
    <w:rsid w:val="005C65BE"/>
    <w:rsid w:val="005C68CB"/>
    <w:rsid w:val="005C6F99"/>
    <w:rsid w:val="005C7C6C"/>
    <w:rsid w:val="005D0956"/>
    <w:rsid w:val="005D3465"/>
    <w:rsid w:val="005D379C"/>
    <w:rsid w:val="005D4009"/>
    <w:rsid w:val="005D40A7"/>
    <w:rsid w:val="005D4419"/>
    <w:rsid w:val="005D4A47"/>
    <w:rsid w:val="005D5188"/>
    <w:rsid w:val="005D6562"/>
    <w:rsid w:val="005D7B1A"/>
    <w:rsid w:val="005E0676"/>
    <w:rsid w:val="005E109E"/>
    <w:rsid w:val="005E1539"/>
    <w:rsid w:val="005E1832"/>
    <w:rsid w:val="005E235E"/>
    <w:rsid w:val="005E2AE6"/>
    <w:rsid w:val="005E4A8D"/>
    <w:rsid w:val="005E4B8B"/>
    <w:rsid w:val="005E4E37"/>
    <w:rsid w:val="005E571D"/>
    <w:rsid w:val="005E773C"/>
    <w:rsid w:val="005E7C0A"/>
    <w:rsid w:val="005F158A"/>
    <w:rsid w:val="005F15C9"/>
    <w:rsid w:val="005F288F"/>
    <w:rsid w:val="005F2A19"/>
    <w:rsid w:val="005F39A3"/>
    <w:rsid w:val="005F41E2"/>
    <w:rsid w:val="005F5623"/>
    <w:rsid w:val="005F6775"/>
    <w:rsid w:val="005F6B03"/>
    <w:rsid w:val="00600C74"/>
    <w:rsid w:val="00601D8E"/>
    <w:rsid w:val="00601E64"/>
    <w:rsid w:val="00602D80"/>
    <w:rsid w:val="00602ED2"/>
    <w:rsid w:val="006049B4"/>
    <w:rsid w:val="006050EA"/>
    <w:rsid w:val="006053D3"/>
    <w:rsid w:val="00605736"/>
    <w:rsid w:val="0060574E"/>
    <w:rsid w:val="006108FB"/>
    <w:rsid w:val="00611885"/>
    <w:rsid w:val="00613336"/>
    <w:rsid w:val="00613E0A"/>
    <w:rsid w:val="00613EE8"/>
    <w:rsid w:val="00614B3D"/>
    <w:rsid w:val="00614E70"/>
    <w:rsid w:val="00615A4A"/>
    <w:rsid w:val="00615CA6"/>
    <w:rsid w:val="00616AC0"/>
    <w:rsid w:val="00617220"/>
    <w:rsid w:val="006219FC"/>
    <w:rsid w:val="00622DC9"/>
    <w:rsid w:val="00623542"/>
    <w:rsid w:val="0062399F"/>
    <w:rsid w:val="00624952"/>
    <w:rsid w:val="00625537"/>
    <w:rsid w:val="00625A28"/>
    <w:rsid w:val="00625A79"/>
    <w:rsid w:val="006265E6"/>
    <w:rsid w:val="00630498"/>
    <w:rsid w:val="00630FCB"/>
    <w:rsid w:val="00631CB8"/>
    <w:rsid w:val="00631FC1"/>
    <w:rsid w:val="0063286E"/>
    <w:rsid w:val="00633799"/>
    <w:rsid w:val="006339F3"/>
    <w:rsid w:val="00633A2A"/>
    <w:rsid w:val="00633D65"/>
    <w:rsid w:val="0063651B"/>
    <w:rsid w:val="00636E6A"/>
    <w:rsid w:val="00637B93"/>
    <w:rsid w:val="00640FB7"/>
    <w:rsid w:val="006421F3"/>
    <w:rsid w:val="006432CF"/>
    <w:rsid w:val="006439DC"/>
    <w:rsid w:val="00644350"/>
    <w:rsid w:val="00645201"/>
    <w:rsid w:val="006456BF"/>
    <w:rsid w:val="00645B78"/>
    <w:rsid w:val="00645D25"/>
    <w:rsid w:val="006463C8"/>
    <w:rsid w:val="00646DD5"/>
    <w:rsid w:val="006502F4"/>
    <w:rsid w:val="00650AD6"/>
    <w:rsid w:val="00650AF8"/>
    <w:rsid w:val="00651DE8"/>
    <w:rsid w:val="0065264F"/>
    <w:rsid w:val="006534D3"/>
    <w:rsid w:val="006536E1"/>
    <w:rsid w:val="00653A39"/>
    <w:rsid w:val="0065433B"/>
    <w:rsid w:val="0065444D"/>
    <w:rsid w:val="0065551B"/>
    <w:rsid w:val="006560CE"/>
    <w:rsid w:val="00656322"/>
    <w:rsid w:val="00657160"/>
    <w:rsid w:val="006577F7"/>
    <w:rsid w:val="00657AE7"/>
    <w:rsid w:val="00657CAE"/>
    <w:rsid w:val="006610E6"/>
    <w:rsid w:val="00663284"/>
    <w:rsid w:val="0066419D"/>
    <w:rsid w:val="0066561D"/>
    <w:rsid w:val="00665E1A"/>
    <w:rsid w:val="006661EC"/>
    <w:rsid w:val="00666225"/>
    <w:rsid w:val="0066771A"/>
    <w:rsid w:val="006679B6"/>
    <w:rsid w:val="00667C2A"/>
    <w:rsid w:val="00671A16"/>
    <w:rsid w:val="006720C9"/>
    <w:rsid w:val="006721F9"/>
    <w:rsid w:val="006739B5"/>
    <w:rsid w:val="006741C1"/>
    <w:rsid w:val="00674978"/>
    <w:rsid w:val="0067532D"/>
    <w:rsid w:val="0067546B"/>
    <w:rsid w:val="006769CA"/>
    <w:rsid w:val="00676AA9"/>
    <w:rsid w:val="00676CD7"/>
    <w:rsid w:val="0067779D"/>
    <w:rsid w:val="0068339E"/>
    <w:rsid w:val="00683941"/>
    <w:rsid w:val="00683D71"/>
    <w:rsid w:val="00683FE7"/>
    <w:rsid w:val="00685BBC"/>
    <w:rsid w:val="0068671C"/>
    <w:rsid w:val="0068792C"/>
    <w:rsid w:val="00687AD1"/>
    <w:rsid w:val="00692DD5"/>
    <w:rsid w:val="00692F39"/>
    <w:rsid w:val="0069471D"/>
    <w:rsid w:val="00695921"/>
    <w:rsid w:val="00695FD9"/>
    <w:rsid w:val="006963F6"/>
    <w:rsid w:val="006A0F16"/>
    <w:rsid w:val="006A0F89"/>
    <w:rsid w:val="006A19EB"/>
    <w:rsid w:val="006A1A6E"/>
    <w:rsid w:val="006A2458"/>
    <w:rsid w:val="006A24D4"/>
    <w:rsid w:val="006A32F9"/>
    <w:rsid w:val="006A3C9F"/>
    <w:rsid w:val="006A42DC"/>
    <w:rsid w:val="006A481C"/>
    <w:rsid w:val="006A6BD4"/>
    <w:rsid w:val="006A7245"/>
    <w:rsid w:val="006A7748"/>
    <w:rsid w:val="006A7910"/>
    <w:rsid w:val="006B0E1D"/>
    <w:rsid w:val="006B1170"/>
    <w:rsid w:val="006B1BA9"/>
    <w:rsid w:val="006B3BAD"/>
    <w:rsid w:val="006B483D"/>
    <w:rsid w:val="006C05D5"/>
    <w:rsid w:val="006C0AE5"/>
    <w:rsid w:val="006C18FF"/>
    <w:rsid w:val="006C1B0A"/>
    <w:rsid w:val="006C2439"/>
    <w:rsid w:val="006C30AC"/>
    <w:rsid w:val="006C42DF"/>
    <w:rsid w:val="006C4B51"/>
    <w:rsid w:val="006C53E0"/>
    <w:rsid w:val="006C655C"/>
    <w:rsid w:val="006C6E85"/>
    <w:rsid w:val="006C7B1E"/>
    <w:rsid w:val="006D12F5"/>
    <w:rsid w:val="006D2F4A"/>
    <w:rsid w:val="006D5761"/>
    <w:rsid w:val="006D5D85"/>
    <w:rsid w:val="006D71F0"/>
    <w:rsid w:val="006E0AD7"/>
    <w:rsid w:val="006E0E6F"/>
    <w:rsid w:val="006E12E5"/>
    <w:rsid w:val="006E1E9D"/>
    <w:rsid w:val="006E30B4"/>
    <w:rsid w:val="006E3F5D"/>
    <w:rsid w:val="006E46E3"/>
    <w:rsid w:val="006E4A8E"/>
    <w:rsid w:val="006E5408"/>
    <w:rsid w:val="006E5861"/>
    <w:rsid w:val="006E59B7"/>
    <w:rsid w:val="006E6658"/>
    <w:rsid w:val="006E67B9"/>
    <w:rsid w:val="006E78F4"/>
    <w:rsid w:val="006F0E8C"/>
    <w:rsid w:val="006F1793"/>
    <w:rsid w:val="006F20D7"/>
    <w:rsid w:val="006F43AB"/>
    <w:rsid w:val="006F604A"/>
    <w:rsid w:val="006F6179"/>
    <w:rsid w:val="006F6CDA"/>
    <w:rsid w:val="006F78BF"/>
    <w:rsid w:val="007005AC"/>
    <w:rsid w:val="007008C2"/>
    <w:rsid w:val="00701288"/>
    <w:rsid w:val="0070149F"/>
    <w:rsid w:val="0070163B"/>
    <w:rsid w:val="00701DBA"/>
    <w:rsid w:val="00702C49"/>
    <w:rsid w:val="00702F51"/>
    <w:rsid w:val="00703E8A"/>
    <w:rsid w:val="00703FE3"/>
    <w:rsid w:val="00704498"/>
    <w:rsid w:val="00704FFC"/>
    <w:rsid w:val="0070532E"/>
    <w:rsid w:val="00705C5F"/>
    <w:rsid w:val="00705C90"/>
    <w:rsid w:val="00711F05"/>
    <w:rsid w:val="0071232C"/>
    <w:rsid w:val="0071275C"/>
    <w:rsid w:val="00712D00"/>
    <w:rsid w:val="007148F0"/>
    <w:rsid w:val="00714CBC"/>
    <w:rsid w:val="00715640"/>
    <w:rsid w:val="00715C33"/>
    <w:rsid w:val="00716D7F"/>
    <w:rsid w:val="00717203"/>
    <w:rsid w:val="00717372"/>
    <w:rsid w:val="00717934"/>
    <w:rsid w:val="00717B38"/>
    <w:rsid w:val="00717D44"/>
    <w:rsid w:val="007207EB"/>
    <w:rsid w:val="007211BA"/>
    <w:rsid w:val="00721E33"/>
    <w:rsid w:val="00722087"/>
    <w:rsid w:val="007220A3"/>
    <w:rsid w:val="0072214A"/>
    <w:rsid w:val="00724004"/>
    <w:rsid w:val="00724E51"/>
    <w:rsid w:val="00724F97"/>
    <w:rsid w:val="00726A57"/>
    <w:rsid w:val="00726BC2"/>
    <w:rsid w:val="00726F8E"/>
    <w:rsid w:val="00727B7B"/>
    <w:rsid w:val="007302B6"/>
    <w:rsid w:val="00730569"/>
    <w:rsid w:val="007318B6"/>
    <w:rsid w:val="007321DC"/>
    <w:rsid w:val="0073223F"/>
    <w:rsid w:val="007325C1"/>
    <w:rsid w:val="007338E1"/>
    <w:rsid w:val="0073420D"/>
    <w:rsid w:val="00734886"/>
    <w:rsid w:val="00734E51"/>
    <w:rsid w:val="00736081"/>
    <w:rsid w:val="00737D4E"/>
    <w:rsid w:val="0074050C"/>
    <w:rsid w:val="00740EDD"/>
    <w:rsid w:val="007417D2"/>
    <w:rsid w:val="0074254D"/>
    <w:rsid w:val="007433FB"/>
    <w:rsid w:val="00743626"/>
    <w:rsid w:val="007441D7"/>
    <w:rsid w:val="00744202"/>
    <w:rsid w:val="00745474"/>
    <w:rsid w:val="007460C1"/>
    <w:rsid w:val="00747037"/>
    <w:rsid w:val="007475D5"/>
    <w:rsid w:val="0074760E"/>
    <w:rsid w:val="007477DB"/>
    <w:rsid w:val="00747804"/>
    <w:rsid w:val="00750878"/>
    <w:rsid w:val="00750FED"/>
    <w:rsid w:val="007517BD"/>
    <w:rsid w:val="007529DC"/>
    <w:rsid w:val="0075509B"/>
    <w:rsid w:val="007552B7"/>
    <w:rsid w:val="00756128"/>
    <w:rsid w:val="00756881"/>
    <w:rsid w:val="007600DA"/>
    <w:rsid w:val="00760100"/>
    <w:rsid w:val="00760125"/>
    <w:rsid w:val="007601A9"/>
    <w:rsid w:val="007604B5"/>
    <w:rsid w:val="00760FAC"/>
    <w:rsid w:val="00761F22"/>
    <w:rsid w:val="00762B23"/>
    <w:rsid w:val="00762F0C"/>
    <w:rsid w:val="00763AB0"/>
    <w:rsid w:val="00763AB8"/>
    <w:rsid w:val="00763EA0"/>
    <w:rsid w:val="007642BD"/>
    <w:rsid w:val="007642E3"/>
    <w:rsid w:val="007645F7"/>
    <w:rsid w:val="00765396"/>
    <w:rsid w:val="007654B8"/>
    <w:rsid w:val="007659D3"/>
    <w:rsid w:val="0076676B"/>
    <w:rsid w:val="0077101A"/>
    <w:rsid w:val="0077144C"/>
    <w:rsid w:val="00771628"/>
    <w:rsid w:val="00771834"/>
    <w:rsid w:val="00772161"/>
    <w:rsid w:val="007729A8"/>
    <w:rsid w:val="007745CA"/>
    <w:rsid w:val="0077467B"/>
    <w:rsid w:val="0077650E"/>
    <w:rsid w:val="00776512"/>
    <w:rsid w:val="00776676"/>
    <w:rsid w:val="00776BAD"/>
    <w:rsid w:val="0077739C"/>
    <w:rsid w:val="007777A1"/>
    <w:rsid w:val="00780305"/>
    <w:rsid w:val="00780EEF"/>
    <w:rsid w:val="00781A4E"/>
    <w:rsid w:val="00784C12"/>
    <w:rsid w:val="00784FEC"/>
    <w:rsid w:val="00785F07"/>
    <w:rsid w:val="007864B5"/>
    <w:rsid w:val="00786DAF"/>
    <w:rsid w:val="00787205"/>
    <w:rsid w:val="00787239"/>
    <w:rsid w:val="00787509"/>
    <w:rsid w:val="00790578"/>
    <w:rsid w:val="0079057B"/>
    <w:rsid w:val="00791260"/>
    <w:rsid w:val="007912D1"/>
    <w:rsid w:val="00791486"/>
    <w:rsid w:val="007914D1"/>
    <w:rsid w:val="00792A10"/>
    <w:rsid w:val="00792A2E"/>
    <w:rsid w:val="00792ECB"/>
    <w:rsid w:val="00793180"/>
    <w:rsid w:val="00793A70"/>
    <w:rsid w:val="00794FA3"/>
    <w:rsid w:val="00795F20"/>
    <w:rsid w:val="00796164"/>
    <w:rsid w:val="00796E3A"/>
    <w:rsid w:val="00797276"/>
    <w:rsid w:val="007A081B"/>
    <w:rsid w:val="007A1536"/>
    <w:rsid w:val="007A20DC"/>
    <w:rsid w:val="007A22D4"/>
    <w:rsid w:val="007A2BD8"/>
    <w:rsid w:val="007A3665"/>
    <w:rsid w:val="007A4E5B"/>
    <w:rsid w:val="007A4FB0"/>
    <w:rsid w:val="007A5244"/>
    <w:rsid w:val="007A5771"/>
    <w:rsid w:val="007A5A60"/>
    <w:rsid w:val="007A6FC5"/>
    <w:rsid w:val="007B09E4"/>
    <w:rsid w:val="007B1793"/>
    <w:rsid w:val="007B2510"/>
    <w:rsid w:val="007B258A"/>
    <w:rsid w:val="007B2B3E"/>
    <w:rsid w:val="007B5D77"/>
    <w:rsid w:val="007B70FE"/>
    <w:rsid w:val="007B7C67"/>
    <w:rsid w:val="007C0C6A"/>
    <w:rsid w:val="007C10CD"/>
    <w:rsid w:val="007C1778"/>
    <w:rsid w:val="007C1819"/>
    <w:rsid w:val="007C1A02"/>
    <w:rsid w:val="007C21BB"/>
    <w:rsid w:val="007C3A6A"/>
    <w:rsid w:val="007C418D"/>
    <w:rsid w:val="007C4898"/>
    <w:rsid w:val="007C4A23"/>
    <w:rsid w:val="007C4E38"/>
    <w:rsid w:val="007C757F"/>
    <w:rsid w:val="007D18F9"/>
    <w:rsid w:val="007D1E15"/>
    <w:rsid w:val="007D2227"/>
    <w:rsid w:val="007D2FD1"/>
    <w:rsid w:val="007D3397"/>
    <w:rsid w:val="007D3522"/>
    <w:rsid w:val="007D41BC"/>
    <w:rsid w:val="007D52C6"/>
    <w:rsid w:val="007D7146"/>
    <w:rsid w:val="007D7470"/>
    <w:rsid w:val="007E0144"/>
    <w:rsid w:val="007E016A"/>
    <w:rsid w:val="007E0B9C"/>
    <w:rsid w:val="007E111E"/>
    <w:rsid w:val="007E16CD"/>
    <w:rsid w:val="007E1BA2"/>
    <w:rsid w:val="007E21DC"/>
    <w:rsid w:val="007E3419"/>
    <w:rsid w:val="007E4449"/>
    <w:rsid w:val="007E4CD1"/>
    <w:rsid w:val="007E64AA"/>
    <w:rsid w:val="007E6A4E"/>
    <w:rsid w:val="007E6BFB"/>
    <w:rsid w:val="007E6D36"/>
    <w:rsid w:val="007F1198"/>
    <w:rsid w:val="007F14FD"/>
    <w:rsid w:val="007F1D68"/>
    <w:rsid w:val="007F2A1F"/>
    <w:rsid w:val="007F2E51"/>
    <w:rsid w:val="007F3517"/>
    <w:rsid w:val="007F3B8C"/>
    <w:rsid w:val="007F5C8C"/>
    <w:rsid w:val="007F5D5C"/>
    <w:rsid w:val="007F66DD"/>
    <w:rsid w:val="007F759C"/>
    <w:rsid w:val="007F76E9"/>
    <w:rsid w:val="007F7CC1"/>
    <w:rsid w:val="008003CC"/>
    <w:rsid w:val="008005C1"/>
    <w:rsid w:val="0080108F"/>
    <w:rsid w:val="00801246"/>
    <w:rsid w:val="0080592B"/>
    <w:rsid w:val="00805CBA"/>
    <w:rsid w:val="00805DC0"/>
    <w:rsid w:val="0080668C"/>
    <w:rsid w:val="00806F36"/>
    <w:rsid w:val="00807BA0"/>
    <w:rsid w:val="00807C25"/>
    <w:rsid w:val="00807DDF"/>
    <w:rsid w:val="00807E46"/>
    <w:rsid w:val="00810865"/>
    <w:rsid w:val="0081099F"/>
    <w:rsid w:val="008115D9"/>
    <w:rsid w:val="00812B03"/>
    <w:rsid w:val="00814044"/>
    <w:rsid w:val="00817221"/>
    <w:rsid w:val="0082055D"/>
    <w:rsid w:val="008210C9"/>
    <w:rsid w:val="0082195E"/>
    <w:rsid w:val="00821D72"/>
    <w:rsid w:val="00822B6B"/>
    <w:rsid w:val="00822F3A"/>
    <w:rsid w:val="00822F52"/>
    <w:rsid w:val="0082307C"/>
    <w:rsid w:val="0082360E"/>
    <w:rsid w:val="00823BE6"/>
    <w:rsid w:val="00823D7C"/>
    <w:rsid w:val="00825777"/>
    <w:rsid w:val="00825CDA"/>
    <w:rsid w:val="008260CB"/>
    <w:rsid w:val="00826AC2"/>
    <w:rsid w:val="00826D06"/>
    <w:rsid w:val="00827364"/>
    <w:rsid w:val="00827623"/>
    <w:rsid w:val="008279DE"/>
    <w:rsid w:val="00830260"/>
    <w:rsid w:val="00830DBD"/>
    <w:rsid w:val="008312CA"/>
    <w:rsid w:val="008318E7"/>
    <w:rsid w:val="00832F9C"/>
    <w:rsid w:val="00834937"/>
    <w:rsid w:val="00834D05"/>
    <w:rsid w:val="00837FDA"/>
    <w:rsid w:val="00837FE4"/>
    <w:rsid w:val="008408F1"/>
    <w:rsid w:val="00841174"/>
    <w:rsid w:val="0084190A"/>
    <w:rsid w:val="00841B85"/>
    <w:rsid w:val="00842C9F"/>
    <w:rsid w:val="00843556"/>
    <w:rsid w:val="00843F01"/>
    <w:rsid w:val="008445B3"/>
    <w:rsid w:val="00844F25"/>
    <w:rsid w:val="008454A4"/>
    <w:rsid w:val="008459FD"/>
    <w:rsid w:val="00845AA7"/>
    <w:rsid w:val="00846BD6"/>
    <w:rsid w:val="00846D93"/>
    <w:rsid w:val="008475C3"/>
    <w:rsid w:val="008514DB"/>
    <w:rsid w:val="00851E8B"/>
    <w:rsid w:val="008524B2"/>
    <w:rsid w:val="00853AEC"/>
    <w:rsid w:val="0085466B"/>
    <w:rsid w:val="00854ABF"/>
    <w:rsid w:val="008552E7"/>
    <w:rsid w:val="00855BC0"/>
    <w:rsid w:val="00856F4B"/>
    <w:rsid w:val="00857ED0"/>
    <w:rsid w:val="00860035"/>
    <w:rsid w:val="00861F92"/>
    <w:rsid w:val="00863216"/>
    <w:rsid w:val="00863250"/>
    <w:rsid w:val="00863C60"/>
    <w:rsid w:val="00864253"/>
    <w:rsid w:val="00864571"/>
    <w:rsid w:val="00864A47"/>
    <w:rsid w:val="00864C51"/>
    <w:rsid w:val="008657C0"/>
    <w:rsid w:val="0086715C"/>
    <w:rsid w:val="00867F4E"/>
    <w:rsid w:val="008716F8"/>
    <w:rsid w:val="00872033"/>
    <w:rsid w:val="008725B9"/>
    <w:rsid w:val="00872E02"/>
    <w:rsid w:val="00872EE7"/>
    <w:rsid w:val="00872F3E"/>
    <w:rsid w:val="00874BE0"/>
    <w:rsid w:val="00875AD4"/>
    <w:rsid w:val="00876047"/>
    <w:rsid w:val="008761FD"/>
    <w:rsid w:val="00877ABF"/>
    <w:rsid w:val="0088001F"/>
    <w:rsid w:val="00880590"/>
    <w:rsid w:val="00880C56"/>
    <w:rsid w:val="008817B8"/>
    <w:rsid w:val="008823A7"/>
    <w:rsid w:val="00882737"/>
    <w:rsid w:val="00883048"/>
    <w:rsid w:val="00883729"/>
    <w:rsid w:val="008840ED"/>
    <w:rsid w:val="0088591C"/>
    <w:rsid w:val="00885E3B"/>
    <w:rsid w:val="008873E6"/>
    <w:rsid w:val="0088755A"/>
    <w:rsid w:val="00887DCD"/>
    <w:rsid w:val="008900EA"/>
    <w:rsid w:val="0089085C"/>
    <w:rsid w:val="008912B9"/>
    <w:rsid w:val="00892791"/>
    <w:rsid w:val="00892F2E"/>
    <w:rsid w:val="00893A82"/>
    <w:rsid w:val="00894013"/>
    <w:rsid w:val="00894F25"/>
    <w:rsid w:val="008954E8"/>
    <w:rsid w:val="00897CC5"/>
    <w:rsid w:val="008A0046"/>
    <w:rsid w:val="008A2959"/>
    <w:rsid w:val="008A2A24"/>
    <w:rsid w:val="008A2D35"/>
    <w:rsid w:val="008A2FCB"/>
    <w:rsid w:val="008A35C8"/>
    <w:rsid w:val="008A3AC9"/>
    <w:rsid w:val="008A4420"/>
    <w:rsid w:val="008A4539"/>
    <w:rsid w:val="008A4F8B"/>
    <w:rsid w:val="008A51FC"/>
    <w:rsid w:val="008A554F"/>
    <w:rsid w:val="008A5CE9"/>
    <w:rsid w:val="008A6206"/>
    <w:rsid w:val="008A7DB3"/>
    <w:rsid w:val="008B17AF"/>
    <w:rsid w:val="008B1F4E"/>
    <w:rsid w:val="008B2B61"/>
    <w:rsid w:val="008B40C6"/>
    <w:rsid w:val="008B457A"/>
    <w:rsid w:val="008B4B70"/>
    <w:rsid w:val="008B610E"/>
    <w:rsid w:val="008B6B11"/>
    <w:rsid w:val="008B6CB8"/>
    <w:rsid w:val="008B72BD"/>
    <w:rsid w:val="008B75C3"/>
    <w:rsid w:val="008C01A0"/>
    <w:rsid w:val="008C1C9C"/>
    <w:rsid w:val="008C25EA"/>
    <w:rsid w:val="008C2882"/>
    <w:rsid w:val="008C4150"/>
    <w:rsid w:val="008C5291"/>
    <w:rsid w:val="008C5326"/>
    <w:rsid w:val="008C5434"/>
    <w:rsid w:val="008C670E"/>
    <w:rsid w:val="008C7B3C"/>
    <w:rsid w:val="008D0E0E"/>
    <w:rsid w:val="008D181F"/>
    <w:rsid w:val="008D194C"/>
    <w:rsid w:val="008D2F74"/>
    <w:rsid w:val="008D38E5"/>
    <w:rsid w:val="008D5126"/>
    <w:rsid w:val="008D6D0B"/>
    <w:rsid w:val="008D6DCF"/>
    <w:rsid w:val="008D72A5"/>
    <w:rsid w:val="008E1625"/>
    <w:rsid w:val="008E1E12"/>
    <w:rsid w:val="008E21EC"/>
    <w:rsid w:val="008E3D43"/>
    <w:rsid w:val="008E6077"/>
    <w:rsid w:val="008E7C8E"/>
    <w:rsid w:val="008F11FA"/>
    <w:rsid w:val="008F14A4"/>
    <w:rsid w:val="008F1F8C"/>
    <w:rsid w:val="008F2FB3"/>
    <w:rsid w:val="008F441C"/>
    <w:rsid w:val="008F48DA"/>
    <w:rsid w:val="008F5308"/>
    <w:rsid w:val="008F656F"/>
    <w:rsid w:val="008F6A81"/>
    <w:rsid w:val="008F7E98"/>
    <w:rsid w:val="00900CA2"/>
    <w:rsid w:val="00901820"/>
    <w:rsid w:val="009021BC"/>
    <w:rsid w:val="00902399"/>
    <w:rsid w:val="009024D2"/>
    <w:rsid w:val="00902C08"/>
    <w:rsid w:val="00904C4A"/>
    <w:rsid w:val="00904E67"/>
    <w:rsid w:val="009059C4"/>
    <w:rsid w:val="00906387"/>
    <w:rsid w:val="00906FEB"/>
    <w:rsid w:val="009070E1"/>
    <w:rsid w:val="009078C9"/>
    <w:rsid w:val="00907A1A"/>
    <w:rsid w:val="00907FD0"/>
    <w:rsid w:val="00910FE5"/>
    <w:rsid w:val="00911860"/>
    <w:rsid w:val="00914F84"/>
    <w:rsid w:val="009150D9"/>
    <w:rsid w:val="00915481"/>
    <w:rsid w:val="0091605D"/>
    <w:rsid w:val="00916875"/>
    <w:rsid w:val="00917859"/>
    <w:rsid w:val="00920926"/>
    <w:rsid w:val="00920E22"/>
    <w:rsid w:val="00921786"/>
    <w:rsid w:val="00922560"/>
    <w:rsid w:val="00922C88"/>
    <w:rsid w:val="00923B44"/>
    <w:rsid w:val="00923C0C"/>
    <w:rsid w:val="00924D7A"/>
    <w:rsid w:val="009268C2"/>
    <w:rsid w:val="00927A32"/>
    <w:rsid w:val="00930147"/>
    <w:rsid w:val="009306D6"/>
    <w:rsid w:val="00930B25"/>
    <w:rsid w:val="00930E0A"/>
    <w:rsid w:val="0093148F"/>
    <w:rsid w:val="009330A1"/>
    <w:rsid w:val="0093317A"/>
    <w:rsid w:val="00933392"/>
    <w:rsid w:val="00933744"/>
    <w:rsid w:val="00935CD4"/>
    <w:rsid w:val="00935DFA"/>
    <w:rsid w:val="00936B58"/>
    <w:rsid w:val="009405BC"/>
    <w:rsid w:val="00940ABA"/>
    <w:rsid w:val="00941C33"/>
    <w:rsid w:val="00942805"/>
    <w:rsid w:val="00943064"/>
    <w:rsid w:val="00944184"/>
    <w:rsid w:val="00944C48"/>
    <w:rsid w:val="009474A6"/>
    <w:rsid w:val="0095150E"/>
    <w:rsid w:val="00952875"/>
    <w:rsid w:val="00952B8B"/>
    <w:rsid w:val="00953FA5"/>
    <w:rsid w:val="0095528D"/>
    <w:rsid w:val="00955E63"/>
    <w:rsid w:val="00955EFC"/>
    <w:rsid w:val="0095669C"/>
    <w:rsid w:val="00956907"/>
    <w:rsid w:val="00956A20"/>
    <w:rsid w:val="009575A2"/>
    <w:rsid w:val="009614A5"/>
    <w:rsid w:val="00961AF9"/>
    <w:rsid w:val="00961B68"/>
    <w:rsid w:val="00961C63"/>
    <w:rsid w:val="00962985"/>
    <w:rsid w:val="0096301B"/>
    <w:rsid w:val="0096309E"/>
    <w:rsid w:val="0096396A"/>
    <w:rsid w:val="0096404D"/>
    <w:rsid w:val="009649E6"/>
    <w:rsid w:val="00965C67"/>
    <w:rsid w:val="009666AF"/>
    <w:rsid w:val="00967875"/>
    <w:rsid w:val="00967D6E"/>
    <w:rsid w:val="0097010D"/>
    <w:rsid w:val="00970583"/>
    <w:rsid w:val="009716EE"/>
    <w:rsid w:val="00971C78"/>
    <w:rsid w:val="00971DA8"/>
    <w:rsid w:val="009729DA"/>
    <w:rsid w:val="00972B50"/>
    <w:rsid w:val="00972EAA"/>
    <w:rsid w:val="009730C9"/>
    <w:rsid w:val="009734A2"/>
    <w:rsid w:val="00973ABB"/>
    <w:rsid w:val="00974AD3"/>
    <w:rsid w:val="0097529F"/>
    <w:rsid w:val="00975542"/>
    <w:rsid w:val="00975634"/>
    <w:rsid w:val="009804D2"/>
    <w:rsid w:val="00981C21"/>
    <w:rsid w:val="00982A8A"/>
    <w:rsid w:val="009833B3"/>
    <w:rsid w:val="00983891"/>
    <w:rsid w:val="00984045"/>
    <w:rsid w:val="00984E0E"/>
    <w:rsid w:val="00985B85"/>
    <w:rsid w:val="00985E52"/>
    <w:rsid w:val="00986204"/>
    <w:rsid w:val="00986BBE"/>
    <w:rsid w:val="00991070"/>
    <w:rsid w:val="0099129A"/>
    <w:rsid w:val="009921D4"/>
    <w:rsid w:val="00993141"/>
    <w:rsid w:val="00994DED"/>
    <w:rsid w:val="00996E75"/>
    <w:rsid w:val="009A15E7"/>
    <w:rsid w:val="009A1609"/>
    <w:rsid w:val="009A2EEB"/>
    <w:rsid w:val="009A40D8"/>
    <w:rsid w:val="009A5037"/>
    <w:rsid w:val="009A6611"/>
    <w:rsid w:val="009A6B66"/>
    <w:rsid w:val="009A7E5D"/>
    <w:rsid w:val="009B1457"/>
    <w:rsid w:val="009B2B84"/>
    <w:rsid w:val="009B39E7"/>
    <w:rsid w:val="009B3D6F"/>
    <w:rsid w:val="009B3FEF"/>
    <w:rsid w:val="009B43B7"/>
    <w:rsid w:val="009B4E0F"/>
    <w:rsid w:val="009B4F6C"/>
    <w:rsid w:val="009B53CF"/>
    <w:rsid w:val="009B56A7"/>
    <w:rsid w:val="009B6A06"/>
    <w:rsid w:val="009B736F"/>
    <w:rsid w:val="009B7739"/>
    <w:rsid w:val="009B7FB2"/>
    <w:rsid w:val="009C07B3"/>
    <w:rsid w:val="009C0C3C"/>
    <w:rsid w:val="009C0DD8"/>
    <w:rsid w:val="009C17CA"/>
    <w:rsid w:val="009C2AB3"/>
    <w:rsid w:val="009C2F81"/>
    <w:rsid w:val="009C33A9"/>
    <w:rsid w:val="009C4D6A"/>
    <w:rsid w:val="009C6021"/>
    <w:rsid w:val="009C6AFE"/>
    <w:rsid w:val="009C6EA1"/>
    <w:rsid w:val="009C6F31"/>
    <w:rsid w:val="009C6FAD"/>
    <w:rsid w:val="009C79D8"/>
    <w:rsid w:val="009C7EC4"/>
    <w:rsid w:val="009D08DA"/>
    <w:rsid w:val="009D0C22"/>
    <w:rsid w:val="009D1D24"/>
    <w:rsid w:val="009D290E"/>
    <w:rsid w:val="009D2BFF"/>
    <w:rsid w:val="009D36FF"/>
    <w:rsid w:val="009D42D8"/>
    <w:rsid w:val="009D434F"/>
    <w:rsid w:val="009D4375"/>
    <w:rsid w:val="009D4650"/>
    <w:rsid w:val="009D5315"/>
    <w:rsid w:val="009D5965"/>
    <w:rsid w:val="009D6A94"/>
    <w:rsid w:val="009D7960"/>
    <w:rsid w:val="009E1556"/>
    <w:rsid w:val="009E28AD"/>
    <w:rsid w:val="009E40DB"/>
    <w:rsid w:val="009E43B5"/>
    <w:rsid w:val="009E4442"/>
    <w:rsid w:val="009E47CC"/>
    <w:rsid w:val="009E4EB8"/>
    <w:rsid w:val="009E4F58"/>
    <w:rsid w:val="009E687A"/>
    <w:rsid w:val="009E68C8"/>
    <w:rsid w:val="009E6C1A"/>
    <w:rsid w:val="009E6D0A"/>
    <w:rsid w:val="009E6F2C"/>
    <w:rsid w:val="009F10D4"/>
    <w:rsid w:val="009F316C"/>
    <w:rsid w:val="009F3D52"/>
    <w:rsid w:val="009F4531"/>
    <w:rsid w:val="009F5057"/>
    <w:rsid w:val="009F5272"/>
    <w:rsid w:val="009F60D2"/>
    <w:rsid w:val="009F6993"/>
    <w:rsid w:val="009F73F4"/>
    <w:rsid w:val="009F7732"/>
    <w:rsid w:val="009F7DFD"/>
    <w:rsid w:val="00A00415"/>
    <w:rsid w:val="00A00D67"/>
    <w:rsid w:val="00A01006"/>
    <w:rsid w:val="00A021B5"/>
    <w:rsid w:val="00A02C4C"/>
    <w:rsid w:val="00A02C7C"/>
    <w:rsid w:val="00A02CD0"/>
    <w:rsid w:val="00A073B5"/>
    <w:rsid w:val="00A10506"/>
    <w:rsid w:val="00A10C6B"/>
    <w:rsid w:val="00A10CB3"/>
    <w:rsid w:val="00A10DAA"/>
    <w:rsid w:val="00A119C3"/>
    <w:rsid w:val="00A11F48"/>
    <w:rsid w:val="00A11FAB"/>
    <w:rsid w:val="00A12A43"/>
    <w:rsid w:val="00A130AB"/>
    <w:rsid w:val="00A139CA"/>
    <w:rsid w:val="00A14171"/>
    <w:rsid w:val="00A143B0"/>
    <w:rsid w:val="00A1446D"/>
    <w:rsid w:val="00A15479"/>
    <w:rsid w:val="00A154F3"/>
    <w:rsid w:val="00A15587"/>
    <w:rsid w:val="00A20955"/>
    <w:rsid w:val="00A224BB"/>
    <w:rsid w:val="00A229FD"/>
    <w:rsid w:val="00A22B1F"/>
    <w:rsid w:val="00A23C40"/>
    <w:rsid w:val="00A24C89"/>
    <w:rsid w:val="00A2507F"/>
    <w:rsid w:val="00A256E6"/>
    <w:rsid w:val="00A263F8"/>
    <w:rsid w:val="00A27F66"/>
    <w:rsid w:val="00A30A2E"/>
    <w:rsid w:val="00A3126E"/>
    <w:rsid w:val="00A31987"/>
    <w:rsid w:val="00A3254F"/>
    <w:rsid w:val="00A32650"/>
    <w:rsid w:val="00A339B2"/>
    <w:rsid w:val="00A34601"/>
    <w:rsid w:val="00A3582A"/>
    <w:rsid w:val="00A363B5"/>
    <w:rsid w:val="00A365AD"/>
    <w:rsid w:val="00A3690E"/>
    <w:rsid w:val="00A371D7"/>
    <w:rsid w:val="00A40069"/>
    <w:rsid w:val="00A4017B"/>
    <w:rsid w:val="00A404F0"/>
    <w:rsid w:val="00A4196F"/>
    <w:rsid w:val="00A42678"/>
    <w:rsid w:val="00A42F44"/>
    <w:rsid w:val="00A43085"/>
    <w:rsid w:val="00A43946"/>
    <w:rsid w:val="00A4446E"/>
    <w:rsid w:val="00A44727"/>
    <w:rsid w:val="00A450C1"/>
    <w:rsid w:val="00A463B7"/>
    <w:rsid w:val="00A50645"/>
    <w:rsid w:val="00A5268D"/>
    <w:rsid w:val="00A52C97"/>
    <w:rsid w:val="00A5346B"/>
    <w:rsid w:val="00A53FFA"/>
    <w:rsid w:val="00A54827"/>
    <w:rsid w:val="00A54A7D"/>
    <w:rsid w:val="00A5524E"/>
    <w:rsid w:val="00A5580F"/>
    <w:rsid w:val="00A55876"/>
    <w:rsid w:val="00A56867"/>
    <w:rsid w:val="00A57F31"/>
    <w:rsid w:val="00A60E16"/>
    <w:rsid w:val="00A6195E"/>
    <w:rsid w:val="00A61E9A"/>
    <w:rsid w:val="00A623A0"/>
    <w:rsid w:val="00A63094"/>
    <w:rsid w:val="00A6357E"/>
    <w:rsid w:val="00A64109"/>
    <w:rsid w:val="00A64451"/>
    <w:rsid w:val="00A64F72"/>
    <w:rsid w:val="00A65DB5"/>
    <w:rsid w:val="00A666DF"/>
    <w:rsid w:val="00A6746A"/>
    <w:rsid w:val="00A6748C"/>
    <w:rsid w:val="00A67BC1"/>
    <w:rsid w:val="00A67F20"/>
    <w:rsid w:val="00A70018"/>
    <w:rsid w:val="00A7082E"/>
    <w:rsid w:val="00A71C6C"/>
    <w:rsid w:val="00A71D3B"/>
    <w:rsid w:val="00A7243C"/>
    <w:rsid w:val="00A725BE"/>
    <w:rsid w:val="00A72643"/>
    <w:rsid w:val="00A72745"/>
    <w:rsid w:val="00A73792"/>
    <w:rsid w:val="00A738E7"/>
    <w:rsid w:val="00A73C10"/>
    <w:rsid w:val="00A74A24"/>
    <w:rsid w:val="00A75191"/>
    <w:rsid w:val="00A75641"/>
    <w:rsid w:val="00A759D5"/>
    <w:rsid w:val="00A75A6F"/>
    <w:rsid w:val="00A75BED"/>
    <w:rsid w:val="00A774DC"/>
    <w:rsid w:val="00A831F3"/>
    <w:rsid w:val="00A837F1"/>
    <w:rsid w:val="00A83D28"/>
    <w:rsid w:val="00A85F5C"/>
    <w:rsid w:val="00A8631B"/>
    <w:rsid w:val="00A86C26"/>
    <w:rsid w:val="00A90330"/>
    <w:rsid w:val="00A90AA3"/>
    <w:rsid w:val="00A93897"/>
    <w:rsid w:val="00A93F08"/>
    <w:rsid w:val="00A93FB2"/>
    <w:rsid w:val="00A951E7"/>
    <w:rsid w:val="00A9599D"/>
    <w:rsid w:val="00A96158"/>
    <w:rsid w:val="00A9641F"/>
    <w:rsid w:val="00AA06BE"/>
    <w:rsid w:val="00AA10DD"/>
    <w:rsid w:val="00AA17AF"/>
    <w:rsid w:val="00AA1C04"/>
    <w:rsid w:val="00AA23BD"/>
    <w:rsid w:val="00AA2A46"/>
    <w:rsid w:val="00AA3234"/>
    <w:rsid w:val="00AA37E4"/>
    <w:rsid w:val="00AA455B"/>
    <w:rsid w:val="00AA4EEA"/>
    <w:rsid w:val="00AA5571"/>
    <w:rsid w:val="00AA565D"/>
    <w:rsid w:val="00AA5F82"/>
    <w:rsid w:val="00AA60F9"/>
    <w:rsid w:val="00AA6276"/>
    <w:rsid w:val="00AA6A93"/>
    <w:rsid w:val="00AA6ABF"/>
    <w:rsid w:val="00AA6BDF"/>
    <w:rsid w:val="00AA6EE2"/>
    <w:rsid w:val="00AB0BCB"/>
    <w:rsid w:val="00AB1925"/>
    <w:rsid w:val="00AB28FA"/>
    <w:rsid w:val="00AB2B51"/>
    <w:rsid w:val="00AB2CFA"/>
    <w:rsid w:val="00AB421C"/>
    <w:rsid w:val="00AB63BF"/>
    <w:rsid w:val="00AB64AF"/>
    <w:rsid w:val="00AB77A9"/>
    <w:rsid w:val="00AB7D60"/>
    <w:rsid w:val="00AC072D"/>
    <w:rsid w:val="00AC0824"/>
    <w:rsid w:val="00AC14EB"/>
    <w:rsid w:val="00AC19A6"/>
    <w:rsid w:val="00AC19F7"/>
    <w:rsid w:val="00AC1E34"/>
    <w:rsid w:val="00AC2C0B"/>
    <w:rsid w:val="00AC523F"/>
    <w:rsid w:val="00AC589B"/>
    <w:rsid w:val="00AC70B4"/>
    <w:rsid w:val="00AC7BA3"/>
    <w:rsid w:val="00AC7D82"/>
    <w:rsid w:val="00AD083A"/>
    <w:rsid w:val="00AD0ABC"/>
    <w:rsid w:val="00AD1A91"/>
    <w:rsid w:val="00AD336D"/>
    <w:rsid w:val="00AD3504"/>
    <w:rsid w:val="00AD3DBE"/>
    <w:rsid w:val="00AD400E"/>
    <w:rsid w:val="00AD4084"/>
    <w:rsid w:val="00AD4B5D"/>
    <w:rsid w:val="00AD5866"/>
    <w:rsid w:val="00AD6605"/>
    <w:rsid w:val="00AE03E5"/>
    <w:rsid w:val="00AE1020"/>
    <w:rsid w:val="00AE1D29"/>
    <w:rsid w:val="00AE3645"/>
    <w:rsid w:val="00AE37E4"/>
    <w:rsid w:val="00AE4EC3"/>
    <w:rsid w:val="00AE55FF"/>
    <w:rsid w:val="00AE5984"/>
    <w:rsid w:val="00AE59E9"/>
    <w:rsid w:val="00AE5BE1"/>
    <w:rsid w:val="00AE6863"/>
    <w:rsid w:val="00AE7FA3"/>
    <w:rsid w:val="00AF1661"/>
    <w:rsid w:val="00AF235D"/>
    <w:rsid w:val="00AF4BC7"/>
    <w:rsid w:val="00AF4E3A"/>
    <w:rsid w:val="00AF5B80"/>
    <w:rsid w:val="00AF5F18"/>
    <w:rsid w:val="00AF6162"/>
    <w:rsid w:val="00AF67C0"/>
    <w:rsid w:val="00AF6851"/>
    <w:rsid w:val="00B01530"/>
    <w:rsid w:val="00B01A9E"/>
    <w:rsid w:val="00B02CD6"/>
    <w:rsid w:val="00B03049"/>
    <w:rsid w:val="00B03379"/>
    <w:rsid w:val="00B04DBC"/>
    <w:rsid w:val="00B05654"/>
    <w:rsid w:val="00B05AFE"/>
    <w:rsid w:val="00B07204"/>
    <w:rsid w:val="00B07A4B"/>
    <w:rsid w:val="00B109E3"/>
    <w:rsid w:val="00B114AE"/>
    <w:rsid w:val="00B117C4"/>
    <w:rsid w:val="00B12073"/>
    <w:rsid w:val="00B12AE8"/>
    <w:rsid w:val="00B12F00"/>
    <w:rsid w:val="00B12F91"/>
    <w:rsid w:val="00B14744"/>
    <w:rsid w:val="00B14906"/>
    <w:rsid w:val="00B14F13"/>
    <w:rsid w:val="00B15109"/>
    <w:rsid w:val="00B1532F"/>
    <w:rsid w:val="00B15DD6"/>
    <w:rsid w:val="00B16478"/>
    <w:rsid w:val="00B16D96"/>
    <w:rsid w:val="00B17A91"/>
    <w:rsid w:val="00B209FD"/>
    <w:rsid w:val="00B2104A"/>
    <w:rsid w:val="00B210D1"/>
    <w:rsid w:val="00B213D2"/>
    <w:rsid w:val="00B2156C"/>
    <w:rsid w:val="00B22C43"/>
    <w:rsid w:val="00B23877"/>
    <w:rsid w:val="00B25837"/>
    <w:rsid w:val="00B262C7"/>
    <w:rsid w:val="00B26AEB"/>
    <w:rsid w:val="00B27501"/>
    <w:rsid w:val="00B3056C"/>
    <w:rsid w:val="00B30E3B"/>
    <w:rsid w:val="00B314BD"/>
    <w:rsid w:val="00B31BD8"/>
    <w:rsid w:val="00B31E11"/>
    <w:rsid w:val="00B32A34"/>
    <w:rsid w:val="00B32FDE"/>
    <w:rsid w:val="00B34C40"/>
    <w:rsid w:val="00B34ECB"/>
    <w:rsid w:val="00B35A56"/>
    <w:rsid w:val="00B35CFF"/>
    <w:rsid w:val="00B364E0"/>
    <w:rsid w:val="00B37D5E"/>
    <w:rsid w:val="00B40634"/>
    <w:rsid w:val="00B40D2B"/>
    <w:rsid w:val="00B417E9"/>
    <w:rsid w:val="00B41ED9"/>
    <w:rsid w:val="00B43699"/>
    <w:rsid w:val="00B477DD"/>
    <w:rsid w:val="00B51483"/>
    <w:rsid w:val="00B51556"/>
    <w:rsid w:val="00B51AC8"/>
    <w:rsid w:val="00B529E7"/>
    <w:rsid w:val="00B5335B"/>
    <w:rsid w:val="00B533C6"/>
    <w:rsid w:val="00B53FB2"/>
    <w:rsid w:val="00B54593"/>
    <w:rsid w:val="00B54D3C"/>
    <w:rsid w:val="00B552BA"/>
    <w:rsid w:val="00B562B7"/>
    <w:rsid w:val="00B56B2E"/>
    <w:rsid w:val="00B56F18"/>
    <w:rsid w:val="00B574F8"/>
    <w:rsid w:val="00B60DAB"/>
    <w:rsid w:val="00B61747"/>
    <w:rsid w:val="00B617CD"/>
    <w:rsid w:val="00B633E3"/>
    <w:rsid w:val="00B66979"/>
    <w:rsid w:val="00B6716A"/>
    <w:rsid w:val="00B71BBA"/>
    <w:rsid w:val="00B71D6E"/>
    <w:rsid w:val="00B72953"/>
    <w:rsid w:val="00B737F1"/>
    <w:rsid w:val="00B75043"/>
    <w:rsid w:val="00B75642"/>
    <w:rsid w:val="00B75F60"/>
    <w:rsid w:val="00B76728"/>
    <w:rsid w:val="00B76F4A"/>
    <w:rsid w:val="00B775B9"/>
    <w:rsid w:val="00B8214F"/>
    <w:rsid w:val="00B824BE"/>
    <w:rsid w:val="00B8264F"/>
    <w:rsid w:val="00B84387"/>
    <w:rsid w:val="00B84E0A"/>
    <w:rsid w:val="00B866E0"/>
    <w:rsid w:val="00B87979"/>
    <w:rsid w:val="00B87EF3"/>
    <w:rsid w:val="00B9052F"/>
    <w:rsid w:val="00B912B2"/>
    <w:rsid w:val="00B91B1B"/>
    <w:rsid w:val="00B9218B"/>
    <w:rsid w:val="00B92301"/>
    <w:rsid w:val="00B92410"/>
    <w:rsid w:val="00B931DC"/>
    <w:rsid w:val="00B93862"/>
    <w:rsid w:val="00B93C43"/>
    <w:rsid w:val="00B963AF"/>
    <w:rsid w:val="00B966B0"/>
    <w:rsid w:val="00B96BF6"/>
    <w:rsid w:val="00BA016F"/>
    <w:rsid w:val="00BA031B"/>
    <w:rsid w:val="00BA036E"/>
    <w:rsid w:val="00BA04A5"/>
    <w:rsid w:val="00BA1262"/>
    <w:rsid w:val="00BA1514"/>
    <w:rsid w:val="00BA2137"/>
    <w:rsid w:val="00BA272A"/>
    <w:rsid w:val="00BA29D3"/>
    <w:rsid w:val="00BA2D2F"/>
    <w:rsid w:val="00BA2F93"/>
    <w:rsid w:val="00BA2FA8"/>
    <w:rsid w:val="00BA35C6"/>
    <w:rsid w:val="00BA4208"/>
    <w:rsid w:val="00BA4402"/>
    <w:rsid w:val="00BA501F"/>
    <w:rsid w:val="00BA545B"/>
    <w:rsid w:val="00BA5539"/>
    <w:rsid w:val="00BA5AA8"/>
    <w:rsid w:val="00BA62DA"/>
    <w:rsid w:val="00BA67CB"/>
    <w:rsid w:val="00BB066E"/>
    <w:rsid w:val="00BB075C"/>
    <w:rsid w:val="00BB376A"/>
    <w:rsid w:val="00BB4287"/>
    <w:rsid w:val="00BB45F4"/>
    <w:rsid w:val="00BB4C65"/>
    <w:rsid w:val="00BB4FA8"/>
    <w:rsid w:val="00BB5133"/>
    <w:rsid w:val="00BB5161"/>
    <w:rsid w:val="00BB69DB"/>
    <w:rsid w:val="00BB6D66"/>
    <w:rsid w:val="00BB77C4"/>
    <w:rsid w:val="00BB7DF2"/>
    <w:rsid w:val="00BC000B"/>
    <w:rsid w:val="00BC00C8"/>
    <w:rsid w:val="00BC011B"/>
    <w:rsid w:val="00BC061C"/>
    <w:rsid w:val="00BC063C"/>
    <w:rsid w:val="00BC115A"/>
    <w:rsid w:val="00BC1C0C"/>
    <w:rsid w:val="00BC28B1"/>
    <w:rsid w:val="00BC2CFB"/>
    <w:rsid w:val="00BC3D36"/>
    <w:rsid w:val="00BC401C"/>
    <w:rsid w:val="00BC426F"/>
    <w:rsid w:val="00BC514C"/>
    <w:rsid w:val="00BC5499"/>
    <w:rsid w:val="00BC5E15"/>
    <w:rsid w:val="00BC5E40"/>
    <w:rsid w:val="00BC79C4"/>
    <w:rsid w:val="00BD106A"/>
    <w:rsid w:val="00BD12D3"/>
    <w:rsid w:val="00BD16A0"/>
    <w:rsid w:val="00BD2BD8"/>
    <w:rsid w:val="00BD3449"/>
    <w:rsid w:val="00BD3E52"/>
    <w:rsid w:val="00BD46EC"/>
    <w:rsid w:val="00BD4958"/>
    <w:rsid w:val="00BD52F4"/>
    <w:rsid w:val="00BD5E2C"/>
    <w:rsid w:val="00BD6795"/>
    <w:rsid w:val="00BD6CA4"/>
    <w:rsid w:val="00BD7C4C"/>
    <w:rsid w:val="00BE0D8B"/>
    <w:rsid w:val="00BE0EEE"/>
    <w:rsid w:val="00BE1AB8"/>
    <w:rsid w:val="00BE3FF5"/>
    <w:rsid w:val="00BE4C72"/>
    <w:rsid w:val="00BE530E"/>
    <w:rsid w:val="00BE6223"/>
    <w:rsid w:val="00BE7406"/>
    <w:rsid w:val="00BE742C"/>
    <w:rsid w:val="00BE7CCA"/>
    <w:rsid w:val="00BF0005"/>
    <w:rsid w:val="00BF0B56"/>
    <w:rsid w:val="00BF17A5"/>
    <w:rsid w:val="00BF1CBA"/>
    <w:rsid w:val="00BF221B"/>
    <w:rsid w:val="00BF286E"/>
    <w:rsid w:val="00BF2E8C"/>
    <w:rsid w:val="00BF3DD4"/>
    <w:rsid w:val="00BF472F"/>
    <w:rsid w:val="00BF47B1"/>
    <w:rsid w:val="00BF4CE3"/>
    <w:rsid w:val="00BF5591"/>
    <w:rsid w:val="00BF5C25"/>
    <w:rsid w:val="00BF5E05"/>
    <w:rsid w:val="00BF7559"/>
    <w:rsid w:val="00C00B64"/>
    <w:rsid w:val="00C01979"/>
    <w:rsid w:val="00C0231C"/>
    <w:rsid w:val="00C038E3"/>
    <w:rsid w:val="00C043B9"/>
    <w:rsid w:val="00C04BA2"/>
    <w:rsid w:val="00C10BA4"/>
    <w:rsid w:val="00C10FB6"/>
    <w:rsid w:val="00C11CE4"/>
    <w:rsid w:val="00C130BB"/>
    <w:rsid w:val="00C1354A"/>
    <w:rsid w:val="00C13C8D"/>
    <w:rsid w:val="00C13F76"/>
    <w:rsid w:val="00C16547"/>
    <w:rsid w:val="00C17811"/>
    <w:rsid w:val="00C178FE"/>
    <w:rsid w:val="00C17CB4"/>
    <w:rsid w:val="00C22B51"/>
    <w:rsid w:val="00C23239"/>
    <w:rsid w:val="00C235E6"/>
    <w:rsid w:val="00C2362A"/>
    <w:rsid w:val="00C236CD"/>
    <w:rsid w:val="00C2706B"/>
    <w:rsid w:val="00C30557"/>
    <w:rsid w:val="00C319C2"/>
    <w:rsid w:val="00C32D54"/>
    <w:rsid w:val="00C33A7D"/>
    <w:rsid w:val="00C35865"/>
    <w:rsid w:val="00C40283"/>
    <w:rsid w:val="00C40C1E"/>
    <w:rsid w:val="00C42061"/>
    <w:rsid w:val="00C42AA2"/>
    <w:rsid w:val="00C448BF"/>
    <w:rsid w:val="00C44E32"/>
    <w:rsid w:val="00C45169"/>
    <w:rsid w:val="00C4611E"/>
    <w:rsid w:val="00C4686C"/>
    <w:rsid w:val="00C46871"/>
    <w:rsid w:val="00C46FE2"/>
    <w:rsid w:val="00C47612"/>
    <w:rsid w:val="00C51BBE"/>
    <w:rsid w:val="00C53DC9"/>
    <w:rsid w:val="00C54268"/>
    <w:rsid w:val="00C544D5"/>
    <w:rsid w:val="00C54B96"/>
    <w:rsid w:val="00C609F6"/>
    <w:rsid w:val="00C60E59"/>
    <w:rsid w:val="00C6181D"/>
    <w:rsid w:val="00C62093"/>
    <w:rsid w:val="00C6299E"/>
    <w:rsid w:val="00C62A0B"/>
    <w:rsid w:val="00C653E8"/>
    <w:rsid w:val="00C65A4E"/>
    <w:rsid w:val="00C664A7"/>
    <w:rsid w:val="00C675E9"/>
    <w:rsid w:val="00C704F4"/>
    <w:rsid w:val="00C7229A"/>
    <w:rsid w:val="00C72628"/>
    <w:rsid w:val="00C72BA4"/>
    <w:rsid w:val="00C738F2"/>
    <w:rsid w:val="00C73F9C"/>
    <w:rsid w:val="00C7403D"/>
    <w:rsid w:val="00C75272"/>
    <w:rsid w:val="00C753E7"/>
    <w:rsid w:val="00C7602D"/>
    <w:rsid w:val="00C8060A"/>
    <w:rsid w:val="00C80AD7"/>
    <w:rsid w:val="00C8150B"/>
    <w:rsid w:val="00C81579"/>
    <w:rsid w:val="00C81EC5"/>
    <w:rsid w:val="00C822C9"/>
    <w:rsid w:val="00C82E49"/>
    <w:rsid w:val="00C836FC"/>
    <w:rsid w:val="00C8512F"/>
    <w:rsid w:val="00C85977"/>
    <w:rsid w:val="00C86A27"/>
    <w:rsid w:val="00C871DF"/>
    <w:rsid w:val="00C87697"/>
    <w:rsid w:val="00C90149"/>
    <w:rsid w:val="00C9133D"/>
    <w:rsid w:val="00C919D6"/>
    <w:rsid w:val="00C929E2"/>
    <w:rsid w:val="00C9352A"/>
    <w:rsid w:val="00C93770"/>
    <w:rsid w:val="00C937D2"/>
    <w:rsid w:val="00C94B77"/>
    <w:rsid w:val="00C94CF2"/>
    <w:rsid w:val="00C95712"/>
    <w:rsid w:val="00C96570"/>
    <w:rsid w:val="00C96F51"/>
    <w:rsid w:val="00C97697"/>
    <w:rsid w:val="00CA0423"/>
    <w:rsid w:val="00CA0AC6"/>
    <w:rsid w:val="00CA0F57"/>
    <w:rsid w:val="00CA0FE4"/>
    <w:rsid w:val="00CA0FED"/>
    <w:rsid w:val="00CA1190"/>
    <w:rsid w:val="00CA15D0"/>
    <w:rsid w:val="00CA1922"/>
    <w:rsid w:val="00CA1E01"/>
    <w:rsid w:val="00CA4326"/>
    <w:rsid w:val="00CA43CF"/>
    <w:rsid w:val="00CA4E30"/>
    <w:rsid w:val="00CA5819"/>
    <w:rsid w:val="00CA6094"/>
    <w:rsid w:val="00CA6517"/>
    <w:rsid w:val="00CA66F5"/>
    <w:rsid w:val="00CA78A8"/>
    <w:rsid w:val="00CB024E"/>
    <w:rsid w:val="00CB02F5"/>
    <w:rsid w:val="00CB16E0"/>
    <w:rsid w:val="00CB1BFC"/>
    <w:rsid w:val="00CB2568"/>
    <w:rsid w:val="00CB389B"/>
    <w:rsid w:val="00CB46D5"/>
    <w:rsid w:val="00CB4CB1"/>
    <w:rsid w:val="00CB4E29"/>
    <w:rsid w:val="00CB5551"/>
    <w:rsid w:val="00CB57F5"/>
    <w:rsid w:val="00CB5878"/>
    <w:rsid w:val="00CB61E1"/>
    <w:rsid w:val="00CB6291"/>
    <w:rsid w:val="00CB64B0"/>
    <w:rsid w:val="00CB7B7A"/>
    <w:rsid w:val="00CB7BEC"/>
    <w:rsid w:val="00CC0014"/>
    <w:rsid w:val="00CC0017"/>
    <w:rsid w:val="00CC06EB"/>
    <w:rsid w:val="00CC1818"/>
    <w:rsid w:val="00CC20F6"/>
    <w:rsid w:val="00CC3B65"/>
    <w:rsid w:val="00CC419C"/>
    <w:rsid w:val="00CC50DD"/>
    <w:rsid w:val="00CC54B3"/>
    <w:rsid w:val="00CC54D7"/>
    <w:rsid w:val="00CC6837"/>
    <w:rsid w:val="00CC7572"/>
    <w:rsid w:val="00CC7F03"/>
    <w:rsid w:val="00CD0793"/>
    <w:rsid w:val="00CD1375"/>
    <w:rsid w:val="00CD1FFB"/>
    <w:rsid w:val="00CD1FFC"/>
    <w:rsid w:val="00CD34CF"/>
    <w:rsid w:val="00CD45F6"/>
    <w:rsid w:val="00CD4D1C"/>
    <w:rsid w:val="00CD597E"/>
    <w:rsid w:val="00CD6172"/>
    <w:rsid w:val="00CD6B7C"/>
    <w:rsid w:val="00CE009A"/>
    <w:rsid w:val="00CE0A6C"/>
    <w:rsid w:val="00CE14A7"/>
    <w:rsid w:val="00CE19B5"/>
    <w:rsid w:val="00CE2BE5"/>
    <w:rsid w:val="00CE2FBE"/>
    <w:rsid w:val="00CE3CA5"/>
    <w:rsid w:val="00CE50C5"/>
    <w:rsid w:val="00CE65A7"/>
    <w:rsid w:val="00CE6790"/>
    <w:rsid w:val="00CE72C5"/>
    <w:rsid w:val="00CE7586"/>
    <w:rsid w:val="00CF035E"/>
    <w:rsid w:val="00CF0991"/>
    <w:rsid w:val="00CF24FD"/>
    <w:rsid w:val="00CF2ED8"/>
    <w:rsid w:val="00CF2FAD"/>
    <w:rsid w:val="00CF4D8B"/>
    <w:rsid w:val="00CF5805"/>
    <w:rsid w:val="00CF5B3A"/>
    <w:rsid w:val="00CF6CD9"/>
    <w:rsid w:val="00D002C3"/>
    <w:rsid w:val="00D00D39"/>
    <w:rsid w:val="00D01594"/>
    <w:rsid w:val="00D01B49"/>
    <w:rsid w:val="00D01C74"/>
    <w:rsid w:val="00D03898"/>
    <w:rsid w:val="00D05C81"/>
    <w:rsid w:val="00D05F3B"/>
    <w:rsid w:val="00D06B14"/>
    <w:rsid w:val="00D075A6"/>
    <w:rsid w:val="00D075B9"/>
    <w:rsid w:val="00D07E82"/>
    <w:rsid w:val="00D10082"/>
    <w:rsid w:val="00D102FC"/>
    <w:rsid w:val="00D106A4"/>
    <w:rsid w:val="00D1176D"/>
    <w:rsid w:val="00D11840"/>
    <w:rsid w:val="00D12BE2"/>
    <w:rsid w:val="00D130E3"/>
    <w:rsid w:val="00D13BE1"/>
    <w:rsid w:val="00D143A9"/>
    <w:rsid w:val="00D14B34"/>
    <w:rsid w:val="00D15178"/>
    <w:rsid w:val="00D157E0"/>
    <w:rsid w:val="00D1710F"/>
    <w:rsid w:val="00D179B7"/>
    <w:rsid w:val="00D179BF"/>
    <w:rsid w:val="00D2004A"/>
    <w:rsid w:val="00D20957"/>
    <w:rsid w:val="00D22AA1"/>
    <w:rsid w:val="00D22EE9"/>
    <w:rsid w:val="00D23313"/>
    <w:rsid w:val="00D2531C"/>
    <w:rsid w:val="00D2666B"/>
    <w:rsid w:val="00D26785"/>
    <w:rsid w:val="00D30961"/>
    <w:rsid w:val="00D314D8"/>
    <w:rsid w:val="00D31778"/>
    <w:rsid w:val="00D31C92"/>
    <w:rsid w:val="00D324B0"/>
    <w:rsid w:val="00D3255E"/>
    <w:rsid w:val="00D32DFC"/>
    <w:rsid w:val="00D33062"/>
    <w:rsid w:val="00D332A9"/>
    <w:rsid w:val="00D33336"/>
    <w:rsid w:val="00D3334D"/>
    <w:rsid w:val="00D34309"/>
    <w:rsid w:val="00D34C0D"/>
    <w:rsid w:val="00D35BE6"/>
    <w:rsid w:val="00D36F18"/>
    <w:rsid w:val="00D3748B"/>
    <w:rsid w:val="00D37DBE"/>
    <w:rsid w:val="00D406A5"/>
    <w:rsid w:val="00D424B2"/>
    <w:rsid w:val="00D426AD"/>
    <w:rsid w:val="00D42B85"/>
    <w:rsid w:val="00D4304C"/>
    <w:rsid w:val="00D44E9D"/>
    <w:rsid w:val="00D46A18"/>
    <w:rsid w:val="00D470FA"/>
    <w:rsid w:val="00D47DF5"/>
    <w:rsid w:val="00D515EB"/>
    <w:rsid w:val="00D51E24"/>
    <w:rsid w:val="00D52403"/>
    <w:rsid w:val="00D5262B"/>
    <w:rsid w:val="00D52C29"/>
    <w:rsid w:val="00D532B7"/>
    <w:rsid w:val="00D53A43"/>
    <w:rsid w:val="00D54521"/>
    <w:rsid w:val="00D54C26"/>
    <w:rsid w:val="00D5507C"/>
    <w:rsid w:val="00D557F5"/>
    <w:rsid w:val="00D57045"/>
    <w:rsid w:val="00D57099"/>
    <w:rsid w:val="00D607F4"/>
    <w:rsid w:val="00D6169D"/>
    <w:rsid w:val="00D61BC6"/>
    <w:rsid w:val="00D61DE0"/>
    <w:rsid w:val="00D6220B"/>
    <w:rsid w:val="00D629B2"/>
    <w:rsid w:val="00D62FFE"/>
    <w:rsid w:val="00D643E4"/>
    <w:rsid w:val="00D647E8"/>
    <w:rsid w:val="00D6597E"/>
    <w:rsid w:val="00D66A97"/>
    <w:rsid w:val="00D6786B"/>
    <w:rsid w:val="00D67DE1"/>
    <w:rsid w:val="00D7136C"/>
    <w:rsid w:val="00D718C8"/>
    <w:rsid w:val="00D71F8F"/>
    <w:rsid w:val="00D7254C"/>
    <w:rsid w:val="00D7308F"/>
    <w:rsid w:val="00D74729"/>
    <w:rsid w:val="00D74E68"/>
    <w:rsid w:val="00D768FB"/>
    <w:rsid w:val="00D76F3E"/>
    <w:rsid w:val="00D77993"/>
    <w:rsid w:val="00D80DC2"/>
    <w:rsid w:val="00D81AB4"/>
    <w:rsid w:val="00D82A45"/>
    <w:rsid w:val="00D84E95"/>
    <w:rsid w:val="00D84EAF"/>
    <w:rsid w:val="00D8675B"/>
    <w:rsid w:val="00D90033"/>
    <w:rsid w:val="00D90AE0"/>
    <w:rsid w:val="00D91B40"/>
    <w:rsid w:val="00D92254"/>
    <w:rsid w:val="00D93765"/>
    <w:rsid w:val="00D9386E"/>
    <w:rsid w:val="00D94996"/>
    <w:rsid w:val="00D94D10"/>
    <w:rsid w:val="00D95196"/>
    <w:rsid w:val="00D96058"/>
    <w:rsid w:val="00D96114"/>
    <w:rsid w:val="00D9645D"/>
    <w:rsid w:val="00DA1DA0"/>
    <w:rsid w:val="00DA3168"/>
    <w:rsid w:val="00DA3368"/>
    <w:rsid w:val="00DA452E"/>
    <w:rsid w:val="00DA4BE0"/>
    <w:rsid w:val="00DA5B47"/>
    <w:rsid w:val="00DA65D0"/>
    <w:rsid w:val="00DA68B7"/>
    <w:rsid w:val="00DA6D0E"/>
    <w:rsid w:val="00DA7AA2"/>
    <w:rsid w:val="00DB0177"/>
    <w:rsid w:val="00DB09D9"/>
    <w:rsid w:val="00DB0F86"/>
    <w:rsid w:val="00DB20E3"/>
    <w:rsid w:val="00DB21A0"/>
    <w:rsid w:val="00DB314F"/>
    <w:rsid w:val="00DB3243"/>
    <w:rsid w:val="00DB48B1"/>
    <w:rsid w:val="00DB5796"/>
    <w:rsid w:val="00DB59C9"/>
    <w:rsid w:val="00DB5AEF"/>
    <w:rsid w:val="00DB679C"/>
    <w:rsid w:val="00DB6D13"/>
    <w:rsid w:val="00DB7F37"/>
    <w:rsid w:val="00DB7F7F"/>
    <w:rsid w:val="00DC0A63"/>
    <w:rsid w:val="00DC15EC"/>
    <w:rsid w:val="00DC1BFC"/>
    <w:rsid w:val="00DC2ACB"/>
    <w:rsid w:val="00DC592C"/>
    <w:rsid w:val="00DC7AEB"/>
    <w:rsid w:val="00DD01E2"/>
    <w:rsid w:val="00DD08F5"/>
    <w:rsid w:val="00DD1257"/>
    <w:rsid w:val="00DD1848"/>
    <w:rsid w:val="00DD2B63"/>
    <w:rsid w:val="00DD2F14"/>
    <w:rsid w:val="00DD440D"/>
    <w:rsid w:val="00DD5444"/>
    <w:rsid w:val="00DD57DA"/>
    <w:rsid w:val="00DD5C13"/>
    <w:rsid w:val="00DD6099"/>
    <w:rsid w:val="00DD6A42"/>
    <w:rsid w:val="00DD6C88"/>
    <w:rsid w:val="00DD7AFB"/>
    <w:rsid w:val="00DD7E5A"/>
    <w:rsid w:val="00DE10BB"/>
    <w:rsid w:val="00DE2012"/>
    <w:rsid w:val="00DE2170"/>
    <w:rsid w:val="00DE24BB"/>
    <w:rsid w:val="00DE2F73"/>
    <w:rsid w:val="00DE3929"/>
    <w:rsid w:val="00DE6225"/>
    <w:rsid w:val="00DE691D"/>
    <w:rsid w:val="00DE6B62"/>
    <w:rsid w:val="00DE70E0"/>
    <w:rsid w:val="00DE7D64"/>
    <w:rsid w:val="00DF121E"/>
    <w:rsid w:val="00DF24DC"/>
    <w:rsid w:val="00DF268E"/>
    <w:rsid w:val="00DF313E"/>
    <w:rsid w:val="00DF5185"/>
    <w:rsid w:val="00DF574B"/>
    <w:rsid w:val="00DF5F17"/>
    <w:rsid w:val="00DF62CF"/>
    <w:rsid w:val="00DF67E6"/>
    <w:rsid w:val="00DF6AB4"/>
    <w:rsid w:val="00DF715C"/>
    <w:rsid w:val="00DF715E"/>
    <w:rsid w:val="00DF73FE"/>
    <w:rsid w:val="00E0004B"/>
    <w:rsid w:val="00E00432"/>
    <w:rsid w:val="00E01319"/>
    <w:rsid w:val="00E024B6"/>
    <w:rsid w:val="00E02D43"/>
    <w:rsid w:val="00E03013"/>
    <w:rsid w:val="00E03375"/>
    <w:rsid w:val="00E03725"/>
    <w:rsid w:val="00E03786"/>
    <w:rsid w:val="00E04CBC"/>
    <w:rsid w:val="00E04DEC"/>
    <w:rsid w:val="00E05763"/>
    <w:rsid w:val="00E06AA4"/>
    <w:rsid w:val="00E06EB7"/>
    <w:rsid w:val="00E06F1C"/>
    <w:rsid w:val="00E07254"/>
    <w:rsid w:val="00E07AB9"/>
    <w:rsid w:val="00E07D9C"/>
    <w:rsid w:val="00E11026"/>
    <w:rsid w:val="00E11336"/>
    <w:rsid w:val="00E12049"/>
    <w:rsid w:val="00E12DB8"/>
    <w:rsid w:val="00E13400"/>
    <w:rsid w:val="00E14313"/>
    <w:rsid w:val="00E14D40"/>
    <w:rsid w:val="00E14DB3"/>
    <w:rsid w:val="00E15258"/>
    <w:rsid w:val="00E155B2"/>
    <w:rsid w:val="00E16D0D"/>
    <w:rsid w:val="00E17A0C"/>
    <w:rsid w:val="00E207E7"/>
    <w:rsid w:val="00E21090"/>
    <w:rsid w:val="00E2237F"/>
    <w:rsid w:val="00E23BFA"/>
    <w:rsid w:val="00E24DAA"/>
    <w:rsid w:val="00E255FF"/>
    <w:rsid w:val="00E26026"/>
    <w:rsid w:val="00E3029C"/>
    <w:rsid w:val="00E30EC5"/>
    <w:rsid w:val="00E311E9"/>
    <w:rsid w:val="00E318E6"/>
    <w:rsid w:val="00E31FA0"/>
    <w:rsid w:val="00E33456"/>
    <w:rsid w:val="00E341A3"/>
    <w:rsid w:val="00E37B5F"/>
    <w:rsid w:val="00E41A49"/>
    <w:rsid w:val="00E41C41"/>
    <w:rsid w:val="00E4272D"/>
    <w:rsid w:val="00E42851"/>
    <w:rsid w:val="00E43016"/>
    <w:rsid w:val="00E44AE8"/>
    <w:rsid w:val="00E44D78"/>
    <w:rsid w:val="00E4510E"/>
    <w:rsid w:val="00E4581D"/>
    <w:rsid w:val="00E45E5D"/>
    <w:rsid w:val="00E46178"/>
    <w:rsid w:val="00E51AC8"/>
    <w:rsid w:val="00E53FBA"/>
    <w:rsid w:val="00E55BC7"/>
    <w:rsid w:val="00E56945"/>
    <w:rsid w:val="00E56C28"/>
    <w:rsid w:val="00E576AB"/>
    <w:rsid w:val="00E57C31"/>
    <w:rsid w:val="00E6094C"/>
    <w:rsid w:val="00E60ACC"/>
    <w:rsid w:val="00E61771"/>
    <w:rsid w:val="00E648D0"/>
    <w:rsid w:val="00E64D7A"/>
    <w:rsid w:val="00E6531E"/>
    <w:rsid w:val="00E65340"/>
    <w:rsid w:val="00E655DB"/>
    <w:rsid w:val="00E65772"/>
    <w:rsid w:val="00E65AB1"/>
    <w:rsid w:val="00E65F51"/>
    <w:rsid w:val="00E65FC2"/>
    <w:rsid w:val="00E670F2"/>
    <w:rsid w:val="00E7050F"/>
    <w:rsid w:val="00E7094F"/>
    <w:rsid w:val="00E70BF0"/>
    <w:rsid w:val="00E70E04"/>
    <w:rsid w:val="00E7252E"/>
    <w:rsid w:val="00E73FA7"/>
    <w:rsid w:val="00E75F6E"/>
    <w:rsid w:val="00E76164"/>
    <w:rsid w:val="00E765D9"/>
    <w:rsid w:val="00E76E0C"/>
    <w:rsid w:val="00E776DA"/>
    <w:rsid w:val="00E804A6"/>
    <w:rsid w:val="00E808ED"/>
    <w:rsid w:val="00E83A4B"/>
    <w:rsid w:val="00E8526A"/>
    <w:rsid w:val="00E85F87"/>
    <w:rsid w:val="00E861F1"/>
    <w:rsid w:val="00E86F2B"/>
    <w:rsid w:val="00E901E7"/>
    <w:rsid w:val="00E916F1"/>
    <w:rsid w:val="00E918CE"/>
    <w:rsid w:val="00E91D4D"/>
    <w:rsid w:val="00E92350"/>
    <w:rsid w:val="00E92C3C"/>
    <w:rsid w:val="00E940D4"/>
    <w:rsid w:val="00E96050"/>
    <w:rsid w:val="00E9638D"/>
    <w:rsid w:val="00E9644F"/>
    <w:rsid w:val="00E9740E"/>
    <w:rsid w:val="00EA077B"/>
    <w:rsid w:val="00EA08BA"/>
    <w:rsid w:val="00EA0E3A"/>
    <w:rsid w:val="00EA2EA5"/>
    <w:rsid w:val="00EA33D3"/>
    <w:rsid w:val="00EA352A"/>
    <w:rsid w:val="00EA6536"/>
    <w:rsid w:val="00EA6930"/>
    <w:rsid w:val="00EA77AE"/>
    <w:rsid w:val="00EA78B6"/>
    <w:rsid w:val="00EB1DEF"/>
    <w:rsid w:val="00EB2B5E"/>
    <w:rsid w:val="00EB3006"/>
    <w:rsid w:val="00EB369F"/>
    <w:rsid w:val="00EB43CE"/>
    <w:rsid w:val="00EB6CC2"/>
    <w:rsid w:val="00EB7138"/>
    <w:rsid w:val="00EB7421"/>
    <w:rsid w:val="00EB74E0"/>
    <w:rsid w:val="00EC04DC"/>
    <w:rsid w:val="00EC0B0A"/>
    <w:rsid w:val="00EC0CFC"/>
    <w:rsid w:val="00EC1524"/>
    <w:rsid w:val="00EC166D"/>
    <w:rsid w:val="00EC1E36"/>
    <w:rsid w:val="00EC399C"/>
    <w:rsid w:val="00EC3B24"/>
    <w:rsid w:val="00EC5885"/>
    <w:rsid w:val="00EC7EBF"/>
    <w:rsid w:val="00ED04C4"/>
    <w:rsid w:val="00ED06D3"/>
    <w:rsid w:val="00ED0EBA"/>
    <w:rsid w:val="00ED1A23"/>
    <w:rsid w:val="00ED2625"/>
    <w:rsid w:val="00ED2BDA"/>
    <w:rsid w:val="00ED3238"/>
    <w:rsid w:val="00ED390C"/>
    <w:rsid w:val="00ED3E14"/>
    <w:rsid w:val="00ED47D5"/>
    <w:rsid w:val="00ED7348"/>
    <w:rsid w:val="00EE0AEA"/>
    <w:rsid w:val="00EE13CF"/>
    <w:rsid w:val="00EE13E6"/>
    <w:rsid w:val="00EE1AE1"/>
    <w:rsid w:val="00EE3A02"/>
    <w:rsid w:val="00EE4667"/>
    <w:rsid w:val="00EE4C2B"/>
    <w:rsid w:val="00EE4CEA"/>
    <w:rsid w:val="00EE60D5"/>
    <w:rsid w:val="00EE62B0"/>
    <w:rsid w:val="00EE6FBD"/>
    <w:rsid w:val="00EE7778"/>
    <w:rsid w:val="00EF0057"/>
    <w:rsid w:val="00EF1AA6"/>
    <w:rsid w:val="00EF1CC5"/>
    <w:rsid w:val="00EF2D6F"/>
    <w:rsid w:val="00EF3979"/>
    <w:rsid w:val="00EF4009"/>
    <w:rsid w:val="00EF51F1"/>
    <w:rsid w:val="00EF5AEE"/>
    <w:rsid w:val="00EF6077"/>
    <w:rsid w:val="00EF7416"/>
    <w:rsid w:val="00EF74BF"/>
    <w:rsid w:val="00EF7CA7"/>
    <w:rsid w:val="00F00698"/>
    <w:rsid w:val="00F0085E"/>
    <w:rsid w:val="00F0111F"/>
    <w:rsid w:val="00F0150E"/>
    <w:rsid w:val="00F01BAE"/>
    <w:rsid w:val="00F01DF5"/>
    <w:rsid w:val="00F0278A"/>
    <w:rsid w:val="00F02F84"/>
    <w:rsid w:val="00F043C3"/>
    <w:rsid w:val="00F0500D"/>
    <w:rsid w:val="00F061C7"/>
    <w:rsid w:val="00F06DDA"/>
    <w:rsid w:val="00F07540"/>
    <w:rsid w:val="00F075ED"/>
    <w:rsid w:val="00F100A6"/>
    <w:rsid w:val="00F102CB"/>
    <w:rsid w:val="00F111C8"/>
    <w:rsid w:val="00F119E3"/>
    <w:rsid w:val="00F1227B"/>
    <w:rsid w:val="00F14DCB"/>
    <w:rsid w:val="00F14E1F"/>
    <w:rsid w:val="00F14FEB"/>
    <w:rsid w:val="00F16B59"/>
    <w:rsid w:val="00F16BBF"/>
    <w:rsid w:val="00F17E92"/>
    <w:rsid w:val="00F20193"/>
    <w:rsid w:val="00F201F9"/>
    <w:rsid w:val="00F2020A"/>
    <w:rsid w:val="00F2027F"/>
    <w:rsid w:val="00F20B5B"/>
    <w:rsid w:val="00F22D6B"/>
    <w:rsid w:val="00F239FB"/>
    <w:rsid w:val="00F24082"/>
    <w:rsid w:val="00F24A72"/>
    <w:rsid w:val="00F25B8F"/>
    <w:rsid w:val="00F272C5"/>
    <w:rsid w:val="00F27656"/>
    <w:rsid w:val="00F277AD"/>
    <w:rsid w:val="00F30D6A"/>
    <w:rsid w:val="00F30FC3"/>
    <w:rsid w:val="00F312F4"/>
    <w:rsid w:val="00F3171D"/>
    <w:rsid w:val="00F31AD2"/>
    <w:rsid w:val="00F32314"/>
    <w:rsid w:val="00F33419"/>
    <w:rsid w:val="00F34334"/>
    <w:rsid w:val="00F34484"/>
    <w:rsid w:val="00F348F5"/>
    <w:rsid w:val="00F34C13"/>
    <w:rsid w:val="00F36A4D"/>
    <w:rsid w:val="00F36DE0"/>
    <w:rsid w:val="00F36E47"/>
    <w:rsid w:val="00F401AB"/>
    <w:rsid w:val="00F433D5"/>
    <w:rsid w:val="00F43416"/>
    <w:rsid w:val="00F44BA4"/>
    <w:rsid w:val="00F45068"/>
    <w:rsid w:val="00F45823"/>
    <w:rsid w:val="00F45899"/>
    <w:rsid w:val="00F47A10"/>
    <w:rsid w:val="00F50151"/>
    <w:rsid w:val="00F5024F"/>
    <w:rsid w:val="00F51218"/>
    <w:rsid w:val="00F51DC4"/>
    <w:rsid w:val="00F520A3"/>
    <w:rsid w:val="00F52347"/>
    <w:rsid w:val="00F547E0"/>
    <w:rsid w:val="00F55DF3"/>
    <w:rsid w:val="00F567D7"/>
    <w:rsid w:val="00F57624"/>
    <w:rsid w:val="00F608C3"/>
    <w:rsid w:val="00F61791"/>
    <w:rsid w:val="00F62FF2"/>
    <w:rsid w:val="00F637D2"/>
    <w:rsid w:val="00F6445E"/>
    <w:rsid w:val="00F64661"/>
    <w:rsid w:val="00F64DED"/>
    <w:rsid w:val="00F64E01"/>
    <w:rsid w:val="00F67EE5"/>
    <w:rsid w:val="00F7091D"/>
    <w:rsid w:val="00F714AE"/>
    <w:rsid w:val="00F726EA"/>
    <w:rsid w:val="00F76ACE"/>
    <w:rsid w:val="00F76E3C"/>
    <w:rsid w:val="00F81277"/>
    <w:rsid w:val="00F81E08"/>
    <w:rsid w:val="00F82F11"/>
    <w:rsid w:val="00F83378"/>
    <w:rsid w:val="00F83D85"/>
    <w:rsid w:val="00F86900"/>
    <w:rsid w:val="00F86A54"/>
    <w:rsid w:val="00F87259"/>
    <w:rsid w:val="00F87976"/>
    <w:rsid w:val="00F90B6F"/>
    <w:rsid w:val="00F91908"/>
    <w:rsid w:val="00F91A55"/>
    <w:rsid w:val="00F9218C"/>
    <w:rsid w:val="00F933A6"/>
    <w:rsid w:val="00F93690"/>
    <w:rsid w:val="00F947A2"/>
    <w:rsid w:val="00F94812"/>
    <w:rsid w:val="00F9615B"/>
    <w:rsid w:val="00F97E5A"/>
    <w:rsid w:val="00FA03BC"/>
    <w:rsid w:val="00FA0C36"/>
    <w:rsid w:val="00FA2FF3"/>
    <w:rsid w:val="00FA31C4"/>
    <w:rsid w:val="00FA61A2"/>
    <w:rsid w:val="00FA73C0"/>
    <w:rsid w:val="00FA79B9"/>
    <w:rsid w:val="00FB09AA"/>
    <w:rsid w:val="00FB0BC5"/>
    <w:rsid w:val="00FB2A76"/>
    <w:rsid w:val="00FB2DA7"/>
    <w:rsid w:val="00FB4262"/>
    <w:rsid w:val="00FB4734"/>
    <w:rsid w:val="00FB7694"/>
    <w:rsid w:val="00FC0C31"/>
    <w:rsid w:val="00FC0CA3"/>
    <w:rsid w:val="00FC1317"/>
    <w:rsid w:val="00FC1706"/>
    <w:rsid w:val="00FC4193"/>
    <w:rsid w:val="00FC42E0"/>
    <w:rsid w:val="00FC60DB"/>
    <w:rsid w:val="00FC6402"/>
    <w:rsid w:val="00FC6E7C"/>
    <w:rsid w:val="00FC6F7C"/>
    <w:rsid w:val="00FC79DF"/>
    <w:rsid w:val="00FD1580"/>
    <w:rsid w:val="00FD232F"/>
    <w:rsid w:val="00FD241B"/>
    <w:rsid w:val="00FD3989"/>
    <w:rsid w:val="00FD3C0D"/>
    <w:rsid w:val="00FD3EA3"/>
    <w:rsid w:val="00FD4708"/>
    <w:rsid w:val="00FD55CD"/>
    <w:rsid w:val="00FD6AAD"/>
    <w:rsid w:val="00FD7097"/>
    <w:rsid w:val="00FD786A"/>
    <w:rsid w:val="00FE0213"/>
    <w:rsid w:val="00FE03AF"/>
    <w:rsid w:val="00FE088A"/>
    <w:rsid w:val="00FE0F68"/>
    <w:rsid w:val="00FE1B93"/>
    <w:rsid w:val="00FE1F90"/>
    <w:rsid w:val="00FE4528"/>
    <w:rsid w:val="00FE614B"/>
    <w:rsid w:val="00FE6F9A"/>
    <w:rsid w:val="00FE72CC"/>
    <w:rsid w:val="00FE76A6"/>
    <w:rsid w:val="00FF0098"/>
    <w:rsid w:val="00FF0320"/>
    <w:rsid w:val="00FF0814"/>
    <w:rsid w:val="00FF0C3C"/>
    <w:rsid w:val="00FF0FB6"/>
    <w:rsid w:val="00FF3A0C"/>
    <w:rsid w:val="00FF3A8B"/>
    <w:rsid w:val="00FF40FB"/>
    <w:rsid w:val="00FF4622"/>
    <w:rsid w:val="00FF4B91"/>
    <w:rsid w:val="00FF57E6"/>
    <w:rsid w:val="00FF59A2"/>
    <w:rsid w:val="00FF642F"/>
    <w:rsid w:val="00FF6973"/>
    <w:rsid w:val="00FF6F39"/>
    <w:rsid w:val="00FF72F4"/>
    <w:rsid w:val="00FF784A"/>
    <w:rsid w:val="00FF7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FE9ACD"/>
  <w15:docId w15:val="{B8C324A6-C850-474B-8374-D8CFED1E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36432"/>
    <w:pPr>
      <w:autoSpaceDE w:val="0"/>
      <w:autoSpaceDN w:val="0"/>
      <w:adjustRightInd w:val="0"/>
    </w:pPr>
    <w:rPr>
      <w:rFonts w:ascii="Arial" w:hAnsi="Arial"/>
      <w:lang w:val="en-AU"/>
    </w:rPr>
  </w:style>
  <w:style w:type="paragraph" w:styleId="Heading1">
    <w:name w:val="heading 1"/>
    <w:basedOn w:val="Normal"/>
    <w:next w:val="EYBodytextwithparaspace"/>
    <w:rsid w:val="001B7FEB"/>
    <w:pPr>
      <w:keepNext/>
      <w:tabs>
        <w:tab w:val="left" w:pos="720"/>
      </w:tabs>
      <w:spacing w:after="240"/>
      <w:outlineLvl w:val="0"/>
    </w:pPr>
    <w:rPr>
      <w:b/>
      <w:bCs/>
      <w:sz w:val="32"/>
      <w:szCs w:val="24"/>
    </w:rPr>
  </w:style>
  <w:style w:type="paragraph" w:styleId="Heading2">
    <w:name w:val="heading 2"/>
    <w:basedOn w:val="Normal"/>
    <w:next w:val="EYBodytextwithparaspace"/>
    <w:rsid w:val="001B7FEB"/>
    <w:pPr>
      <w:keepNext/>
      <w:spacing w:after="120"/>
      <w:outlineLvl w:val="1"/>
    </w:pPr>
    <w:rPr>
      <w:rFonts w:cs="Arial"/>
      <w:b/>
      <w:bCs/>
      <w:iCs/>
      <w:sz w:val="28"/>
    </w:rPr>
  </w:style>
  <w:style w:type="paragraph" w:styleId="Heading3">
    <w:name w:val="heading 3"/>
    <w:basedOn w:val="Normal"/>
    <w:next w:val="EYBodytextwithparaspace"/>
    <w:link w:val="Heading3Char"/>
    <w:rsid w:val="001B7FEB"/>
    <w:pPr>
      <w:keepNext/>
      <w:spacing w:after="120"/>
      <w:outlineLvl w:val="2"/>
    </w:pPr>
    <w:rPr>
      <w:rFonts w:cs="Arial"/>
      <w:b/>
      <w:bCs/>
      <w:sz w:val="24"/>
    </w:rPr>
  </w:style>
  <w:style w:type="paragraph" w:styleId="Heading4">
    <w:name w:val="heading 4"/>
    <w:basedOn w:val="Normal"/>
    <w:next w:val="EYBodytextwithparaspace"/>
    <w:rsid w:val="001B7FEB"/>
    <w:pPr>
      <w:spacing w:after="120"/>
      <w:outlineLvl w:val="3"/>
    </w:pPr>
    <w:rPr>
      <w:color w:val="000000"/>
      <w:sz w:val="24"/>
    </w:rPr>
  </w:style>
  <w:style w:type="paragraph" w:styleId="Heading5">
    <w:name w:val="heading 5"/>
    <w:basedOn w:val="Normal"/>
    <w:next w:val="EYBodytextwithparaspace"/>
    <w:rsid w:val="001B7FEB"/>
    <w:pPr>
      <w:spacing w:after="120"/>
      <w:outlineLvl w:val="4"/>
    </w:pPr>
    <w:rPr>
      <w:b/>
      <w:sz w:val="22"/>
    </w:rPr>
  </w:style>
  <w:style w:type="paragraph" w:styleId="Heading6">
    <w:name w:val="heading 6"/>
    <w:basedOn w:val="Normal"/>
    <w:next w:val="EYBodytextwithparaspace"/>
    <w:rsid w:val="001B7FEB"/>
    <w:pPr>
      <w:outlineLvl w:val="5"/>
    </w:pPr>
    <w:rPr>
      <w:sz w:val="22"/>
    </w:rPr>
  </w:style>
  <w:style w:type="paragraph" w:styleId="Heading7">
    <w:name w:val="heading 7"/>
    <w:basedOn w:val="Normal"/>
    <w:next w:val="EYBodytextwithparaspace"/>
    <w:rsid w:val="001B7FEB"/>
    <w:pPr>
      <w:spacing w:after="120"/>
      <w:outlineLvl w:val="6"/>
    </w:pPr>
    <w:rPr>
      <w:b/>
    </w:rPr>
  </w:style>
  <w:style w:type="paragraph" w:styleId="Heading8">
    <w:name w:val="heading 8"/>
    <w:basedOn w:val="Normal"/>
    <w:next w:val="EYBodytextwithparaspace"/>
    <w:rsid w:val="001B7FEB"/>
    <w:pPr>
      <w:spacing w:after="120"/>
      <w:outlineLvl w:val="7"/>
    </w:pPr>
  </w:style>
  <w:style w:type="paragraph" w:styleId="Heading9">
    <w:name w:val="heading 9"/>
    <w:basedOn w:val="Normal"/>
    <w:next w:val="EYBodytextwithparaspace"/>
    <w:rsid w:val="00282738"/>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Normal">
    <w:name w:val="EY Normal"/>
    <w:basedOn w:val="Normal"/>
    <w:rsid w:val="002B0627"/>
    <w:rPr>
      <w:sz w:val="24"/>
    </w:rPr>
  </w:style>
  <w:style w:type="paragraph" w:customStyle="1" w:styleId="EYBodytextwithparaspace">
    <w:name w:val="EY Body text (with para space)"/>
    <w:basedOn w:val="EYNormal"/>
    <w:link w:val="EYBodytextwithparaspaceChar"/>
    <w:qFormat/>
    <w:rsid w:val="00A24C89"/>
    <w:pPr>
      <w:spacing w:after="240"/>
    </w:pPr>
  </w:style>
  <w:style w:type="paragraph" w:customStyle="1" w:styleId="EYBodytextwithoutparaspace">
    <w:name w:val="EY Body text (without para space)"/>
    <w:basedOn w:val="EYNormal"/>
    <w:qFormat/>
    <w:rsid w:val="00A24C89"/>
  </w:style>
  <w:style w:type="paragraph" w:styleId="Footer">
    <w:name w:val="footer"/>
    <w:aliases w:val="EY Footer"/>
    <w:basedOn w:val="EYNormal"/>
    <w:link w:val="FooterChar"/>
    <w:rsid w:val="00067ABF"/>
    <w:pPr>
      <w:widowControl w:val="0"/>
      <w:tabs>
        <w:tab w:val="center" w:pos="4320"/>
        <w:tab w:val="right" w:pos="8640"/>
      </w:tabs>
    </w:pPr>
    <w:rPr>
      <w:sz w:val="16"/>
    </w:rPr>
  </w:style>
  <w:style w:type="paragraph" w:customStyle="1" w:styleId="EYAppendix">
    <w:name w:val="EY Appendix"/>
    <w:basedOn w:val="EYNormal"/>
    <w:next w:val="EYBodytextwithparaspace"/>
    <w:qFormat/>
    <w:rsid w:val="00B16478"/>
    <w:pPr>
      <w:numPr>
        <w:numId w:val="2"/>
      </w:numPr>
      <w:autoSpaceDE/>
      <w:autoSpaceDN/>
      <w:adjustRightInd/>
      <w:spacing w:after="360"/>
      <w:outlineLvl w:val="0"/>
    </w:pPr>
    <w:rPr>
      <w:b/>
      <w:color w:val="808080"/>
      <w:sz w:val="32"/>
      <w:szCs w:val="24"/>
    </w:rPr>
  </w:style>
  <w:style w:type="paragraph" w:customStyle="1" w:styleId="EYAppendixHeading2">
    <w:name w:val="EY Appendix Heading 2"/>
    <w:basedOn w:val="EYNormal"/>
    <w:next w:val="EYBodytextwithparaspace"/>
    <w:qFormat/>
    <w:rsid w:val="00B16478"/>
    <w:pPr>
      <w:keepNext/>
      <w:autoSpaceDE/>
      <w:autoSpaceDN/>
      <w:adjustRightInd/>
      <w:spacing w:after="120"/>
    </w:pPr>
    <w:rPr>
      <w:b/>
      <w:sz w:val="28"/>
      <w:szCs w:val="24"/>
    </w:rPr>
  </w:style>
  <w:style w:type="paragraph" w:customStyle="1" w:styleId="EYAppendixHeading3">
    <w:name w:val="EY Appendix Heading 3"/>
    <w:basedOn w:val="EYNormal"/>
    <w:next w:val="EYBodytextwithparaspace"/>
    <w:qFormat/>
    <w:rsid w:val="00B16478"/>
    <w:pPr>
      <w:keepNext/>
      <w:autoSpaceDE/>
      <w:autoSpaceDN/>
      <w:adjustRightInd/>
      <w:spacing w:after="120"/>
    </w:pPr>
    <w:rPr>
      <w:b/>
      <w:sz w:val="26"/>
      <w:szCs w:val="24"/>
    </w:rPr>
  </w:style>
  <w:style w:type="character" w:customStyle="1" w:styleId="FooterChar">
    <w:name w:val="Footer Char"/>
    <w:aliases w:val="EY Footer Char"/>
    <w:basedOn w:val="DefaultParagraphFont"/>
    <w:link w:val="Footer"/>
    <w:rsid w:val="0095150E"/>
    <w:rPr>
      <w:rFonts w:ascii="EYInterstate Light" w:hAnsi="EYInterstate Light"/>
      <w:sz w:val="16"/>
    </w:rPr>
  </w:style>
  <w:style w:type="paragraph" w:styleId="Header">
    <w:name w:val="header"/>
    <w:basedOn w:val="EYNormal"/>
    <w:link w:val="HeaderChar"/>
    <w:rsid w:val="0095150E"/>
    <w:pPr>
      <w:tabs>
        <w:tab w:val="center" w:pos="4513"/>
        <w:tab w:val="right" w:pos="9026"/>
      </w:tabs>
    </w:pPr>
    <w:rPr>
      <w:sz w:val="16"/>
    </w:rPr>
  </w:style>
  <w:style w:type="character" w:customStyle="1" w:styleId="HeaderChar">
    <w:name w:val="Header Char"/>
    <w:basedOn w:val="DefaultParagraphFont"/>
    <w:link w:val="Header"/>
    <w:rsid w:val="0095150E"/>
    <w:rPr>
      <w:rFonts w:ascii="EYInterstate Light" w:hAnsi="EYInterstate Light"/>
      <w:sz w:val="16"/>
    </w:rPr>
  </w:style>
  <w:style w:type="paragraph" w:customStyle="1" w:styleId="EYContents">
    <w:name w:val="EY Contents"/>
    <w:basedOn w:val="EYNormal"/>
    <w:next w:val="EYBodytextwithparaspace"/>
    <w:rsid w:val="00184038"/>
    <w:pPr>
      <w:keepNext/>
      <w:spacing w:after="240"/>
    </w:pPr>
    <w:rPr>
      <w:rFonts w:cs="Arial"/>
      <w:b/>
      <w:bCs/>
      <w:color w:val="808080"/>
      <w:sz w:val="28"/>
      <w:szCs w:val="24"/>
    </w:rPr>
  </w:style>
  <w:style w:type="paragraph" w:customStyle="1" w:styleId="EYCoverTitle">
    <w:name w:val="EY Cover Title"/>
    <w:basedOn w:val="Normal"/>
    <w:rsid w:val="00817221"/>
    <w:pPr>
      <w:tabs>
        <w:tab w:val="right" w:pos="6750"/>
      </w:tabs>
      <w:spacing w:line="560" w:lineRule="atLeast"/>
    </w:pPr>
    <w:rPr>
      <w:rFonts w:ascii="EYInterstate Regular" w:hAnsi="EYInterstate Regular"/>
      <w:color w:val="333333"/>
      <w:sz w:val="48"/>
      <w:szCs w:val="48"/>
    </w:rPr>
  </w:style>
  <w:style w:type="paragraph" w:customStyle="1" w:styleId="EYHeading1">
    <w:name w:val="EY Heading 1"/>
    <w:basedOn w:val="EYNormal"/>
    <w:next w:val="EYBodytextwithparaspace"/>
    <w:qFormat/>
    <w:rsid w:val="00184038"/>
    <w:pPr>
      <w:pageBreakBefore/>
      <w:numPr>
        <w:numId w:val="3"/>
      </w:numPr>
      <w:autoSpaceDE/>
      <w:autoSpaceDN/>
      <w:adjustRightInd/>
      <w:spacing w:after="360"/>
      <w:outlineLvl w:val="0"/>
    </w:pPr>
    <w:rPr>
      <w:rFonts w:cs="Arial"/>
      <w:b/>
      <w:color w:val="808080"/>
      <w:sz w:val="32"/>
      <w:szCs w:val="24"/>
    </w:rPr>
  </w:style>
  <w:style w:type="paragraph" w:customStyle="1" w:styleId="EYHeading2">
    <w:name w:val="EY Heading 2"/>
    <w:basedOn w:val="EYNormal"/>
    <w:next w:val="EYBodytextwithparaspace"/>
    <w:qFormat/>
    <w:rsid w:val="00184038"/>
    <w:pPr>
      <w:keepNext/>
      <w:numPr>
        <w:ilvl w:val="1"/>
        <w:numId w:val="3"/>
      </w:numPr>
      <w:spacing w:before="120" w:after="120"/>
      <w:outlineLvl w:val="1"/>
    </w:pPr>
    <w:rPr>
      <w:rFonts w:cs="Arial"/>
      <w:b/>
      <w:sz w:val="28"/>
      <w:szCs w:val="24"/>
    </w:rPr>
  </w:style>
  <w:style w:type="paragraph" w:customStyle="1" w:styleId="EYHeading3">
    <w:name w:val="EY Heading 3"/>
    <w:basedOn w:val="EYNormal"/>
    <w:next w:val="EYBodytextwithparaspace"/>
    <w:qFormat/>
    <w:rsid w:val="00AF4E3A"/>
    <w:pPr>
      <w:keepNext/>
      <w:numPr>
        <w:ilvl w:val="2"/>
        <w:numId w:val="3"/>
      </w:numPr>
      <w:tabs>
        <w:tab w:val="clear" w:pos="0"/>
      </w:tabs>
      <w:spacing w:before="120" w:after="120"/>
      <w:outlineLvl w:val="2"/>
    </w:pPr>
    <w:rPr>
      <w:b/>
      <w:sz w:val="26"/>
      <w:szCs w:val="24"/>
    </w:rPr>
  </w:style>
  <w:style w:type="paragraph" w:customStyle="1" w:styleId="EYHeading4">
    <w:name w:val="EY Heading 4"/>
    <w:basedOn w:val="EYNormal"/>
    <w:next w:val="EYBodytextwithparaspace"/>
    <w:qFormat/>
    <w:rsid w:val="00AF4E3A"/>
    <w:pPr>
      <w:keepNext/>
      <w:numPr>
        <w:ilvl w:val="3"/>
        <w:numId w:val="3"/>
      </w:numPr>
      <w:tabs>
        <w:tab w:val="clear" w:pos="0"/>
      </w:tabs>
      <w:spacing w:after="120"/>
      <w:outlineLvl w:val="3"/>
    </w:pPr>
    <w:rPr>
      <w:b/>
      <w:sz w:val="22"/>
      <w:szCs w:val="24"/>
    </w:rPr>
  </w:style>
  <w:style w:type="paragraph" w:customStyle="1" w:styleId="EYIndent1">
    <w:name w:val="EY Indent 1"/>
    <w:basedOn w:val="EYNormal"/>
    <w:qFormat/>
    <w:rsid w:val="00B16478"/>
    <w:pPr>
      <w:autoSpaceDE/>
      <w:autoSpaceDN/>
      <w:adjustRightInd/>
      <w:spacing w:after="240"/>
      <w:ind w:left="425"/>
    </w:pPr>
    <w:rPr>
      <w:kern w:val="12"/>
      <w:szCs w:val="24"/>
      <w:lang w:eastAsia="en-AU"/>
    </w:rPr>
  </w:style>
  <w:style w:type="paragraph" w:customStyle="1" w:styleId="EYIndent2">
    <w:name w:val="EY Indent 2"/>
    <w:basedOn w:val="EYIndent1"/>
    <w:qFormat/>
    <w:rsid w:val="00B16478"/>
    <w:pPr>
      <w:ind w:left="851"/>
    </w:pPr>
  </w:style>
  <w:style w:type="paragraph" w:customStyle="1" w:styleId="EYIndent3">
    <w:name w:val="EY Indent 3"/>
    <w:basedOn w:val="EYIndent1"/>
    <w:qFormat/>
    <w:rsid w:val="00B16478"/>
    <w:pPr>
      <w:ind w:left="1276"/>
    </w:pPr>
  </w:style>
  <w:style w:type="paragraph" w:customStyle="1" w:styleId="EYSubheading">
    <w:name w:val="EY Subheading"/>
    <w:basedOn w:val="EYNormal"/>
    <w:next w:val="EYBodytextwithparaspace"/>
    <w:qFormat/>
    <w:rsid w:val="00B16478"/>
    <w:pPr>
      <w:keepNext/>
      <w:autoSpaceDE/>
      <w:autoSpaceDN/>
      <w:adjustRightInd/>
      <w:spacing w:after="120"/>
    </w:pPr>
    <w:rPr>
      <w:b/>
      <w:kern w:val="12"/>
      <w:szCs w:val="24"/>
      <w:lang w:eastAsia="en-AU"/>
    </w:rPr>
  </w:style>
  <w:style w:type="paragraph" w:customStyle="1" w:styleId="EYSource">
    <w:name w:val="EY Source"/>
    <w:basedOn w:val="EYNormal"/>
    <w:next w:val="EYBodytextwithparaspace"/>
    <w:qFormat/>
    <w:rsid w:val="009C2F81"/>
    <w:pPr>
      <w:autoSpaceDE/>
      <w:autoSpaceDN/>
      <w:adjustRightInd/>
      <w:spacing w:before="60" w:after="60"/>
    </w:pPr>
    <w:rPr>
      <w:i/>
      <w:sz w:val="20"/>
      <w:szCs w:val="24"/>
    </w:rPr>
  </w:style>
  <w:style w:type="paragraph" w:customStyle="1" w:styleId="EYTableNormal">
    <w:name w:val="EY Table Normal"/>
    <w:basedOn w:val="Normal"/>
    <w:rsid w:val="00A24C89"/>
    <w:pPr>
      <w:autoSpaceDE/>
      <w:autoSpaceDN/>
      <w:adjustRightInd/>
    </w:pPr>
    <w:rPr>
      <w:sz w:val="16"/>
      <w:szCs w:val="24"/>
    </w:rPr>
  </w:style>
  <w:style w:type="paragraph" w:customStyle="1" w:styleId="EYTableText">
    <w:name w:val="EY Table Text"/>
    <w:basedOn w:val="EYTableNormal"/>
    <w:qFormat/>
    <w:rsid w:val="00B16478"/>
    <w:pPr>
      <w:spacing w:before="20" w:after="20"/>
    </w:pPr>
  </w:style>
  <w:style w:type="paragraph" w:customStyle="1" w:styleId="EYTablebullet1">
    <w:name w:val="EY Table bullet 1"/>
    <w:basedOn w:val="EYTableNormal"/>
    <w:qFormat/>
    <w:rsid w:val="00482D9B"/>
    <w:pPr>
      <w:numPr>
        <w:numId w:val="4"/>
      </w:numPr>
      <w:spacing w:before="60" w:after="60"/>
    </w:pPr>
    <w:rPr>
      <w:lang w:eastAsia="en-AU"/>
    </w:rPr>
  </w:style>
  <w:style w:type="paragraph" w:customStyle="1" w:styleId="EYTablebullet2">
    <w:name w:val="EY Table bullet 2"/>
    <w:basedOn w:val="EYTableNormal"/>
    <w:qFormat/>
    <w:rsid w:val="00B16478"/>
    <w:pPr>
      <w:numPr>
        <w:ilvl w:val="1"/>
        <w:numId w:val="4"/>
      </w:numPr>
      <w:spacing w:before="20" w:after="20"/>
    </w:pPr>
  </w:style>
  <w:style w:type="paragraph" w:customStyle="1" w:styleId="EYTableHeading">
    <w:name w:val="EY Table Heading"/>
    <w:basedOn w:val="EYTableNormal"/>
    <w:qFormat/>
    <w:rsid w:val="00B16478"/>
    <w:pPr>
      <w:spacing w:before="60" w:after="60"/>
    </w:pPr>
    <w:rPr>
      <w:b/>
      <w:color w:val="808080"/>
    </w:rPr>
  </w:style>
  <w:style w:type="paragraph" w:customStyle="1" w:styleId="EYTabletextbold">
    <w:name w:val="EY Table text bold"/>
    <w:basedOn w:val="EYTableNormal"/>
    <w:next w:val="EYTableText"/>
    <w:rsid w:val="00B16478"/>
    <w:pPr>
      <w:spacing w:before="20" w:after="20"/>
    </w:pPr>
    <w:rPr>
      <w:b/>
    </w:rPr>
  </w:style>
  <w:style w:type="character" w:styleId="Hyperlink">
    <w:name w:val="Hyperlink"/>
    <w:basedOn w:val="DefaultParagraphFont"/>
    <w:uiPriority w:val="99"/>
    <w:rsid w:val="002B0627"/>
    <w:rPr>
      <w:rFonts w:ascii="EYInterstate Light" w:hAnsi="EYInterstate Light"/>
      <w:color w:val="336699"/>
      <w:sz w:val="24"/>
      <w:u w:val="single"/>
    </w:rPr>
  </w:style>
  <w:style w:type="paragraph" w:styleId="TOC1">
    <w:name w:val="toc 1"/>
    <w:basedOn w:val="Normal"/>
    <w:next w:val="Normal"/>
    <w:uiPriority w:val="39"/>
    <w:rsid w:val="002B0627"/>
    <w:pPr>
      <w:tabs>
        <w:tab w:val="left" w:pos="600"/>
        <w:tab w:val="right" w:leader="dot" w:pos="13892"/>
      </w:tabs>
      <w:autoSpaceDE/>
      <w:autoSpaceDN/>
      <w:adjustRightInd/>
      <w:snapToGrid w:val="0"/>
      <w:spacing w:before="120"/>
    </w:pPr>
    <w:rPr>
      <w:rFonts w:cs="Arial"/>
      <w:noProof/>
      <w:sz w:val="24"/>
      <w:szCs w:val="24"/>
      <w:lang w:eastAsia="en-GB"/>
    </w:rPr>
  </w:style>
  <w:style w:type="paragraph" w:styleId="TOC2">
    <w:name w:val="toc 2"/>
    <w:basedOn w:val="Normal"/>
    <w:next w:val="Normal"/>
    <w:uiPriority w:val="39"/>
    <w:rsid w:val="00846D93"/>
    <w:pPr>
      <w:tabs>
        <w:tab w:val="left" w:pos="960"/>
        <w:tab w:val="right" w:leader="dot" w:pos="13892"/>
      </w:tabs>
      <w:autoSpaceDE/>
      <w:autoSpaceDN/>
      <w:adjustRightInd/>
      <w:snapToGrid w:val="0"/>
      <w:spacing w:before="60"/>
      <w:ind w:left="198"/>
    </w:pPr>
    <w:rPr>
      <w:rFonts w:cs="Arial"/>
      <w:noProof/>
      <w:sz w:val="22"/>
      <w:szCs w:val="24"/>
      <w:lang w:eastAsia="en-GB"/>
    </w:rPr>
  </w:style>
  <w:style w:type="paragraph" w:styleId="TOC3">
    <w:name w:val="toc 3"/>
    <w:basedOn w:val="Normal"/>
    <w:next w:val="Normal"/>
    <w:uiPriority w:val="39"/>
    <w:rsid w:val="009666AF"/>
    <w:pPr>
      <w:tabs>
        <w:tab w:val="left" w:pos="1200"/>
        <w:tab w:val="right" w:leader="dot" w:pos="13892"/>
      </w:tabs>
      <w:autoSpaceDE/>
      <w:autoSpaceDN/>
      <w:adjustRightInd/>
      <w:snapToGrid w:val="0"/>
      <w:spacing w:before="60"/>
      <w:ind w:left="403"/>
    </w:pPr>
    <w:rPr>
      <w:rFonts w:cs="Arial"/>
      <w:noProof/>
      <w:szCs w:val="24"/>
      <w:lang w:eastAsia="en-GB"/>
    </w:rPr>
  </w:style>
  <w:style w:type="paragraph" w:styleId="TOC4">
    <w:name w:val="toc 4"/>
    <w:basedOn w:val="Normal"/>
    <w:next w:val="Normal"/>
    <w:uiPriority w:val="39"/>
    <w:rsid w:val="009666AF"/>
    <w:pPr>
      <w:tabs>
        <w:tab w:val="left" w:pos="1680"/>
        <w:tab w:val="right" w:leader="dot" w:pos="13892"/>
      </w:tabs>
      <w:autoSpaceDE/>
      <w:autoSpaceDN/>
      <w:adjustRightInd/>
      <w:snapToGrid w:val="0"/>
      <w:spacing w:before="60"/>
      <w:ind w:left="601"/>
    </w:pPr>
    <w:rPr>
      <w:rFonts w:cs="Arial"/>
      <w:noProof/>
      <w:szCs w:val="24"/>
      <w:lang w:eastAsia="en-GB"/>
    </w:rPr>
  </w:style>
  <w:style w:type="paragraph" w:styleId="BalloonText">
    <w:name w:val="Balloon Text"/>
    <w:basedOn w:val="Normal"/>
    <w:semiHidden/>
    <w:rsid w:val="00305015"/>
    <w:rPr>
      <w:rFonts w:ascii="Tahoma" w:hAnsi="Tahoma" w:cs="Tahoma"/>
      <w:sz w:val="16"/>
      <w:szCs w:val="16"/>
    </w:rPr>
  </w:style>
  <w:style w:type="paragraph" w:customStyle="1" w:styleId="EYTableHeadingWhite">
    <w:name w:val="EY Table Heading (White)"/>
    <w:basedOn w:val="EYTableNormal"/>
    <w:qFormat/>
    <w:rsid w:val="00B16478"/>
    <w:pPr>
      <w:spacing w:before="60" w:after="60"/>
    </w:pPr>
    <w:rPr>
      <w:b/>
      <w:bCs/>
      <w:color w:val="FFFFFF"/>
    </w:rPr>
  </w:style>
  <w:style w:type="character" w:styleId="EndnoteReference">
    <w:name w:val="endnote reference"/>
    <w:basedOn w:val="DefaultParagraphFont"/>
    <w:semiHidden/>
    <w:rsid w:val="00305015"/>
    <w:rPr>
      <w:vertAlign w:val="superscript"/>
    </w:rPr>
  </w:style>
  <w:style w:type="paragraph" w:styleId="EndnoteText">
    <w:name w:val="endnote text"/>
    <w:basedOn w:val="Normal"/>
    <w:semiHidden/>
    <w:rsid w:val="00305015"/>
  </w:style>
  <w:style w:type="paragraph" w:customStyle="1" w:styleId="EYCoverDate">
    <w:name w:val="EY Cover Date"/>
    <w:basedOn w:val="EYNormal"/>
    <w:rsid w:val="00A24C89"/>
    <w:pPr>
      <w:autoSpaceDE/>
      <w:autoSpaceDN/>
      <w:adjustRightInd/>
      <w:spacing w:line="420" w:lineRule="atLeast"/>
    </w:pPr>
    <w:rPr>
      <w:b/>
      <w:color w:val="333333"/>
      <w:szCs w:val="24"/>
    </w:rPr>
  </w:style>
  <w:style w:type="paragraph" w:customStyle="1" w:styleId="EYCoverSubTitle">
    <w:name w:val="EY Cover SubTitle"/>
    <w:basedOn w:val="EYNormal"/>
    <w:rsid w:val="00A24C89"/>
    <w:pPr>
      <w:spacing w:line="420" w:lineRule="atLeast"/>
    </w:pPr>
    <w:rPr>
      <w:rFonts w:ascii="EYInterstate Regular" w:hAnsi="EYInterstate Regular"/>
      <w:color w:val="333333"/>
      <w:sz w:val="28"/>
      <w:szCs w:val="24"/>
    </w:rPr>
  </w:style>
  <w:style w:type="character" w:styleId="FootnoteReference">
    <w:name w:val="footnote reference"/>
    <w:aliases w:val="fr"/>
    <w:basedOn w:val="DefaultParagraphFont"/>
    <w:uiPriority w:val="99"/>
    <w:rsid w:val="00B16478"/>
    <w:rPr>
      <w:rFonts w:ascii="EYInterstate Light" w:hAnsi="EYInterstate Light"/>
      <w:position w:val="0"/>
      <w:sz w:val="20"/>
      <w:szCs w:val="20"/>
      <w:vertAlign w:val="superscript"/>
    </w:rPr>
  </w:style>
  <w:style w:type="character" w:customStyle="1" w:styleId="FootnoteTextChar">
    <w:name w:val="Footnote Text Char"/>
    <w:aliases w:val="fn Char,FT Char,ft Char,SD Footnote Text Char,Footnote Text AG Char"/>
    <w:basedOn w:val="DefaultParagraphFont"/>
    <w:link w:val="FootnoteText"/>
    <w:semiHidden/>
    <w:rsid w:val="00B16478"/>
    <w:rPr>
      <w:rFonts w:ascii="EYInterstate Light" w:hAnsi="EYInterstate Light"/>
      <w:sz w:val="16"/>
    </w:rPr>
  </w:style>
  <w:style w:type="paragraph" w:styleId="FootnoteText">
    <w:name w:val="footnote text"/>
    <w:aliases w:val="fn,FT,ft,SD Footnote Text,Footnote Text AG"/>
    <w:basedOn w:val="Normal"/>
    <w:link w:val="FootnoteTextChar"/>
    <w:semiHidden/>
    <w:rsid w:val="00B16478"/>
    <w:pPr>
      <w:keepNext/>
      <w:keepLines/>
    </w:pPr>
    <w:rPr>
      <w:sz w:val="16"/>
    </w:rPr>
  </w:style>
  <w:style w:type="numbering" w:customStyle="1" w:styleId="StyleNumbered">
    <w:name w:val="Style Numbered"/>
    <w:basedOn w:val="NoList"/>
    <w:rsid w:val="00305015"/>
    <w:pPr>
      <w:numPr>
        <w:numId w:val="1"/>
      </w:numPr>
    </w:pPr>
  </w:style>
  <w:style w:type="paragraph" w:styleId="Caption">
    <w:name w:val="caption"/>
    <w:basedOn w:val="Normal"/>
    <w:next w:val="Normal"/>
    <w:unhideWhenUsed/>
    <w:qFormat/>
    <w:rsid w:val="002B0627"/>
    <w:pPr>
      <w:spacing w:after="60"/>
    </w:pPr>
    <w:rPr>
      <w:b/>
      <w:bCs/>
      <w:color w:val="808080"/>
      <w:szCs w:val="18"/>
    </w:rPr>
  </w:style>
  <w:style w:type="paragraph" w:customStyle="1" w:styleId="EYBulletnoparaspace">
    <w:name w:val="EY Bullet (no para space)"/>
    <w:basedOn w:val="EYNormal"/>
    <w:qFormat/>
    <w:rsid w:val="00BA2F93"/>
    <w:pPr>
      <w:numPr>
        <w:numId w:val="6"/>
      </w:numPr>
      <w:autoSpaceDE/>
      <w:autoSpaceDN/>
      <w:adjustRightInd/>
      <w:contextualSpacing/>
    </w:pPr>
    <w:rPr>
      <w:szCs w:val="24"/>
    </w:rPr>
  </w:style>
  <w:style w:type="paragraph" w:customStyle="1" w:styleId="EYBulletedText1">
    <w:name w:val="EY Bulleted Text 1"/>
    <w:basedOn w:val="EYNormal"/>
    <w:qFormat/>
    <w:rsid w:val="00A24C89"/>
    <w:pPr>
      <w:numPr>
        <w:numId w:val="5"/>
      </w:numPr>
      <w:autoSpaceDE/>
      <w:autoSpaceDN/>
      <w:adjustRightInd/>
      <w:spacing w:after="240"/>
    </w:pPr>
    <w:rPr>
      <w:szCs w:val="24"/>
    </w:rPr>
  </w:style>
  <w:style w:type="paragraph" w:customStyle="1" w:styleId="EYBulletedText2">
    <w:name w:val="EY Bulleted Text 2"/>
    <w:basedOn w:val="EYNormal"/>
    <w:qFormat/>
    <w:rsid w:val="00A24C89"/>
    <w:pPr>
      <w:numPr>
        <w:ilvl w:val="1"/>
        <w:numId w:val="5"/>
      </w:numPr>
      <w:suppressAutoHyphens/>
      <w:autoSpaceDE/>
      <w:autoSpaceDN/>
      <w:adjustRightInd/>
      <w:spacing w:after="240"/>
    </w:pPr>
    <w:rPr>
      <w:kern w:val="12"/>
      <w:szCs w:val="24"/>
    </w:rPr>
  </w:style>
  <w:style w:type="paragraph" w:customStyle="1" w:styleId="EYBulletedText3">
    <w:name w:val="EY Bulleted Text 3"/>
    <w:basedOn w:val="EYNormal"/>
    <w:qFormat/>
    <w:rsid w:val="00A24C89"/>
    <w:pPr>
      <w:numPr>
        <w:ilvl w:val="2"/>
        <w:numId w:val="5"/>
      </w:numPr>
      <w:spacing w:after="240"/>
    </w:pPr>
    <w:rPr>
      <w:szCs w:val="24"/>
    </w:rPr>
  </w:style>
  <w:style w:type="paragraph" w:customStyle="1" w:styleId="EYLeader">
    <w:name w:val="EY Leader"/>
    <w:basedOn w:val="EYNormal"/>
    <w:next w:val="EYBodytextwithparaspace"/>
    <w:qFormat/>
    <w:rsid w:val="00B16478"/>
    <w:pPr>
      <w:spacing w:after="280" w:line="280" w:lineRule="atLeast"/>
    </w:pPr>
    <w:rPr>
      <w:color w:val="808080"/>
    </w:rPr>
  </w:style>
  <w:style w:type="paragraph" w:customStyle="1" w:styleId="EY1Number">
    <w:name w:val="EY1 ( Number)"/>
    <w:basedOn w:val="EYNormal"/>
    <w:qFormat/>
    <w:rsid w:val="00183726"/>
    <w:pPr>
      <w:numPr>
        <w:numId w:val="9"/>
      </w:numPr>
      <w:autoSpaceDE/>
      <w:autoSpaceDN/>
      <w:adjustRightInd/>
      <w:spacing w:after="240"/>
    </w:pPr>
    <w:rPr>
      <w:kern w:val="12"/>
      <w:szCs w:val="24"/>
      <w:lang w:eastAsia="en-AU"/>
    </w:rPr>
  </w:style>
  <w:style w:type="paragraph" w:customStyle="1" w:styleId="EY2Letter">
    <w:name w:val="EY2 ( Letter)"/>
    <w:basedOn w:val="EY1Number"/>
    <w:qFormat/>
    <w:rsid w:val="00183726"/>
    <w:pPr>
      <w:numPr>
        <w:ilvl w:val="1"/>
      </w:numPr>
    </w:pPr>
  </w:style>
  <w:style w:type="paragraph" w:customStyle="1" w:styleId="EY3Roman">
    <w:name w:val="EY3 (Roman)"/>
    <w:basedOn w:val="EY1Number"/>
    <w:qFormat/>
    <w:rsid w:val="00183726"/>
    <w:pPr>
      <w:numPr>
        <w:ilvl w:val="2"/>
      </w:numPr>
    </w:pPr>
  </w:style>
  <w:style w:type="numbering" w:customStyle="1" w:styleId="EYBulletList">
    <w:name w:val="EYBulletList"/>
    <w:uiPriority w:val="99"/>
    <w:rsid w:val="00B16478"/>
    <w:pPr>
      <w:numPr>
        <w:numId w:val="5"/>
      </w:numPr>
    </w:pPr>
  </w:style>
  <w:style w:type="numbering" w:customStyle="1" w:styleId="EYPlainBulletList">
    <w:name w:val="EYPlainBulletList"/>
    <w:uiPriority w:val="99"/>
    <w:rsid w:val="00B16478"/>
    <w:pPr>
      <w:numPr>
        <w:numId w:val="6"/>
      </w:numPr>
    </w:pPr>
  </w:style>
  <w:style w:type="numbering" w:customStyle="1" w:styleId="EYAlphaNumList">
    <w:name w:val="EYAlphaNumList"/>
    <w:uiPriority w:val="99"/>
    <w:rsid w:val="00183726"/>
    <w:pPr>
      <w:numPr>
        <w:numId w:val="8"/>
      </w:numPr>
    </w:pPr>
  </w:style>
  <w:style w:type="paragraph" w:styleId="NormalWeb">
    <w:name w:val="Normal (Web)"/>
    <w:basedOn w:val="Normal"/>
    <w:uiPriority w:val="99"/>
    <w:semiHidden/>
    <w:unhideWhenUsed/>
    <w:rsid w:val="0071275C"/>
    <w:pPr>
      <w:autoSpaceDE/>
      <w:autoSpaceDN/>
      <w:adjustRightInd/>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5A3149"/>
    <w:rPr>
      <w:sz w:val="16"/>
      <w:szCs w:val="16"/>
    </w:rPr>
  </w:style>
  <w:style w:type="paragraph" w:styleId="CommentText">
    <w:name w:val="annotation text"/>
    <w:basedOn w:val="Normal"/>
    <w:link w:val="CommentTextChar"/>
    <w:uiPriority w:val="99"/>
    <w:semiHidden/>
    <w:unhideWhenUsed/>
    <w:rsid w:val="005A3149"/>
  </w:style>
  <w:style w:type="character" w:customStyle="1" w:styleId="CommentTextChar">
    <w:name w:val="Comment Text Char"/>
    <w:basedOn w:val="DefaultParagraphFont"/>
    <w:link w:val="CommentText"/>
    <w:uiPriority w:val="99"/>
    <w:semiHidden/>
    <w:rsid w:val="005A3149"/>
    <w:rPr>
      <w:rFonts w:ascii="EYInterstate Light" w:hAnsi="EYInterstate Light"/>
      <w:lang w:val="en-AU"/>
    </w:rPr>
  </w:style>
  <w:style w:type="paragraph" w:styleId="CommentSubject">
    <w:name w:val="annotation subject"/>
    <w:basedOn w:val="CommentText"/>
    <w:next w:val="CommentText"/>
    <w:link w:val="CommentSubjectChar"/>
    <w:unhideWhenUsed/>
    <w:rsid w:val="005A3149"/>
    <w:rPr>
      <w:b/>
      <w:bCs/>
    </w:rPr>
  </w:style>
  <w:style w:type="character" w:customStyle="1" w:styleId="CommentSubjectChar">
    <w:name w:val="Comment Subject Char"/>
    <w:basedOn w:val="CommentTextChar"/>
    <w:link w:val="CommentSubject"/>
    <w:rsid w:val="005A3149"/>
    <w:rPr>
      <w:rFonts w:ascii="EYInterstate Light" w:hAnsi="EYInterstate Light"/>
      <w:b/>
      <w:bCs/>
      <w:lang w:val="en-AU"/>
    </w:rPr>
  </w:style>
  <w:style w:type="character" w:styleId="UnresolvedMention">
    <w:name w:val="Unresolved Mention"/>
    <w:basedOn w:val="DefaultParagraphFont"/>
    <w:uiPriority w:val="99"/>
    <w:semiHidden/>
    <w:unhideWhenUsed/>
    <w:rsid w:val="00E61771"/>
    <w:rPr>
      <w:color w:val="605E5C"/>
      <w:shd w:val="clear" w:color="auto" w:fill="E1DFDD"/>
    </w:rPr>
  </w:style>
  <w:style w:type="character" w:customStyle="1" w:styleId="EYBodytextwithparaspaceChar">
    <w:name w:val="EY Body text (with para space) Char"/>
    <w:basedOn w:val="DefaultParagraphFont"/>
    <w:link w:val="EYBodytextwithparaspace"/>
    <w:rsid w:val="002171A4"/>
    <w:rPr>
      <w:rFonts w:ascii="EYInterstate Light" w:hAnsi="EYInterstate Light"/>
      <w:lang w:val="en-AU"/>
    </w:rPr>
  </w:style>
  <w:style w:type="numbering" w:customStyle="1" w:styleId="NoList1">
    <w:name w:val="No List1"/>
    <w:next w:val="NoList"/>
    <w:uiPriority w:val="99"/>
    <w:semiHidden/>
    <w:unhideWhenUsed/>
    <w:rsid w:val="00425E63"/>
  </w:style>
  <w:style w:type="character" w:styleId="FollowedHyperlink">
    <w:name w:val="FollowedHyperlink"/>
    <w:basedOn w:val="DefaultParagraphFont"/>
    <w:uiPriority w:val="99"/>
    <w:semiHidden/>
    <w:unhideWhenUsed/>
    <w:rsid w:val="00425E63"/>
    <w:rPr>
      <w:color w:val="800080"/>
      <w:u w:val="single"/>
    </w:rPr>
  </w:style>
  <w:style w:type="paragraph" w:customStyle="1" w:styleId="msonormal0">
    <w:name w:val="msonormal"/>
    <w:basedOn w:val="Normal"/>
    <w:rsid w:val="00425E63"/>
    <w:pPr>
      <w:autoSpaceDE/>
      <w:autoSpaceDN/>
      <w:adjustRightInd/>
      <w:spacing w:before="100" w:beforeAutospacing="1" w:after="100" w:afterAutospacing="1"/>
    </w:pPr>
    <w:rPr>
      <w:rFonts w:ascii="Times New Roman" w:hAnsi="Times New Roman"/>
      <w:sz w:val="24"/>
      <w:szCs w:val="24"/>
      <w:lang w:eastAsia="en-AU"/>
    </w:rPr>
  </w:style>
  <w:style w:type="paragraph" w:customStyle="1" w:styleId="font5">
    <w:name w:val="font5"/>
    <w:basedOn w:val="Normal"/>
    <w:rsid w:val="00425E63"/>
    <w:pPr>
      <w:autoSpaceDE/>
      <w:autoSpaceDN/>
      <w:adjustRightInd/>
      <w:spacing w:before="100" w:beforeAutospacing="1" w:after="100" w:afterAutospacing="1"/>
    </w:pPr>
    <w:rPr>
      <w:sz w:val="22"/>
      <w:szCs w:val="22"/>
      <w:lang w:eastAsia="en-AU"/>
    </w:rPr>
  </w:style>
  <w:style w:type="paragraph" w:customStyle="1" w:styleId="font6">
    <w:name w:val="font6"/>
    <w:basedOn w:val="Normal"/>
    <w:rsid w:val="00425E63"/>
    <w:pPr>
      <w:autoSpaceDE/>
      <w:autoSpaceDN/>
      <w:adjustRightInd/>
      <w:spacing w:before="100" w:beforeAutospacing="1" w:after="100" w:afterAutospacing="1"/>
    </w:pPr>
    <w:rPr>
      <w:sz w:val="22"/>
      <w:szCs w:val="22"/>
      <w:lang w:eastAsia="en-AU"/>
    </w:rPr>
  </w:style>
  <w:style w:type="paragraph" w:customStyle="1" w:styleId="xl69">
    <w:name w:val="xl69"/>
    <w:basedOn w:val="Normal"/>
    <w:rsid w:val="00425E63"/>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70">
    <w:name w:val="xl70"/>
    <w:basedOn w:val="Normal"/>
    <w:rsid w:val="00425E63"/>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rFonts w:ascii="Times New Roman" w:hAnsi="Times New Roman"/>
      <w:b/>
      <w:bCs/>
      <w:sz w:val="24"/>
      <w:szCs w:val="24"/>
      <w:lang w:eastAsia="en-AU"/>
    </w:rPr>
  </w:style>
  <w:style w:type="paragraph" w:customStyle="1" w:styleId="xl71">
    <w:name w:val="xl71"/>
    <w:basedOn w:val="Normal"/>
    <w:rsid w:val="00425E6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sz w:val="24"/>
      <w:szCs w:val="24"/>
      <w:lang w:eastAsia="en-AU"/>
    </w:rPr>
  </w:style>
  <w:style w:type="paragraph" w:customStyle="1" w:styleId="xl72">
    <w:name w:val="xl72"/>
    <w:basedOn w:val="Normal"/>
    <w:rsid w:val="00425E6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sz w:val="24"/>
      <w:szCs w:val="24"/>
      <w:lang w:eastAsia="en-AU"/>
    </w:rPr>
  </w:style>
  <w:style w:type="paragraph" w:customStyle="1" w:styleId="xl73">
    <w:name w:val="xl73"/>
    <w:basedOn w:val="Normal"/>
    <w:rsid w:val="00425E6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4"/>
      <w:szCs w:val="24"/>
      <w:lang w:eastAsia="en-AU"/>
    </w:rPr>
  </w:style>
  <w:style w:type="paragraph" w:customStyle="1" w:styleId="xl74">
    <w:name w:val="xl74"/>
    <w:basedOn w:val="Normal"/>
    <w:rsid w:val="00425E6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lang w:eastAsia="en-AU"/>
    </w:rPr>
  </w:style>
  <w:style w:type="paragraph" w:customStyle="1" w:styleId="xl75">
    <w:name w:val="xl75"/>
    <w:basedOn w:val="Normal"/>
    <w:rsid w:val="00425E6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4"/>
      <w:szCs w:val="24"/>
      <w:lang w:eastAsia="en-AU"/>
    </w:rPr>
  </w:style>
  <w:style w:type="paragraph" w:customStyle="1" w:styleId="xl76">
    <w:name w:val="xl76"/>
    <w:basedOn w:val="Normal"/>
    <w:rsid w:val="00425E6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sz w:val="24"/>
      <w:szCs w:val="24"/>
      <w:lang w:eastAsia="en-AU"/>
    </w:rPr>
  </w:style>
  <w:style w:type="paragraph" w:customStyle="1" w:styleId="xl77">
    <w:name w:val="xl77"/>
    <w:basedOn w:val="Normal"/>
    <w:rsid w:val="00425E6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lang w:eastAsia="en-AU"/>
    </w:rPr>
  </w:style>
  <w:style w:type="paragraph" w:customStyle="1" w:styleId="xl78">
    <w:name w:val="xl78"/>
    <w:basedOn w:val="Normal"/>
    <w:rsid w:val="00425E6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lang w:eastAsia="en-AU"/>
    </w:rPr>
  </w:style>
  <w:style w:type="paragraph" w:customStyle="1" w:styleId="xl79">
    <w:name w:val="xl79"/>
    <w:basedOn w:val="Normal"/>
    <w:rsid w:val="00425E63"/>
    <w:pPr>
      <w:autoSpaceDE/>
      <w:autoSpaceDN/>
      <w:adjustRightInd/>
      <w:spacing w:before="100" w:beforeAutospacing="1" w:after="100" w:afterAutospacing="1"/>
      <w:textAlignment w:val="center"/>
    </w:pPr>
    <w:rPr>
      <w:rFonts w:cs="Arial"/>
      <w:sz w:val="24"/>
      <w:szCs w:val="24"/>
      <w:lang w:eastAsia="en-AU"/>
    </w:rPr>
  </w:style>
  <w:style w:type="paragraph" w:customStyle="1" w:styleId="xl80">
    <w:name w:val="xl80"/>
    <w:basedOn w:val="Normal"/>
    <w:rsid w:val="00425E6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cs="Arial"/>
      <w:sz w:val="24"/>
      <w:szCs w:val="24"/>
      <w:lang w:eastAsia="en-AU"/>
    </w:rPr>
  </w:style>
  <w:style w:type="paragraph" w:customStyle="1" w:styleId="xl81">
    <w:name w:val="xl81"/>
    <w:basedOn w:val="Normal"/>
    <w:rsid w:val="00425E6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4"/>
      <w:szCs w:val="24"/>
      <w:lang w:eastAsia="en-AU"/>
    </w:rPr>
  </w:style>
  <w:style w:type="paragraph" w:customStyle="1" w:styleId="xl82">
    <w:name w:val="xl82"/>
    <w:basedOn w:val="Normal"/>
    <w:rsid w:val="00425E63"/>
    <w:pPr>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sz w:val="24"/>
      <w:szCs w:val="24"/>
      <w:lang w:eastAsia="en-AU"/>
    </w:rPr>
  </w:style>
  <w:style w:type="paragraph" w:customStyle="1" w:styleId="xl83">
    <w:name w:val="xl83"/>
    <w:basedOn w:val="Normal"/>
    <w:rsid w:val="00425E63"/>
    <w:pPr>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sz w:val="24"/>
      <w:szCs w:val="24"/>
      <w:lang w:eastAsia="en-AU"/>
    </w:rPr>
  </w:style>
  <w:style w:type="paragraph" w:customStyle="1" w:styleId="xl84">
    <w:name w:val="xl84"/>
    <w:basedOn w:val="Normal"/>
    <w:rsid w:val="00425E63"/>
    <w:pPr>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sz w:val="24"/>
      <w:szCs w:val="24"/>
      <w:lang w:eastAsia="en-AU"/>
    </w:rPr>
  </w:style>
  <w:style w:type="paragraph" w:customStyle="1" w:styleId="xl85">
    <w:name w:val="xl85"/>
    <w:basedOn w:val="Normal"/>
    <w:rsid w:val="00425E63"/>
    <w:pPr>
      <w:pBdr>
        <w:left w:val="single" w:sz="4" w:space="0" w:color="auto"/>
        <w:right w:val="single" w:sz="4" w:space="0" w:color="auto"/>
      </w:pBdr>
      <w:shd w:val="clear" w:color="000000" w:fill="FF6D00"/>
      <w:autoSpaceDE/>
      <w:autoSpaceDN/>
      <w:adjustRightInd/>
      <w:spacing w:before="100" w:beforeAutospacing="1" w:after="100" w:afterAutospacing="1"/>
      <w:textAlignment w:val="center"/>
    </w:pPr>
    <w:rPr>
      <w:b/>
      <w:bCs/>
      <w:color w:val="FFFFFF"/>
      <w:sz w:val="24"/>
      <w:szCs w:val="24"/>
      <w:lang w:eastAsia="en-AU"/>
    </w:rPr>
  </w:style>
  <w:style w:type="paragraph" w:customStyle="1" w:styleId="xl86">
    <w:name w:val="xl86"/>
    <w:basedOn w:val="Normal"/>
    <w:rsid w:val="00425E63"/>
    <w:pPr>
      <w:pBdr>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eastAsia="en-AU"/>
    </w:rPr>
  </w:style>
  <w:style w:type="paragraph" w:customStyle="1" w:styleId="xl87">
    <w:name w:val="xl87"/>
    <w:basedOn w:val="Normal"/>
    <w:rsid w:val="00425E63"/>
    <w:pPr>
      <w:autoSpaceDE/>
      <w:autoSpaceDN/>
      <w:adjustRightInd/>
      <w:spacing w:before="100" w:beforeAutospacing="1" w:after="100" w:afterAutospacing="1"/>
    </w:pPr>
    <w:rPr>
      <w:b/>
      <w:bCs/>
      <w:sz w:val="24"/>
      <w:szCs w:val="24"/>
      <w:u w:val="single"/>
      <w:lang w:eastAsia="en-AU"/>
    </w:rPr>
  </w:style>
  <w:style w:type="paragraph" w:customStyle="1" w:styleId="xl88">
    <w:name w:val="xl88"/>
    <w:basedOn w:val="Normal"/>
    <w:rsid w:val="00425E63"/>
    <w:pPr>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hAnsi="Times New Roman"/>
      <w:sz w:val="24"/>
      <w:szCs w:val="24"/>
      <w:lang w:eastAsia="en-AU"/>
    </w:rPr>
  </w:style>
  <w:style w:type="paragraph" w:customStyle="1" w:styleId="xl89">
    <w:name w:val="xl89"/>
    <w:basedOn w:val="Normal"/>
    <w:rsid w:val="00425E63"/>
    <w:pPr>
      <w:autoSpaceDE/>
      <w:autoSpaceDN/>
      <w:adjustRightInd/>
      <w:spacing w:before="100" w:beforeAutospacing="1" w:after="100" w:afterAutospacing="1"/>
      <w:textAlignment w:val="top"/>
    </w:pPr>
    <w:rPr>
      <w:sz w:val="24"/>
      <w:szCs w:val="24"/>
      <w:lang w:eastAsia="en-AU"/>
    </w:rPr>
  </w:style>
  <w:style w:type="paragraph" w:customStyle="1" w:styleId="xl90">
    <w:name w:val="xl90"/>
    <w:basedOn w:val="Normal"/>
    <w:rsid w:val="00425E63"/>
    <w:pPr>
      <w:pBdr>
        <w:top w:val="single" w:sz="4" w:space="0" w:color="auto"/>
        <w:left w:val="single" w:sz="4" w:space="0" w:color="auto"/>
        <w:bottom w:val="single" w:sz="4" w:space="0" w:color="auto"/>
        <w:right w:val="single" w:sz="4" w:space="0" w:color="auto"/>
      </w:pBdr>
      <w:shd w:val="clear" w:color="000000" w:fill="FFE600"/>
      <w:autoSpaceDE/>
      <w:autoSpaceDN/>
      <w:adjustRightInd/>
      <w:spacing w:before="100" w:beforeAutospacing="1" w:after="100" w:afterAutospacing="1"/>
    </w:pPr>
    <w:rPr>
      <w:rFonts w:ascii="Times New Roman" w:hAnsi="Times New Roman"/>
      <w:sz w:val="24"/>
      <w:szCs w:val="24"/>
      <w:lang w:eastAsia="en-AU"/>
    </w:rPr>
  </w:style>
  <w:style w:type="paragraph" w:customStyle="1" w:styleId="xl91">
    <w:name w:val="xl91"/>
    <w:basedOn w:val="Normal"/>
    <w:rsid w:val="00425E6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lang w:eastAsia="en-AU"/>
    </w:rPr>
  </w:style>
  <w:style w:type="paragraph" w:customStyle="1" w:styleId="xl92">
    <w:name w:val="xl92"/>
    <w:basedOn w:val="Normal"/>
    <w:rsid w:val="00425E63"/>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top"/>
    </w:pPr>
    <w:rPr>
      <w:rFonts w:ascii="Times New Roman" w:hAnsi="Times New Roman"/>
      <w:b/>
      <w:bCs/>
      <w:sz w:val="24"/>
      <w:szCs w:val="24"/>
      <w:lang w:eastAsia="en-AU"/>
    </w:rPr>
  </w:style>
  <w:style w:type="paragraph" w:customStyle="1" w:styleId="xl93">
    <w:name w:val="xl93"/>
    <w:basedOn w:val="Normal"/>
    <w:rsid w:val="00425E63"/>
    <w:pPr>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rFonts w:ascii="Times New Roman" w:hAnsi="Times New Roman"/>
      <w:b/>
      <w:bCs/>
      <w:sz w:val="24"/>
      <w:szCs w:val="24"/>
      <w:lang w:eastAsia="en-AU"/>
    </w:rPr>
  </w:style>
  <w:style w:type="paragraph" w:customStyle="1" w:styleId="xl94">
    <w:name w:val="xl94"/>
    <w:basedOn w:val="Normal"/>
    <w:rsid w:val="00425E63"/>
    <w:pPr>
      <w:pBdr>
        <w:top w:val="single" w:sz="4" w:space="0" w:color="auto"/>
        <w:bottom w:val="single" w:sz="4" w:space="0" w:color="auto"/>
      </w:pBdr>
      <w:shd w:val="clear" w:color="000000" w:fill="D9D9D9"/>
      <w:autoSpaceDE/>
      <w:autoSpaceDN/>
      <w:adjustRightInd/>
      <w:spacing w:before="100" w:beforeAutospacing="1" w:after="100" w:afterAutospacing="1"/>
      <w:textAlignment w:val="center"/>
    </w:pPr>
    <w:rPr>
      <w:rFonts w:ascii="Times New Roman" w:hAnsi="Times New Roman"/>
      <w:b/>
      <w:bCs/>
      <w:sz w:val="24"/>
      <w:szCs w:val="24"/>
      <w:lang w:eastAsia="en-AU"/>
    </w:rPr>
  </w:style>
  <w:style w:type="paragraph" w:customStyle="1" w:styleId="xl95">
    <w:name w:val="xl95"/>
    <w:basedOn w:val="Normal"/>
    <w:rsid w:val="00425E63"/>
    <w:pPr>
      <w:pBdr>
        <w:top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rFonts w:ascii="Times New Roman" w:hAnsi="Times New Roman"/>
      <w:b/>
      <w:bCs/>
      <w:sz w:val="24"/>
      <w:szCs w:val="24"/>
      <w:lang w:eastAsia="en-AU"/>
    </w:rPr>
  </w:style>
  <w:style w:type="paragraph" w:customStyle="1" w:styleId="xl96">
    <w:name w:val="xl96"/>
    <w:basedOn w:val="Normal"/>
    <w:rsid w:val="00425E63"/>
    <w:pPr>
      <w:pBdr>
        <w:top w:val="single" w:sz="4" w:space="0" w:color="auto"/>
        <w:left w:val="single" w:sz="4" w:space="0" w:color="auto"/>
        <w:bottom w:val="single" w:sz="4" w:space="0" w:color="auto"/>
        <w:right w:val="single" w:sz="4" w:space="0" w:color="auto"/>
      </w:pBdr>
      <w:shd w:val="clear" w:color="000000" w:fill="A6A6A6"/>
      <w:autoSpaceDE/>
      <w:autoSpaceDN/>
      <w:adjustRightInd/>
      <w:spacing w:before="100" w:beforeAutospacing="1" w:after="100" w:afterAutospacing="1"/>
    </w:pPr>
    <w:rPr>
      <w:rFonts w:ascii="Times New Roman" w:hAnsi="Times New Roman"/>
      <w:sz w:val="24"/>
      <w:szCs w:val="24"/>
      <w:lang w:eastAsia="en-AU"/>
    </w:rPr>
  </w:style>
  <w:style w:type="paragraph" w:customStyle="1" w:styleId="xl97">
    <w:name w:val="xl97"/>
    <w:basedOn w:val="Normal"/>
    <w:rsid w:val="00425E63"/>
    <w:pPr>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rFonts w:ascii="Times New Roman" w:hAnsi="Times New Roman"/>
      <w:b/>
      <w:bCs/>
      <w:sz w:val="24"/>
      <w:szCs w:val="24"/>
      <w:lang w:eastAsia="en-AU"/>
    </w:rPr>
  </w:style>
  <w:style w:type="paragraph" w:customStyle="1" w:styleId="xl98">
    <w:name w:val="xl98"/>
    <w:basedOn w:val="Normal"/>
    <w:rsid w:val="00425E63"/>
    <w:pPr>
      <w:pBdr>
        <w:top w:val="single" w:sz="4" w:space="0" w:color="auto"/>
        <w:left w:val="single" w:sz="4" w:space="0" w:color="auto"/>
        <w:right w:val="single" w:sz="4" w:space="0" w:color="auto"/>
      </w:pBdr>
      <w:shd w:val="clear" w:color="000000" w:fill="A6A6A6"/>
      <w:autoSpaceDE/>
      <w:autoSpaceDN/>
      <w:adjustRightInd/>
      <w:spacing w:before="100" w:beforeAutospacing="1" w:after="100" w:afterAutospacing="1"/>
      <w:jc w:val="center"/>
      <w:textAlignment w:val="center"/>
    </w:pPr>
    <w:rPr>
      <w:rFonts w:ascii="Times New Roman" w:hAnsi="Times New Roman"/>
      <w:sz w:val="24"/>
      <w:szCs w:val="24"/>
      <w:lang w:eastAsia="en-AU"/>
    </w:rPr>
  </w:style>
  <w:style w:type="paragraph" w:customStyle="1" w:styleId="xl99">
    <w:name w:val="xl99"/>
    <w:basedOn w:val="Normal"/>
    <w:rsid w:val="00425E63"/>
    <w:pPr>
      <w:pBdr>
        <w:left w:val="single" w:sz="4" w:space="0" w:color="auto"/>
        <w:bottom w:val="single" w:sz="4" w:space="0" w:color="auto"/>
        <w:right w:val="single" w:sz="4" w:space="0" w:color="auto"/>
      </w:pBdr>
      <w:shd w:val="clear" w:color="000000" w:fill="A6A6A6"/>
      <w:autoSpaceDE/>
      <w:autoSpaceDN/>
      <w:adjustRightInd/>
      <w:spacing w:before="100" w:beforeAutospacing="1" w:after="100" w:afterAutospacing="1"/>
      <w:jc w:val="center"/>
      <w:textAlignment w:val="center"/>
    </w:pPr>
    <w:rPr>
      <w:rFonts w:ascii="Times New Roman" w:hAnsi="Times New Roman"/>
      <w:sz w:val="24"/>
      <w:szCs w:val="24"/>
      <w:lang w:eastAsia="en-AU"/>
    </w:rPr>
  </w:style>
  <w:style w:type="paragraph" w:customStyle="1" w:styleId="xl100">
    <w:name w:val="xl100"/>
    <w:basedOn w:val="Normal"/>
    <w:rsid w:val="00425E6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4"/>
      <w:szCs w:val="24"/>
      <w:lang w:eastAsia="en-AU"/>
    </w:rPr>
  </w:style>
  <w:style w:type="paragraph" w:customStyle="1" w:styleId="xl101">
    <w:name w:val="xl101"/>
    <w:basedOn w:val="Normal"/>
    <w:rsid w:val="00425E63"/>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4"/>
      <w:szCs w:val="24"/>
      <w:lang w:eastAsia="en-AU"/>
    </w:rPr>
  </w:style>
  <w:style w:type="paragraph" w:customStyle="1" w:styleId="xl102">
    <w:name w:val="xl102"/>
    <w:basedOn w:val="Normal"/>
    <w:rsid w:val="00425E63"/>
    <w:pPr>
      <w:pBdr>
        <w:top w:val="single" w:sz="4" w:space="0" w:color="auto"/>
        <w:left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rFonts w:ascii="Times New Roman" w:hAnsi="Times New Roman"/>
      <w:sz w:val="24"/>
      <w:szCs w:val="24"/>
      <w:lang w:eastAsia="en-AU"/>
    </w:rPr>
  </w:style>
  <w:style w:type="paragraph" w:customStyle="1" w:styleId="xl103">
    <w:name w:val="xl103"/>
    <w:basedOn w:val="Normal"/>
    <w:rsid w:val="00425E63"/>
    <w:pPr>
      <w:pBdr>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rFonts w:ascii="Times New Roman" w:hAnsi="Times New Roman"/>
      <w:sz w:val="24"/>
      <w:szCs w:val="24"/>
      <w:lang w:eastAsia="en-AU"/>
    </w:rPr>
  </w:style>
  <w:style w:type="paragraph" w:customStyle="1" w:styleId="xl104">
    <w:name w:val="xl104"/>
    <w:basedOn w:val="Normal"/>
    <w:rsid w:val="00425E6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eastAsia="en-AU"/>
    </w:rPr>
  </w:style>
  <w:style w:type="paragraph" w:customStyle="1" w:styleId="xl105">
    <w:name w:val="xl105"/>
    <w:basedOn w:val="Normal"/>
    <w:rsid w:val="00425E63"/>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eastAsia="en-AU"/>
    </w:rPr>
  </w:style>
  <w:style w:type="paragraph" w:customStyle="1" w:styleId="xl106">
    <w:name w:val="xl106"/>
    <w:basedOn w:val="Normal"/>
    <w:rsid w:val="00425E63"/>
    <w:pPr>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sz w:val="24"/>
      <w:szCs w:val="24"/>
      <w:lang w:eastAsia="en-AU"/>
    </w:rPr>
  </w:style>
  <w:style w:type="paragraph" w:customStyle="1" w:styleId="xl107">
    <w:name w:val="xl107"/>
    <w:basedOn w:val="Normal"/>
    <w:rsid w:val="00425E63"/>
    <w:pPr>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center"/>
    </w:pPr>
    <w:rPr>
      <w:b/>
      <w:bCs/>
      <w:color w:val="FFFFFF"/>
      <w:sz w:val="24"/>
      <w:szCs w:val="24"/>
      <w:lang w:eastAsia="en-AU"/>
    </w:rPr>
  </w:style>
  <w:style w:type="paragraph" w:customStyle="1" w:styleId="xl108">
    <w:name w:val="xl108"/>
    <w:basedOn w:val="Normal"/>
    <w:rsid w:val="00425E6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eastAsia="en-AU"/>
    </w:rPr>
  </w:style>
  <w:style w:type="paragraph" w:customStyle="1" w:styleId="xl109">
    <w:name w:val="xl109"/>
    <w:basedOn w:val="Normal"/>
    <w:rsid w:val="00425E63"/>
    <w:pPr>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sz w:val="24"/>
      <w:szCs w:val="24"/>
      <w:lang w:eastAsia="en-AU"/>
    </w:rPr>
  </w:style>
  <w:style w:type="paragraph" w:customStyle="1" w:styleId="xl110">
    <w:name w:val="xl110"/>
    <w:basedOn w:val="Normal"/>
    <w:rsid w:val="00425E63"/>
    <w:pPr>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b/>
      <w:bCs/>
      <w:sz w:val="24"/>
      <w:szCs w:val="24"/>
      <w:lang w:eastAsia="en-AU"/>
    </w:rPr>
  </w:style>
  <w:style w:type="paragraph" w:customStyle="1" w:styleId="xl111">
    <w:name w:val="xl111"/>
    <w:basedOn w:val="Normal"/>
    <w:rsid w:val="00425E63"/>
    <w:pPr>
      <w:pBdr>
        <w:left w:val="single" w:sz="4" w:space="0" w:color="auto"/>
        <w:right w:val="single" w:sz="4" w:space="0" w:color="auto"/>
      </w:pBdr>
      <w:autoSpaceDE/>
      <w:autoSpaceDN/>
      <w:adjustRightInd/>
      <w:spacing w:before="100" w:beforeAutospacing="1" w:after="100" w:afterAutospacing="1"/>
      <w:textAlignment w:val="center"/>
    </w:pPr>
    <w:rPr>
      <w:b/>
      <w:bCs/>
      <w:sz w:val="24"/>
      <w:szCs w:val="24"/>
      <w:lang w:eastAsia="en-AU"/>
    </w:rPr>
  </w:style>
  <w:style w:type="paragraph" w:customStyle="1" w:styleId="xl112">
    <w:name w:val="xl112"/>
    <w:basedOn w:val="Normal"/>
    <w:rsid w:val="00425E63"/>
    <w:pPr>
      <w:pBdr>
        <w:top w:val="single" w:sz="4" w:space="0" w:color="auto"/>
        <w:left w:val="single" w:sz="4" w:space="0" w:color="auto"/>
        <w:right w:val="single" w:sz="4" w:space="0" w:color="auto"/>
      </w:pBdr>
      <w:shd w:val="clear" w:color="000000" w:fill="2DB757"/>
      <w:autoSpaceDE/>
      <w:autoSpaceDN/>
      <w:adjustRightInd/>
      <w:spacing w:before="100" w:beforeAutospacing="1" w:after="100" w:afterAutospacing="1"/>
      <w:jc w:val="center"/>
      <w:textAlignment w:val="center"/>
    </w:pPr>
    <w:rPr>
      <w:b/>
      <w:bCs/>
      <w:color w:val="FFFFFF"/>
      <w:sz w:val="24"/>
      <w:szCs w:val="24"/>
      <w:lang w:eastAsia="en-AU"/>
    </w:rPr>
  </w:style>
  <w:style w:type="paragraph" w:customStyle="1" w:styleId="xl113">
    <w:name w:val="xl113"/>
    <w:basedOn w:val="Normal"/>
    <w:rsid w:val="00425E63"/>
    <w:pPr>
      <w:pBdr>
        <w:left w:val="single" w:sz="4" w:space="0" w:color="auto"/>
        <w:right w:val="single" w:sz="4" w:space="0" w:color="auto"/>
      </w:pBdr>
      <w:shd w:val="clear" w:color="000000" w:fill="2DB757"/>
      <w:autoSpaceDE/>
      <w:autoSpaceDN/>
      <w:adjustRightInd/>
      <w:spacing w:before="100" w:beforeAutospacing="1" w:after="100" w:afterAutospacing="1"/>
      <w:jc w:val="center"/>
      <w:textAlignment w:val="center"/>
    </w:pPr>
    <w:rPr>
      <w:b/>
      <w:bCs/>
      <w:color w:val="FFFFFF"/>
      <w:sz w:val="24"/>
      <w:szCs w:val="24"/>
      <w:lang w:eastAsia="en-AU"/>
    </w:rPr>
  </w:style>
  <w:style w:type="paragraph" w:customStyle="1" w:styleId="xl114">
    <w:name w:val="xl114"/>
    <w:basedOn w:val="Normal"/>
    <w:rsid w:val="00425E63"/>
    <w:pPr>
      <w:pBdr>
        <w:left w:val="single" w:sz="4" w:space="0" w:color="auto"/>
        <w:bottom w:val="single" w:sz="4" w:space="0" w:color="auto"/>
        <w:right w:val="single" w:sz="4" w:space="0" w:color="auto"/>
      </w:pBdr>
      <w:shd w:val="clear" w:color="000000" w:fill="2DB757"/>
      <w:autoSpaceDE/>
      <w:autoSpaceDN/>
      <w:adjustRightInd/>
      <w:spacing w:before="100" w:beforeAutospacing="1" w:after="100" w:afterAutospacing="1"/>
      <w:jc w:val="center"/>
      <w:textAlignment w:val="center"/>
    </w:pPr>
    <w:rPr>
      <w:b/>
      <w:bCs/>
      <w:color w:val="FFFFFF"/>
      <w:sz w:val="24"/>
      <w:szCs w:val="24"/>
      <w:lang w:eastAsia="en-AU"/>
    </w:rPr>
  </w:style>
  <w:style w:type="paragraph" w:customStyle="1" w:styleId="xl115">
    <w:name w:val="xl115"/>
    <w:basedOn w:val="Normal"/>
    <w:rsid w:val="00425E6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4"/>
      <w:szCs w:val="24"/>
      <w:lang w:eastAsia="en-AU"/>
    </w:rPr>
  </w:style>
  <w:style w:type="paragraph" w:customStyle="1" w:styleId="xl116">
    <w:name w:val="xl116"/>
    <w:basedOn w:val="Normal"/>
    <w:rsid w:val="00425E63"/>
    <w:pPr>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4"/>
      <w:szCs w:val="24"/>
      <w:lang w:eastAsia="en-AU"/>
    </w:rPr>
  </w:style>
  <w:style w:type="paragraph" w:customStyle="1" w:styleId="xl117">
    <w:name w:val="xl117"/>
    <w:basedOn w:val="Normal"/>
    <w:rsid w:val="00425E63"/>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4"/>
      <w:szCs w:val="24"/>
      <w:lang w:eastAsia="en-AU"/>
    </w:rPr>
  </w:style>
  <w:style w:type="paragraph" w:customStyle="1" w:styleId="xl118">
    <w:name w:val="xl118"/>
    <w:basedOn w:val="Normal"/>
    <w:rsid w:val="00425E63"/>
    <w:pPr>
      <w:pBdr>
        <w:top w:val="single" w:sz="4" w:space="0" w:color="auto"/>
        <w:left w:val="single" w:sz="4" w:space="0" w:color="auto"/>
        <w:right w:val="single" w:sz="4" w:space="0" w:color="auto"/>
      </w:pBdr>
      <w:shd w:val="clear" w:color="000000" w:fill="FF6D00"/>
      <w:autoSpaceDE/>
      <w:autoSpaceDN/>
      <w:adjustRightInd/>
      <w:spacing w:before="100" w:beforeAutospacing="1" w:after="100" w:afterAutospacing="1"/>
      <w:textAlignment w:val="center"/>
    </w:pPr>
    <w:rPr>
      <w:b/>
      <w:bCs/>
      <w:color w:val="FFFFFF"/>
      <w:sz w:val="24"/>
      <w:szCs w:val="24"/>
      <w:lang w:eastAsia="en-AU"/>
    </w:rPr>
  </w:style>
  <w:style w:type="paragraph" w:customStyle="1" w:styleId="xl119">
    <w:name w:val="xl119"/>
    <w:basedOn w:val="Normal"/>
    <w:rsid w:val="00425E63"/>
    <w:pPr>
      <w:pBdr>
        <w:top w:val="single" w:sz="4" w:space="0" w:color="auto"/>
        <w:left w:val="single" w:sz="4" w:space="0" w:color="auto"/>
        <w:right w:val="single" w:sz="4" w:space="0" w:color="auto"/>
      </w:pBdr>
      <w:shd w:val="clear" w:color="000000" w:fill="FFC000"/>
      <w:autoSpaceDE/>
      <w:autoSpaceDN/>
      <w:adjustRightInd/>
      <w:spacing w:before="100" w:beforeAutospacing="1" w:after="100" w:afterAutospacing="1"/>
      <w:textAlignment w:val="center"/>
    </w:pPr>
    <w:rPr>
      <w:b/>
      <w:bCs/>
      <w:color w:val="FFFFFF"/>
      <w:sz w:val="24"/>
      <w:szCs w:val="24"/>
      <w:lang w:eastAsia="en-AU"/>
    </w:rPr>
  </w:style>
  <w:style w:type="paragraph" w:customStyle="1" w:styleId="xl120">
    <w:name w:val="xl120"/>
    <w:basedOn w:val="Normal"/>
    <w:rsid w:val="00425E63"/>
    <w:pPr>
      <w:pBdr>
        <w:left w:val="single" w:sz="4" w:space="0" w:color="auto"/>
        <w:right w:val="single" w:sz="4" w:space="0" w:color="auto"/>
      </w:pBdr>
      <w:shd w:val="clear" w:color="000000" w:fill="FFC000"/>
      <w:autoSpaceDE/>
      <w:autoSpaceDN/>
      <w:adjustRightInd/>
      <w:spacing w:before="100" w:beforeAutospacing="1" w:after="100" w:afterAutospacing="1"/>
      <w:textAlignment w:val="center"/>
    </w:pPr>
    <w:rPr>
      <w:b/>
      <w:bCs/>
      <w:color w:val="FFFFFF"/>
      <w:sz w:val="24"/>
      <w:szCs w:val="24"/>
      <w:lang w:eastAsia="en-AU"/>
    </w:rPr>
  </w:style>
  <w:style w:type="paragraph" w:customStyle="1" w:styleId="xl121">
    <w:name w:val="xl121"/>
    <w:basedOn w:val="Normal"/>
    <w:rsid w:val="00425E63"/>
    <w:pPr>
      <w:pBdr>
        <w:left w:val="single" w:sz="4" w:space="0" w:color="auto"/>
        <w:right w:val="single" w:sz="4" w:space="0" w:color="auto"/>
      </w:pBdr>
      <w:shd w:val="clear" w:color="000000" w:fill="0070C0"/>
      <w:autoSpaceDE/>
      <w:autoSpaceDN/>
      <w:adjustRightInd/>
      <w:spacing w:before="100" w:beforeAutospacing="1" w:after="100" w:afterAutospacing="1"/>
      <w:jc w:val="center"/>
      <w:textAlignment w:val="center"/>
    </w:pPr>
    <w:rPr>
      <w:b/>
      <w:bCs/>
      <w:color w:val="FFFFFF"/>
      <w:sz w:val="24"/>
      <w:szCs w:val="24"/>
      <w:lang w:eastAsia="en-AU"/>
    </w:rPr>
  </w:style>
  <w:style w:type="paragraph" w:customStyle="1" w:styleId="xl122">
    <w:name w:val="xl122"/>
    <w:basedOn w:val="Normal"/>
    <w:rsid w:val="00425E63"/>
    <w:pPr>
      <w:pBdr>
        <w:top w:val="single" w:sz="4" w:space="0" w:color="auto"/>
        <w:left w:val="single" w:sz="4" w:space="0" w:color="auto"/>
        <w:right w:val="single" w:sz="4" w:space="0" w:color="auto"/>
      </w:pBdr>
      <w:shd w:val="clear" w:color="000000" w:fill="7030A0"/>
      <w:autoSpaceDE/>
      <w:autoSpaceDN/>
      <w:adjustRightInd/>
      <w:spacing w:before="100" w:beforeAutospacing="1" w:after="100" w:afterAutospacing="1"/>
      <w:jc w:val="center"/>
      <w:textAlignment w:val="center"/>
    </w:pPr>
    <w:rPr>
      <w:b/>
      <w:bCs/>
      <w:color w:val="FFFFFF"/>
      <w:sz w:val="24"/>
      <w:szCs w:val="24"/>
      <w:lang w:eastAsia="en-AU"/>
    </w:rPr>
  </w:style>
  <w:style w:type="paragraph" w:customStyle="1" w:styleId="xl123">
    <w:name w:val="xl123"/>
    <w:basedOn w:val="Normal"/>
    <w:rsid w:val="00425E63"/>
    <w:pPr>
      <w:pBdr>
        <w:left w:val="single" w:sz="4" w:space="0" w:color="auto"/>
        <w:right w:val="single" w:sz="4" w:space="0" w:color="auto"/>
      </w:pBdr>
      <w:shd w:val="clear" w:color="000000" w:fill="7030A0"/>
      <w:autoSpaceDE/>
      <w:autoSpaceDN/>
      <w:adjustRightInd/>
      <w:spacing w:before="100" w:beforeAutospacing="1" w:after="100" w:afterAutospacing="1"/>
      <w:jc w:val="center"/>
      <w:textAlignment w:val="center"/>
    </w:pPr>
    <w:rPr>
      <w:b/>
      <w:bCs/>
      <w:color w:val="FFFFFF"/>
      <w:sz w:val="24"/>
      <w:szCs w:val="24"/>
      <w:lang w:eastAsia="en-AU"/>
    </w:rPr>
  </w:style>
  <w:style w:type="paragraph" w:customStyle="1" w:styleId="xl124">
    <w:name w:val="xl124"/>
    <w:basedOn w:val="Normal"/>
    <w:rsid w:val="00425E63"/>
    <w:pPr>
      <w:pBdr>
        <w:left w:val="single" w:sz="4" w:space="0" w:color="auto"/>
        <w:bottom w:val="single" w:sz="4" w:space="0" w:color="auto"/>
        <w:right w:val="single" w:sz="4" w:space="0" w:color="auto"/>
      </w:pBdr>
      <w:shd w:val="clear" w:color="000000" w:fill="7030A0"/>
      <w:autoSpaceDE/>
      <w:autoSpaceDN/>
      <w:adjustRightInd/>
      <w:spacing w:before="100" w:beforeAutospacing="1" w:after="100" w:afterAutospacing="1"/>
      <w:jc w:val="center"/>
      <w:textAlignment w:val="center"/>
    </w:pPr>
    <w:rPr>
      <w:b/>
      <w:bCs/>
      <w:color w:val="FFFFFF"/>
      <w:sz w:val="24"/>
      <w:szCs w:val="24"/>
      <w:lang w:eastAsia="en-AU"/>
    </w:rPr>
  </w:style>
  <w:style w:type="paragraph" w:customStyle="1" w:styleId="xl125">
    <w:name w:val="xl125"/>
    <w:basedOn w:val="Normal"/>
    <w:rsid w:val="00425E63"/>
    <w:pPr>
      <w:pBdr>
        <w:top w:val="single" w:sz="4" w:space="0" w:color="auto"/>
        <w:left w:val="single" w:sz="4" w:space="0" w:color="auto"/>
        <w:right w:val="single" w:sz="4" w:space="0" w:color="auto"/>
      </w:pBdr>
      <w:shd w:val="clear" w:color="000000" w:fill="FF4136"/>
      <w:autoSpaceDE/>
      <w:autoSpaceDN/>
      <w:adjustRightInd/>
      <w:spacing w:before="100" w:beforeAutospacing="1" w:after="100" w:afterAutospacing="1"/>
      <w:textAlignment w:val="center"/>
    </w:pPr>
    <w:rPr>
      <w:b/>
      <w:bCs/>
      <w:color w:val="FFFFFF"/>
      <w:sz w:val="24"/>
      <w:szCs w:val="24"/>
      <w:lang w:eastAsia="en-AU"/>
    </w:rPr>
  </w:style>
  <w:style w:type="paragraph" w:customStyle="1" w:styleId="xl126">
    <w:name w:val="xl126"/>
    <w:basedOn w:val="Normal"/>
    <w:rsid w:val="00425E63"/>
    <w:pPr>
      <w:pBdr>
        <w:left w:val="single" w:sz="4" w:space="0" w:color="auto"/>
        <w:right w:val="single" w:sz="4" w:space="0" w:color="auto"/>
      </w:pBdr>
      <w:shd w:val="clear" w:color="000000" w:fill="FF4136"/>
      <w:autoSpaceDE/>
      <w:autoSpaceDN/>
      <w:adjustRightInd/>
      <w:spacing w:before="100" w:beforeAutospacing="1" w:after="100" w:afterAutospacing="1"/>
      <w:textAlignment w:val="center"/>
    </w:pPr>
    <w:rPr>
      <w:b/>
      <w:bCs/>
      <w:color w:val="FFFFFF"/>
      <w:sz w:val="24"/>
      <w:szCs w:val="24"/>
      <w:lang w:eastAsia="en-AU"/>
    </w:rPr>
  </w:style>
  <w:style w:type="table" w:styleId="TableGrid">
    <w:name w:val="Table Grid"/>
    <w:basedOn w:val="TableNormal"/>
    <w:uiPriority w:val="39"/>
    <w:rsid w:val="005F6775"/>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F6775"/>
    <w:pPr>
      <w:autoSpaceDE/>
      <w:autoSpaceDN/>
      <w:adjustRightInd/>
      <w:spacing w:after="160" w:line="259" w:lineRule="auto"/>
      <w:ind w:left="720"/>
      <w:contextualSpacing/>
    </w:pPr>
    <w:rPr>
      <w:rFonts w:asciiTheme="minorHAnsi" w:eastAsiaTheme="minorHAnsi" w:hAnsiTheme="minorHAnsi" w:cstheme="minorBidi"/>
      <w:sz w:val="22"/>
      <w:szCs w:val="22"/>
      <w:lang w:val="en-NZ"/>
    </w:rPr>
  </w:style>
  <w:style w:type="paragraph" w:customStyle="1" w:styleId="EYBullet2noparaspace">
    <w:name w:val="EY Bullet 2 (no para space)"/>
    <w:basedOn w:val="EYBulletnoparaspace"/>
    <w:rsid w:val="00BA2F93"/>
    <w:pPr>
      <w:numPr>
        <w:ilvl w:val="1"/>
      </w:numPr>
    </w:pPr>
  </w:style>
  <w:style w:type="character" w:customStyle="1" w:styleId="Heading3Char">
    <w:name w:val="Heading 3 Char"/>
    <w:basedOn w:val="DefaultParagraphFont"/>
    <w:link w:val="Heading3"/>
    <w:rsid w:val="00830260"/>
    <w:rPr>
      <w:rFonts w:ascii="EYInterstate Light" w:hAnsi="EYInterstate Light" w:cs="Arial"/>
      <w:b/>
      <w:bCs/>
      <w:sz w:val="24"/>
      <w:lang w:val="en-AU"/>
    </w:rPr>
  </w:style>
  <w:style w:type="character" w:customStyle="1" w:styleId="ListParagraphChar">
    <w:name w:val="List Paragraph Char"/>
    <w:basedOn w:val="DefaultParagraphFont"/>
    <w:link w:val="ListParagraph"/>
    <w:uiPriority w:val="34"/>
    <w:rsid w:val="008823A7"/>
    <w:rPr>
      <w:rFonts w:asciiTheme="minorHAnsi" w:eastAsiaTheme="minorHAnsi" w:hAnsiTheme="minorHAnsi" w:cstheme="minorBidi"/>
      <w:sz w:val="22"/>
      <w:szCs w:val="22"/>
      <w:lang w:val="en-NZ"/>
    </w:rPr>
  </w:style>
  <w:style w:type="paragraph" w:styleId="Revision">
    <w:name w:val="Revision"/>
    <w:hidden/>
    <w:uiPriority w:val="99"/>
    <w:semiHidden/>
    <w:rsid w:val="00237122"/>
    <w:rPr>
      <w:rFonts w:ascii="EYInterstate Light" w:hAnsi="EYInterstate Light"/>
      <w:lang w:val="en-AU"/>
    </w:rPr>
  </w:style>
  <w:style w:type="table" w:customStyle="1" w:styleId="TableGrid1">
    <w:name w:val="Table Grid1"/>
    <w:basedOn w:val="TableNormal"/>
    <w:next w:val="TableGrid"/>
    <w:uiPriority w:val="39"/>
    <w:rsid w:val="00864A47"/>
    <w:rPr>
      <w:rFonts w:ascii="Calibri" w:eastAsia="Calibri" w:hAnsi="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209FD"/>
    <w:rPr>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0672">
      <w:bodyDiv w:val="1"/>
      <w:marLeft w:val="0"/>
      <w:marRight w:val="0"/>
      <w:marTop w:val="0"/>
      <w:marBottom w:val="0"/>
      <w:divBdr>
        <w:top w:val="none" w:sz="0" w:space="0" w:color="auto"/>
        <w:left w:val="none" w:sz="0" w:space="0" w:color="auto"/>
        <w:bottom w:val="none" w:sz="0" w:space="0" w:color="auto"/>
        <w:right w:val="none" w:sz="0" w:space="0" w:color="auto"/>
      </w:divBdr>
    </w:div>
    <w:div w:id="698429989">
      <w:bodyDiv w:val="1"/>
      <w:marLeft w:val="0"/>
      <w:marRight w:val="0"/>
      <w:marTop w:val="0"/>
      <w:marBottom w:val="0"/>
      <w:divBdr>
        <w:top w:val="none" w:sz="0" w:space="0" w:color="auto"/>
        <w:left w:val="none" w:sz="0" w:space="0" w:color="auto"/>
        <w:bottom w:val="none" w:sz="0" w:space="0" w:color="auto"/>
        <w:right w:val="none" w:sz="0" w:space="0" w:color="auto"/>
      </w:divBdr>
    </w:div>
    <w:div w:id="733087567">
      <w:bodyDiv w:val="1"/>
      <w:marLeft w:val="0"/>
      <w:marRight w:val="0"/>
      <w:marTop w:val="0"/>
      <w:marBottom w:val="0"/>
      <w:divBdr>
        <w:top w:val="none" w:sz="0" w:space="0" w:color="auto"/>
        <w:left w:val="none" w:sz="0" w:space="0" w:color="auto"/>
        <w:bottom w:val="none" w:sz="0" w:space="0" w:color="auto"/>
        <w:right w:val="none" w:sz="0" w:space="0" w:color="auto"/>
      </w:divBdr>
    </w:div>
    <w:div w:id="946155226">
      <w:bodyDiv w:val="1"/>
      <w:marLeft w:val="0"/>
      <w:marRight w:val="0"/>
      <w:marTop w:val="0"/>
      <w:marBottom w:val="0"/>
      <w:divBdr>
        <w:top w:val="none" w:sz="0" w:space="0" w:color="auto"/>
        <w:left w:val="none" w:sz="0" w:space="0" w:color="auto"/>
        <w:bottom w:val="none" w:sz="0" w:space="0" w:color="auto"/>
        <w:right w:val="none" w:sz="0" w:space="0" w:color="auto"/>
      </w:divBdr>
    </w:div>
    <w:div w:id="969213560">
      <w:bodyDiv w:val="1"/>
      <w:marLeft w:val="0"/>
      <w:marRight w:val="0"/>
      <w:marTop w:val="0"/>
      <w:marBottom w:val="0"/>
      <w:divBdr>
        <w:top w:val="none" w:sz="0" w:space="0" w:color="auto"/>
        <w:left w:val="none" w:sz="0" w:space="0" w:color="auto"/>
        <w:bottom w:val="none" w:sz="0" w:space="0" w:color="auto"/>
        <w:right w:val="none" w:sz="0" w:space="0" w:color="auto"/>
      </w:divBdr>
    </w:div>
    <w:div w:id="1000474185">
      <w:bodyDiv w:val="1"/>
      <w:marLeft w:val="0"/>
      <w:marRight w:val="0"/>
      <w:marTop w:val="0"/>
      <w:marBottom w:val="0"/>
      <w:divBdr>
        <w:top w:val="none" w:sz="0" w:space="0" w:color="auto"/>
        <w:left w:val="none" w:sz="0" w:space="0" w:color="auto"/>
        <w:bottom w:val="none" w:sz="0" w:space="0" w:color="auto"/>
        <w:right w:val="none" w:sz="0" w:space="0" w:color="auto"/>
      </w:divBdr>
    </w:div>
    <w:div w:id="1032731362">
      <w:bodyDiv w:val="1"/>
      <w:marLeft w:val="0"/>
      <w:marRight w:val="0"/>
      <w:marTop w:val="0"/>
      <w:marBottom w:val="0"/>
      <w:divBdr>
        <w:top w:val="none" w:sz="0" w:space="0" w:color="auto"/>
        <w:left w:val="none" w:sz="0" w:space="0" w:color="auto"/>
        <w:bottom w:val="none" w:sz="0" w:space="0" w:color="auto"/>
        <w:right w:val="none" w:sz="0" w:space="0" w:color="auto"/>
      </w:divBdr>
    </w:div>
    <w:div w:id="1083263965">
      <w:bodyDiv w:val="1"/>
      <w:marLeft w:val="0"/>
      <w:marRight w:val="0"/>
      <w:marTop w:val="0"/>
      <w:marBottom w:val="0"/>
      <w:divBdr>
        <w:top w:val="none" w:sz="0" w:space="0" w:color="auto"/>
        <w:left w:val="none" w:sz="0" w:space="0" w:color="auto"/>
        <w:bottom w:val="none" w:sz="0" w:space="0" w:color="auto"/>
        <w:right w:val="none" w:sz="0" w:space="0" w:color="auto"/>
      </w:divBdr>
      <w:divsChild>
        <w:div w:id="617032975">
          <w:marLeft w:val="0"/>
          <w:marRight w:val="0"/>
          <w:marTop w:val="0"/>
          <w:marBottom w:val="0"/>
          <w:divBdr>
            <w:top w:val="none" w:sz="0" w:space="0" w:color="auto"/>
            <w:left w:val="none" w:sz="0" w:space="0" w:color="auto"/>
            <w:bottom w:val="none" w:sz="0" w:space="0" w:color="auto"/>
            <w:right w:val="none" w:sz="0" w:space="0" w:color="auto"/>
          </w:divBdr>
        </w:div>
      </w:divsChild>
    </w:div>
    <w:div w:id="1131707794">
      <w:bodyDiv w:val="1"/>
      <w:marLeft w:val="0"/>
      <w:marRight w:val="0"/>
      <w:marTop w:val="0"/>
      <w:marBottom w:val="0"/>
      <w:divBdr>
        <w:top w:val="none" w:sz="0" w:space="0" w:color="auto"/>
        <w:left w:val="none" w:sz="0" w:space="0" w:color="auto"/>
        <w:bottom w:val="none" w:sz="0" w:space="0" w:color="auto"/>
        <w:right w:val="none" w:sz="0" w:space="0" w:color="auto"/>
      </w:divBdr>
    </w:div>
    <w:div w:id="1190680152">
      <w:bodyDiv w:val="1"/>
      <w:marLeft w:val="0"/>
      <w:marRight w:val="0"/>
      <w:marTop w:val="0"/>
      <w:marBottom w:val="0"/>
      <w:divBdr>
        <w:top w:val="none" w:sz="0" w:space="0" w:color="auto"/>
        <w:left w:val="none" w:sz="0" w:space="0" w:color="auto"/>
        <w:bottom w:val="none" w:sz="0" w:space="0" w:color="auto"/>
        <w:right w:val="none" w:sz="0" w:space="0" w:color="auto"/>
      </w:divBdr>
    </w:div>
    <w:div w:id="1506365405">
      <w:bodyDiv w:val="1"/>
      <w:marLeft w:val="0"/>
      <w:marRight w:val="0"/>
      <w:marTop w:val="0"/>
      <w:marBottom w:val="0"/>
      <w:divBdr>
        <w:top w:val="none" w:sz="0" w:space="0" w:color="auto"/>
        <w:left w:val="none" w:sz="0" w:space="0" w:color="auto"/>
        <w:bottom w:val="none" w:sz="0" w:space="0" w:color="auto"/>
        <w:right w:val="none" w:sz="0" w:space="0" w:color="auto"/>
      </w:divBdr>
      <w:divsChild>
        <w:div w:id="1483959132">
          <w:marLeft w:val="0"/>
          <w:marRight w:val="0"/>
          <w:marTop w:val="0"/>
          <w:marBottom w:val="0"/>
          <w:divBdr>
            <w:top w:val="none" w:sz="0" w:space="0" w:color="auto"/>
            <w:left w:val="none" w:sz="0" w:space="0" w:color="auto"/>
            <w:bottom w:val="none" w:sz="0" w:space="0" w:color="auto"/>
            <w:right w:val="none" w:sz="0" w:space="0" w:color="auto"/>
          </w:divBdr>
        </w:div>
      </w:divsChild>
    </w:div>
    <w:div w:id="1634752607">
      <w:bodyDiv w:val="1"/>
      <w:marLeft w:val="0"/>
      <w:marRight w:val="0"/>
      <w:marTop w:val="0"/>
      <w:marBottom w:val="0"/>
      <w:divBdr>
        <w:top w:val="none" w:sz="0" w:space="0" w:color="auto"/>
        <w:left w:val="none" w:sz="0" w:space="0" w:color="auto"/>
        <w:bottom w:val="none" w:sz="0" w:space="0" w:color="auto"/>
        <w:right w:val="none" w:sz="0" w:space="0" w:color="auto"/>
      </w:divBdr>
    </w:div>
    <w:div w:id="1957368614">
      <w:bodyDiv w:val="1"/>
      <w:marLeft w:val="0"/>
      <w:marRight w:val="0"/>
      <w:marTop w:val="0"/>
      <w:marBottom w:val="0"/>
      <w:divBdr>
        <w:top w:val="none" w:sz="0" w:space="0" w:color="auto"/>
        <w:left w:val="none" w:sz="0" w:space="0" w:color="auto"/>
        <w:bottom w:val="none" w:sz="0" w:space="0" w:color="auto"/>
        <w:right w:val="none" w:sz="0" w:space="0" w:color="auto"/>
      </w:divBdr>
    </w:div>
    <w:div w:id="2002460700">
      <w:bodyDiv w:val="1"/>
      <w:marLeft w:val="0"/>
      <w:marRight w:val="0"/>
      <w:marTop w:val="0"/>
      <w:marBottom w:val="0"/>
      <w:divBdr>
        <w:top w:val="none" w:sz="0" w:space="0" w:color="auto"/>
        <w:left w:val="none" w:sz="0" w:space="0" w:color="auto"/>
        <w:bottom w:val="none" w:sz="0" w:space="0" w:color="auto"/>
        <w:right w:val="none" w:sz="0" w:space="0" w:color="auto"/>
      </w:divBdr>
      <w:divsChild>
        <w:div w:id="1516379775">
          <w:marLeft w:val="0"/>
          <w:marRight w:val="0"/>
          <w:marTop w:val="0"/>
          <w:marBottom w:val="0"/>
          <w:divBdr>
            <w:top w:val="none" w:sz="0" w:space="0" w:color="auto"/>
            <w:left w:val="none" w:sz="0" w:space="0" w:color="auto"/>
            <w:bottom w:val="none" w:sz="0" w:space="0" w:color="auto"/>
            <w:right w:val="none" w:sz="0" w:space="0" w:color="auto"/>
          </w:divBdr>
        </w:div>
      </w:divsChild>
    </w:div>
    <w:div w:id="21035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3.emf"/><Relationship Id="rId39" Type="http://schemas.openxmlformats.org/officeDocument/2006/relationships/theme" Target="theme/theme1.xml"/><Relationship Id="rId21" Type="http://schemas.openxmlformats.org/officeDocument/2006/relationships/chart" Target="charts/chart2.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chart" Target="charts/chart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chart" Target="charts/chart1.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5.xml"/><Relationship Id="rId32" Type="http://schemas.openxmlformats.org/officeDocument/2006/relationships/footer" Target="footer6.xml"/><Relationship Id="rId37"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hart" Target="charts/chart4.xml"/><Relationship Id="rId28" Type="http://schemas.openxmlformats.org/officeDocument/2006/relationships/image" Target="media/image5.emf"/><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stats.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chart" Target="charts/chart3.xm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otago.ac.nz/wellington/departments/publichealth/research/hirp/otago020194.html" TargetMode="External"/><Relationship Id="rId1" Type="http://schemas.openxmlformats.org/officeDocument/2006/relationships/hyperlink" Target="https://www.otago.ac.nz/wellington/departments/publichealth/research/hirp/otago02019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ta\AppData\Roaming\Microsoft\Templates\EYWord\Reports\AUS_EY_Report_Landscape_Cover_Included.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'MC Baseline 0-4'!$G$12</c:f>
              <c:strCache>
                <c:ptCount val="1"/>
                <c:pt idx="0">
                  <c:v>Average</c:v>
                </c:pt>
              </c:strCache>
            </c:strRef>
          </c:tx>
          <c:spPr>
            <a:solidFill>
              <a:srgbClr val="0070C0"/>
            </a:solidFill>
            <a:ln>
              <a:noFill/>
            </a:ln>
            <a:effectLst/>
          </c:spPr>
          <c:invertIfNegative val="0"/>
          <c:dPt>
            <c:idx val="0"/>
            <c:invertIfNegative val="0"/>
            <c:bubble3D val="0"/>
            <c:spPr>
              <a:solidFill>
                <a:srgbClr val="0070C0"/>
              </a:solidFill>
              <a:ln>
                <a:solidFill>
                  <a:srgbClr val="0070C0"/>
                </a:solidFill>
              </a:ln>
              <a:effectLst/>
            </c:spPr>
            <c:extLst>
              <c:ext xmlns:c16="http://schemas.microsoft.com/office/drawing/2014/chart" uri="{C3380CC4-5D6E-409C-BE32-E72D297353CC}">
                <c16:uniqueId val="{0000001C-527B-4235-A3AD-0B3DF2D89ADD}"/>
              </c:ext>
            </c:extLst>
          </c:dPt>
          <c:dPt>
            <c:idx val="1"/>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01-F2E1-4073-A882-BBB166CA1ED6}"/>
              </c:ext>
            </c:extLst>
          </c:dPt>
          <c:dPt>
            <c:idx val="2"/>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3-F2E1-4073-A882-BBB166CA1ED6}"/>
              </c:ext>
            </c:extLst>
          </c:dPt>
          <c:dPt>
            <c:idx val="4"/>
            <c:invertIfNegative val="0"/>
            <c:bubble3D val="0"/>
            <c:spPr>
              <a:solidFill>
                <a:srgbClr val="0070C0"/>
              </a:solidFill>
              <a:ln>
                <a:solidFill>
                  <a:srgbClr val="0070C0"/>
                </a:solidFill>
              </a:ln>
              <a:effectLst/>
            </c:spPr>
            <c:extLst>
              <c:ext xmlns:c16="http://schemas.microsoft.com/office/drawing/2014/chart" uri="{C3380CC4-5D6E-409C-BE32-E72D297353CC}">
                <c16:uniqueId val="{0000001D-527B-4235-A3AD-0B3DF2D89ADD}"/>
              </c:ext>
            </c:extLst>
          </c:dPt>
          <c:dPt>
            <c:idx val="5"/>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05-F2E1-4073-A882-BBB166CA1ED6}"/>
              </c:ext>
            </c:extLst>
          </c:dPt>
          <c:dPt>
            <c:idx val="6"/>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7-F2E1-4073-A882-BBB166CA1ED6}"/>
              </c:ext>
            </c:extLst>
          </c:dPt>
          <c:dPt>
            <c:idx val="8"/>
            <c:invertIfNegative val="0"/>
            <c:bubble3D val="0"/>
            <c:spPr>
              <a:solidFill>
                <a:srgbClr val="0070C0"/>
              </a:solidFill>
              <a:ln>
                <a:solidFill>
                  <a:srgbClr val="0070C0"/>
                </a:solidFill>
              </a:ln>
              <a:effectLst/>
            </c:spPr>
            <c:extLst>
              <c:ext xmlns:c16="http://schemas.microsoft.com/office/drawing/2014/chart" uri="{C3380CC4-5D6E-409C-BE32-E72D297353CC}">
                <c16:uniqueId val="{0000001E-527B-4235-A3AD-0B3DF2D89ADD}"/>
              </c:ext>
            </c:extLst>
          </c:dPt>
          <c:dPt>
            <c:idx val="9"/>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09-F2E1-4073-A882-BBB166CA1ED6}"/>
              </c:ext>
            </c:extLst>
          </c:dPt>
          <c:dPt>
            <c:idx val="10"/>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B-F2E1-4073-A882-BBB166CA1ED6}"/>
              </c:ext>
            </c:extLst>
          </c:dPt>
          <c:dPt>
            <c:idx val="12"/>
            <c:invertIfNegative val="0"/>
            <c:bubble3D val="0"/>
            <c:spPr>
              <a:solidFill>
                <a:srgbClr val="0070C0"/>
              </a:solidFill>
              <a:ln>
                <a:solidFill>
                  <a:srgbClr val="0070C0"/>
                </a:solidFill>
              </a:ln>
              <a:effectLst/>
            </c:spPr>
            <c:extLst>
              <c:ext xmlns:c16="http://schemas.microsoft.com/office/drawing/2014/chart" uri="{C3380CC4-5D6E-409C-BE32-E72D297353CC}">
                <c16:uniqueId val="{0000001F-527B-4235-A3AD-0B3DF2D89ADD}"/>
              </c:ext>
            </c:extLst>
          </c:dPt>
          <c:dPt>
            <c:idx val="13"/>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0D-F2E1-4073-A882-BBB166CA1ED6}"/>
              </c:ext>
            </c:extLst>
          </c:dPt>
          <c:dPt>
            <c:idx val="14"/>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F-F2E1-4073-A882-BBB166CA1ED6}"/>
              </c:ext>
            </c:extLst>
          </c:dPt>
          <c:dPt>
            <c:idx val="16"/>
            <c:invertIfNegative val="0"/>
            <c:bubble3D val="0"/>
            <c:spPr>
              <a:solidFill>
                <a:srgbClr val="0070C0"/>
              </a:solidFill>
              <a:ln>
                <a:solidFill>
                  <a:srgbClr val="0070C0"/>
                </a:solidFill>
              </a:ln>
              <a:effectLst/>
            </c:spPr>
            <c:extLst>
              <c:ext xmlns:c16="http://schemas.microsoft.com/office/drawing/2014/chart" uri="{C3380CC4-5D6E-409C-BE32-E72D297353CC}">
                <c16:uniqueId val="{00000020-527B-4235-A3AD-0B3DF2D89ADD}"/>
              </c:ext>
            </c:extLst>
          </c:dPt>
          <c:dPt>
            <c:idx val="17"/>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11-F2E1-4073-A882-BBB166CA1ED6}"/>
              </c:ext>
            </c:extLst>
          </c:dPt>
          <c:dPt>
            <c:idx val="18"/>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3-F2E1-4073-A882-BBB166CA1ED6}"/>
              </c:ext>
            </c:extLst>
          </c:dPt>
          <c:dPt>
            <c:idx val="20"/>
            <c:invertIfNegative val="0"/>
            <c:bubble3D val="0"/>
            <c:spPr>
              <a:solidFill>
                <a:srgbClr val="0070C0"/>
              </a:solidFill>
              <a:ln>
                <a:solidFill>
                  <a:srgbClr val="0070C0"/>
                </a:solidFill>
              </a:ln>
              <a:effectLst/>
            </c:spPr>
            <c:extLst>
              <c:ext xmlns:c16="http://schemas.microsoft.com/office/drawing/2014/chart" uri="{C3380CC4-5D6E-409C-BE32-E72D297353CC}">
                <c16:uniqueId val="{00000021-527B-4235-A3AD-0B3DF2D89ADD}"/>
              </c:ext>
            </c:extLst>
          </c:dPt>
          <c:dPt>
            <c:idx val="21"/>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15-F2E1-4073-A882-BBB166CA1ED6}"/>
              </c:ext>
            </c:extLst>
          </c:dPt>
          <c:dPt>
            <c:idx val="22"/>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7-F2E1-4073-A882-BBB166CA1ED6}"/>
              </c:ext>
            </c:extLst>
          </c:dPt>
          <c:dPt>
            <c:idx val="24"/>
            <c:invertIfNegative val="0"/>
            <c:bubble3D val="0"/>
            <c:spPr>
              <a:solidFill>
                <a:srgbClr val="0070C0"/>
              </a:solidFill>
              <a:ln>
                <a:solidFill>
                  <a:srgbClr val="0070C0"/>
                </a:solidFill>
              </a:ln>
              <a:effectLst/>
            </c:spPr>
            <c:extLst>
              <c:ext xmlns:c16="http://schemas.microsoft.com/office/drawing/2014/chart" uri="{C3380CC4-5D6E-409C-BE32-E72D297353CC}">
                <c16:uniqueId val="{00000022-527B-4235-A3AD-0B3DF2D89ADD}"/>
              </c:ext>
            </c:extLst>
          </c:dPt>
          <c:dPt>
            <c:idx val="25"/>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19-F2E1-4073-A882-BBB166CA1ED6}"/>
              </c:ext>
            </c:extLst>
          </c:dPt>
          <c:dPt>
            <c:idx val="26"/>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B-F2E1-4073-A882-BBB166CA1ED6}"/>
              </c:ext>
            </c:extLst>
          </c:dPt>
          <c:dLbls>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 Baseline 0-4'!$E$13:$E$39</c:f>
              <c:strCache>
                <c:ptCount val="25"/>
                <c:pt idx="0">
                  <c:v>% children with an outcome of "referred" from B4 School Check vision or hearing checks at ages 4-5</c:v>
                </c:pt>
                <c:pt idx="3">
                  <c:v> </c:v>
                </c:pt>
                <c:pt idx="4">
                  <c:v>% children with Ambulatory Sensitive Hospitalisations over a 3 year period</c:v>
                </c:pt>
                <c:pt idx="7">
                  <c:v> </c:v>
                </c:pt>
                <c:pt idx="8">
                  <c:v>% children with injury-related ED contact over a 3 year period</c:v>
                </c:pt>
                <c:pt idx="11">
                  <c:v> </c:v>
                </c:pt>
                <c:pt idx="12">
                  <c:v>% children enrolled in early childhood education prior to starting school</c:v>
                </c:pt>
                <c:pt idx="15">
                  <c:v> </c:v>
                </c:pt>
                <c:pt idx="16">
                  <c:v>% children involved in Oranga Tamariki reports of concern over a 3 year period</c:v>
                </c:pt>
                <c:pt idx="19">
                  <c:v> </c:v>
                </c:pt>
                <c:pt idx="20">
                  <c:v>% children with parent/caregiver(s) with employment income for at least one year over a 3 year period</c:v>
                </c:pt>
                <c:pt idx="23">
                  <c:v> </c:v>
                </c:pt>
                <c:pt idx="24">
                  <c:v>% children whose parent/caregiver drew on tertiary MSD support payments over a 3 year period</c:v>
                </c:pt>
              </c:strCache>
            </c:strRef>
          </c:cat>
          <c:val>
            <c:numRef>
              <c:f>'MC Baseline 0-4'!$G$13:$G$39</c:f>
              <c:numCache>
                <c:formatCode>0%</c:formatCode>
                <c:ptCount val="27"/>
                <c:pt idx="0">
                  <c:v>0.30303030303030304</c:v>
                </c:pt>
                <c:pt idx="1">
                  <c:v>0.23287671232876711</c:v>
                </c:pt>
                <c:pt idx="2">
                  <c:v>0.14770906760653638</c:v>
                </c:pt>
                <c:pt idx="4">
                  <c:v>0.24444444444444444</c:v>
                </c:pt>
                <c:pt idx="5">
                  <c:v>0.25594808940158614</c:v>
                </c:pt>
                <c:pt idx="6">
                  <c:v>0.1075485988386771</c:v>
                </c:pt>
                <c:pt idx="8">
                  <c:v>0.2</c:v>
                </c:pt>
                <c:pt idx="9">
                  <c:v>0.22494592645998557</c:v>
                </c:pt>
                <c:pt idx="10">
                  <c:v>0.17445089623832366</c:v>
                </c:pt>
                <c:pt idx="12">
                  <c:v>0.97005988023952094</c:v>
                </c:pt>
                <c:pt idx="13">
                  <c:v>0.96995994659546059</c:v>
                </c:pt>
                <c:pt idx="14">
                  <c:v>0.97040658775090072</c:v>
                </c:pt>
                <c:pt idx="16">
                  <c:v>0.16216216216216217</c:v>
                </c:pt>
                <c:pt idx="17">
                  <c:v>0.17506404782237403</c:v>
                </c:pt>
                <c:pt idx="18">
                  <c:v>0.14105534105534107</c:v>
                </c:pt>
                <c:pt idx="20">
                  <c:v>0.6216216216216216</c:v>
                </c:pt>
                <c:pt idx="21">
                  <c:v>0.72160546541417592</c:v>
                </c:pt>
                <c:pt idx="22">
                  <c:v>0.8445302445302445</c:v>
                </c:pt>
                <c:pt idx="24">
                  <c:v>0.45945945945945948</c:v>
                </c:pt>
                <c:pt idx="25">
                  <c:v>0.37830913748932538</c:v>
                </c:pt>
                <c:pt idx="26">
                  <c:v>0.35186615186615189</c:v>
                </c:pt>
              </c:numCache>
            </c:numRef>
          </c:val>
          <c:extLst>
            <c:ext xmlns:c16="http://schemas.microsoft.com/office/drawing/2014/chart" uri="{C3380CC4-5D6E-409C-BE32-E72D297353CC}">
              <c16:uniqueId val="{0000001C-F2E1-4073-A882-BBB166CA1ED6}"/>
            </c:ext>
          </c:extLst>
        </c:ser>
        <c:dLbls>
          <c:showLegendKey val="0"/>
          <c:showVal val="0"/>
          <c:showCatName val="0"/>
          <c:showSerName val="0"/>
          <c:showPercent val="0"/>
          <c:showBubbleSize val="0"/>
        </c:dLbls>
        <c:gapWidth val="10"/>
        <c:overlap val="-10"/>
        <c:axId val="634760136"/>
        <c:axId val="493018296"/>
      </c:barChart>
      <c:lineChart>
        <c:grouping val="standard"/>
        <c:varyColors val="0"/>
        <c:ser>
          <c:idx val="1"/>
          <c:order val="1"/>
          <c:tx>
            <c:strRef>
              <c:f>'MC Baseline 0-4'!$H$12</c:f>
              <c:strCache>
                <c:ptCount val="1"/>
                <c:pt idx="0">
                  <c:v>CI upper</c:v>
                </c:pt>
              </c:strCache>
            </c:strRef>
          </c:tx>
          <c:spPr>
            <a:ln w="28575" cap="rnd">
              <a:noFill/>
              <a:round/>
            </a:ln>
            <a:effectLst/>
          </c:spPr>
          <c:marker>
            <c:symbol val="dash"/>
            <c:size val="10"/>
            <c:spPr>
              <a:solidFill>
                <a:schemeClr val="tx1">
                  <a:lumMod val="95000"/>
                  <a:lumOff val="5000"/>
                </a:schemeClr>
              </a:solidFill>
              <a:ln w="9525">
                <a:solidFill>
                  <a:schemeClr val="tx1">
                    <a:lumMod val="95000"/>
                    <a:lumOff val="5000"/>
                  </a:schemeClr>
                </a:solidFill>
              </a:ln>
              <a:effectLst/>
            </c:spPr>
          </c:marker>
          <c:cat>
            <c:strRef>
              <c:f>'MC Baseline 0-4'!$E$13:$E$39</c:f>
              <c:strCache>
                <c:ptCount val="25"/>
                <c:pt idx="0">
                  <c:v>% children with an outcome of "referred" from B4 School Check vision or hearing checks at ages 4-5</c:v>
                </c:pt>
                <c:pt idx="3">
                  <c:v> </c:v>
                </c:pt>
                <c:pt idx="4">
                  <c:v>% children with Ambulatory Sensitive Hospitalisations over a 3 year period</c:v>
                </c:pt>
                <c:pt idx="7">
                  <c:v> </c:v>
                </c:pt>
                <c:pt idx="8">
                  <c:v>% children with injury-related ED contact over a 3 year period</c:v>
                </c:pt>
                <c:pt idx="11">
                  <c:v> </c:v>
                </c:pt>
                <c:pt idx="12">
                  <c:v>% children enrolled in early childhood education prior to starting school</c:v>
                </c:pt>
                <c:pt idx="15">
                  <c:v> </c:v>
                </c:pt>
                <c:pt idx="16">
                  <c:v>% children involved in Oranga Tamariki reports of concern over a 3 year period</c:v>
                </c:pt>
                <c:pt idx="19">
                  <c:v> </c:v>
                </c:pt>
                <c:pt idx="20">
                  <c:v>% children with parent/caregiver(s) with employment income for at least one year over a 3 year period</c:v>
                </c:pt>
                <c:pt idx="23">
                  <c:v> </c:v>
                </c:pt>
                <c:pt idx="24">
                  <c:v>% children whose parent/caregiver drew on tertiary MSD support payments over a 3 year period</c:v>
                </c:pt>
              </c:strCache>
            </c:strRef>
          </c:cat>
          <c:val>
            <c:numRef>
              <c:f>'MC Baseline 0-4'!$H$13:$H$39</c:f>
              <c:numCache>
                <c:formatCode>0%</c:formatCode>
                <c:ptCount val="27"/>
                <c:pt idx="0">
                  <c:v>0.39355779151502884</c:v>
                </c:pt>
                <c:pt idx="1">
                  <c:v>0.24783760921971151</c:v>
                </c:pt>
                <c:pt idx="2">
                  <c:v>0.15489590951569771</c:v>
                </c:pt>
                <c:pt idx="4">
                  <c:v>0.3169388501744565</c:v>
                </c:pt>
                <c:pt idx="5">
                  <c:v>0.26920757870272671</c:v>
                </c:pt>
                <c:pt idx="6">
                  <c:v>0.11311891324294157</c:v>
                </c:pt>
                <c:pt idx="8">
                  <c:v>0.26747473663368854</c:v>
                </c:pt>
                <c:pt idx="9">
                  <c:v>0.2376327909513942</c:v>
                </c:pt>
                <c:pt idx="10">
                  <c:v>0.18127417477285826</c:v>
                </c:pt>
                <c:pt idx="12">
                  <c:v>0.99630307007714314</c:v>
                </c:pt>
                <c:pt idx="13">
                  <c:v>0.97495061606522326</c:v>
                </c:pt>
                <c:pt idx="14">
                  <c:v>0.97348275862359646</c:v>
                </c:pt>
                <c:pt idx="16">
                  <c:v>0.23073329899917056</c:v>
                </c:pt>
                <c:pt idx="17">
                  <c:v>0.18763064270819496</c:v>
                </c:pt>
                <c:pt idx="18">
                  <c:v>0.14737464597557068</c:v>
                </c:pt>
                <c:pt idx="20">
                  <c:v>0.71184369709457962</c:v>
                </c:pt>
                <c:pt idx="21">
                  <c:v>0.73642686703133287</c:v>
                </c:pt>
                <c:pt idx="22">
                  <c:v>0.8511086784028935</c:v>
                </c:pt>
                <c:pt idx="24">
                  <c:v>0.55216898021553407</c:v>
                </c:pt>
                <c:pt idx="25">
                  <c:v>0.39434600989440416</c:v>
                </c:pt>
                <c:pt idx="26">
                  <c:v>0.36053603112125576</c:v>
                </c:pt>
              </c:numCache>
            </c:numRef>
          </c:val>
          <c:smooth val="0"/>
          <c:extLst>
            <c:ext xmlns:c16="http://schemas.microsoft.com/office/drawing/2014/chart" uri="{C3380CC4-5D6E-409C-BE32-E72D297353CC}">
              <c16:uniqueId val="{0000001D-F2E1-4073-A882-BBB166CA1ED6}"/>
            </c:ext>
          </c:extLst>
        </c:ser>
        <c:ser>
          <c:idx val="2"/>
          <c:order val="2"/>
          <c:tx>
            <c:strRef>
              <c:f>'MC Baseline 0-4'!$I$12</c:f>
              <c:strCache>
                <c:ptCount val="1"/>
                <c:pt idx="0">
                  <c:v>CI lower</c:v>
                </c:pt>
              </c:strCache>
            </c:strRef>
          </c:tx>
          <c:spPr>
            <a:ln w="28575" cap="rnd">
              <a:noFill/>
              <a:round/>
            </a:ln>
            <a:effectLst/>
          </c:spPr>
          <c:marker>
            <c:symbol val="dash"/>
            <c:size val="10"/>
            <c:spPr>
              <a:solidFill>
                <a:schemeClr val="tx1">
                  <a:lumMod val="95000"/>
                  <a:lumOff val="5000"/>
                </a:schemeClr>
              </a:solidFill>
              <a:ln w="9525">
                <a:solidFill>
                  <a:schemeClr val="tx1">
                    <a:lumMod val="95000"/>
                    <a:lumOff val="5000"/>
                    <a:alpha val="94000"/>
                  </a:schemeClr>
                </a:solidFill>
              </a:ln>
              <a:effectLst/>
            </c:spPr>
          </c:marker>
          <c:cat>
            <c:strRef>
              <c:f>'MC Baseline 0-4'!$E$13:$E$39</c:f>
              <c:strCache>
                <c:ptCount val="25"/>
                <c:pt idx="0">
                  <c:v>% children with an outcome of "referred" from B4 School Check vision or hearing checks at ages 4-5</c:v>
                </c:pt>
                <c:pt idx="3">
                  <c:v> </c:v>
                </c:pt>
                <c:pt idx="4">
                  <c:v>% children with Ambulatory Sensitive Hospitalisations over a 3 year period</c:v>
                </c:pt>
                <c:pt idx="7">
                  <c:v> </c:v>
                </c:pt>
                <c:pt idx="8">
                  <c:v>% children with injury-related ED contact over a 3 year period</c:v>
                </c:pt>
                <c:pt idx="11">
                  <c:v> </c:v>
                </c:pt>
                <c:pt idx="12">
                  <c:v>% children enrolled in early childhood education prior to starting school</c:v>
                </c:pt>
                <c:pt idx="15">
                  <c:v> </c:v>
                </c:pt>
                <c:pt idx="16">
                  <c:v>% children involved in Oranga Tamariki reports of concern over a 3 year period</c:v>
                </c:pt>
                <c:pt idx="19">
                  <c:v> </c:v>
                </c:pt>
                <c:pt idx="20">
                  <c:v>% children with parent/caregiver(s) with employment income for at least one year over a 3 year period</c:v>
                </c:pt>
                <c:pt idx="23">
                  <c:v> </c:v>
                </c:pt>
                <c:pt idx="24">
                  <c:v>% children whose parent/caregiver drew on tertiary MSD support payments over a 3 year period</c:v>
                </c:pt>
              </c:strCache>
            </c:strRef>
          </c:cat>
          <c:val>
            <c:numRef>
              <c:f>'MC Baseline 0-4'!$I$13:$I$39</c:f>
              <c:numCache>
                <c:formatCode>0%</c:formatCode>
                <c:ptCount val="27"/>
                <c:pt idx="0">
                  <c:v>0.21250281454557723</c:v>
                </c:pt>
                <c:pt idx="1">
                  <c:v>0.21791581543782271</c:v>
                </c:pt>
                <c:pt idx="2">
                  <c:v>0.14052222569737505</c:v>
                </c:pt>
                <c:pt idx="4">
                  <c:v>0.17195003871443237</c:v>
                </c:pt>
                <c:pt idx="5">
                  <c:v>0.2426886001004456</c:v>
                </c:pt>
                <c:pt idx="6">
                  <c:v>0.10197828443441262</c:v>
                </c:pt>
                <c:pt idx="8">
                  <c:v>0.13252526336631149</c:v>
                </c:pt>
                <c:pt idx="9">
                  <c:v>0.21225906196857694</c:v>
                </c:pt>
                <c:pt idx="10">
                  <c:v>0.16762761770378906</c:v>
                </c:pt>
                <c:pt idx="12">
                  <c:v>0.94381669040189875</c:v>
                </c:pt>
                <c:pt idx="13">
                  <c:v>0.96496927712569791</c:v>
                </c:pt>
                <c:pt idx="14">
                  <c:v>0.96733041687820498</c:v>
                </c:pt>
                <c:pt idx="16">
                  <c:v>9.3591025325153773E-2</c:v>
                </c:pt>
                <c:pt idx="17">
                  <c:v>0.1624974529365531</c:v>
                </c:pt>
                <c:pt idx="18">
                  <c:v>0.13473603613511145</c:v>
                </c:pt>
                <c:pt idx="20">
                  <c:v>0.53139954614866358</c:v>
                </c:pt>
                <c:pt idx="21">
                  <c:v>0.70678406379701897</c:v>
                </c:pt>
                <c:pt idx="22">
                  <c:v>0.8379518106575955</c:v>
                </c:pt>
                <c:pt idx="24">
                  <c:v>0.36674993870338496</c:v>
                </c:pt>
                <c:pt idx="25">
                  <c:v>0.36227226508424659</c:v>
                </c:pt>
                <c:pt idx="26">
                  <c:v>0.34319627261104801</c:v>
                </c:pt>
              </c:numCache>
            </c:numRef>
          </c:val>
          <c:smooth val="0"/>
          <c:extLst>
            <c:ext xmlns:c16="http://schemas.microsoft.com/office/drawing/2014/chart" uri="{C3380CC4-5D6E-409C-BE32-E72D297353CC}">
              <c16:uniqueId val="{0000001E-F2E1-4073-A882-BBB166CA1ED6}"/>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634760136"/>
        <c:axId val="493018296"/>
      </c:lineChart>
      <c:catAx>
        <c:axId val="634760136"/>
        <c:scaling>
          <c:orientation val="minMax"/>
        </c:scaling>
        <c:delete val="1"/>
        <c:axPos val="b"/>
        <c:numFmt formatCode="General" sourceLinked="1"/>
        <c:majorTickMark val="none"/>
        <c:minorTickMark val="none"/>
        <c:tickLblPos val="nextTo"/>
        <c:crossAx val="493018296"/>
        <c:crosses val="autoZero"/>
        <c:auto val="1"/>
        <c:lblAlgn val="ctr"/>
        <c:lblOffset val="100"/>
        <c:noMultiLvlLbl val="0"/>
      </c:catAx>
      <c:valAx>
        <c:axId val="4930182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4760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'MC Baseline 5-14'!$G$13</c:f>
              <c:strCache>
                <c:ptCount val="1"/>
                <c:pt idx="0">
                  <c:v>Average</c:v>
                </c:pt>
              </c:strCache>
            </c:strRef>
          </c:tx>
          <c:spPr>
            <a:solidFill>
              <a:srgbClr val="0070C0"/>
            </a:solidFill>
            <a:ln>
              <a:noFill/>
            </a:ln>
            <a:effectLst/>
          </c:spPr>
          <c:invertIfNegative val="0"/>
          <c:dPt>
            <c:idx val="0"/>
            <c:invertIfNegative val="0"/>
            <c:bubble3D val="0"/>
            <c:spPr>
              <a:solidFill>
                <a:srgbClr val="0070C0"/>
              </a:solidFill>
              <a:ln>
                <a:solidFill>
                  <a:srgbClr val="0070C0"/>
                </a:solidFill>
              </a:ln>
              <a:effectLst/>
            </c:spPr>
            <c:extLst>
              <c:ext xmlns:c16="http://schemas.microsoft.com/office/drawing/2014/chart" uri="{C3380CC4-5D6E-409C-BE32-E72D297353CC}">
                <c16:uniqueId val="{0000001C-4843-43D6-9412-0E1209D39B5F}"/>
              </c:ext>
            </c:extLst>
          </c:dPt>
          <c:dPt>
            <c:idx val="1"/>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01-B47B-47D3-AA65-6DDB33DE5B95}"/>
              </c:ext>
            </c:extLst>
          </c:dPt>
          <c:dPt>
            <c:idx val="2"/>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3-B47B-47D3-AA65-6DDB33DE5B95}"/>
              </c:ext>
            </c:extLst>
          </c:dPt>
          <c:dPt>
            <c:idx val="4"/>
            <c:invertIfNegative val="0"/>
            <c:bubble3D val="0"/>
            <c:spPr>
              <a:solidFill>
                <a:srgbClr val="0070C0"/>
              </a:solidFill>
              <a:ln>
                <a:solidFill>
                  <a:srgbClr val="0070C0"/>
                </a:solidFill>
              </a:ln>
              <a:effectLst/>
            </c:spPr>
            <c:extLst>
              <c:ext xmlns:c16="http://schemas.microsoft.com/office/drawing/2014/chart" uri="{C3380CC4-5D6E-409C-BE32-E72D297353CC}">
                <c16:uniqueId val="{0000001D-4843-43D6-9412-0E1209D39B5F}"/>
              </c:ext>
            </c:extLst>
          </c:dPt>
          <c:dPt>
            <c:idx val="5"/>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05-B47B-47D3-AA65-6DDB33DE5B95}"/>
              </c:ext>
            </c:extLst>
          </c:dPt>
          <c:dPt>
            <c:idx val="6"/>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7-B47B-47D3-AA65-6DDB33DE5B95}"/>
              </c:ext>
            </c:extLst>
          </c:dPt>
          <c:dPt>
            <c:idx val="8"/>
            <c:invertIfNegative val="0"/>
            <c:bubble3D val="0"/>
            <c:spPr>
              <a:solidFill>
                <a:srgbClr val="0070C0"/>
              </a:solidFill>
              <a:ln>
                <a:solidFill>
                  <a:srgbClr val="0070C0"/>
                </a:solidFill>
              </a:ln>
              <a:effectLst/>
            </c:spPr>
            <c:extLst>
              <c:ext xmlns:c16="http://schemas.microsoft.com/office/drawing/2014/chart" uri="{C3380CC4-5D6E-409C-BE32-E72D297353CC}">
                <c16:uniqueId val="{0000001E-4843-43D6-9412-0E1209D39B5F}"/>
              </c:ext>
            </c:extLst>
          </c:dPt>
          <c:dPt>
            <c:idx val="9"/>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09-B47B-47D3-AA65-6DDB33DE5B95}"/>
              </c:ext>
            </c:extLst>
          </c:dPt>
          <c:dPt>
            <c:idx val="10"/>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B-B47B-47D3-AA65-6DDB33DE5B95}"/>
              </c:ext>
            </c:extLst>
          </c:dPt>
          <c:dPt>
            <c:idx val="12"/>
            <c:invertIfNegative val="0"/>
            <c:bubble3D val="0"/>
            <c:spPr>
              <a:solidFill>
                <a:srgbClr val="0070C0"/>
              </a:solidFill>
              <a:ln>
                <a:solidFill>
                  <a:srgbClr val="0070C0"/>
                </a:solidFill>
              </a:ln>
              <a:effectLst/>
            </c:spPr>
            <c:extLst>
              <c:ext xmlns:c16="http://schemas.microsoft.com/office/drawing/2014/chart" uri="{C3380CC4-5D6E-409C-BE32-E72D297353CC}">
                <c16:uniqueId val="{0000001F-4843-43D6-9412-0E1209D39B5F}"/>
              </c:ext>
            </c:extLst>
          </c:dPt>
          <c:dPt>
            <c:idx val="13"/>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0D-B47B-47D3-AA65-6DDB33DE5B95}"/>
              </c:ext>
            </c:extLst>
          </c:dPt>
          <c:dPt>
            <c:idx val="14"/>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F-B47B-47D3-AA65-6DDB33DE5B95}"/>
              </c:ext>
            </c:extLst>
          </c:dPt>
          <c:dPt>
            <c:idx val="16"/>
            <c:invertIfNegative val="0"/>
            <c:bubble3D val="0"/>
            <c:spPr>
              <a:solidFill>
                <a:srgbClr val="0070C0"/>
              </a:solidFill>
              <a:ln>
                <a:solidFill>
                  <a:srgbClr val="0070C0"/>
                </a:solidFill>
              </a:ln>
              <a:effectLst/>
            </c:spPr>
            <c:extLst>
              <c:ext xmlns:c16="http://schemas.microsoft.com/office/drawing/2014/chart" uri="{C3380CC4-5D6E-409C-BE32-E72D297353CC}">
                <c16:uniqueId val="{00000020-4843-43D6-9412-0E1209D39B5F}"/>
              </c:ext>
            </c:extLst>
          </c:dPt>
          <c:dPt>
            <c:idx val="17"/>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11-B47B-47D3-AA65-6DDB33DE5B95}"/>
              </c:ext>
            </c:extLst>
          </c:dPt>
          <c:dPt>
            <c:idx val="18"/>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3-B47B-47D3-AA65-6DDB33DE5B95}"/>
              </c:ext>
            </c:extLst>
          </c:dPt>
          <c:dPt>
            <c:idx val="20"/>
            <c:invertIfNegative val="0"/>
            <c:bubble3D val="0"/>
            <c:spPr>
              <a:solidFill>
                <a:srgbClr val="0070C0"/>
              </a:solidFill>
              <a:ln>
                <a:solidFill>
                  <a:srgbClr val="0070C0"/>
                </a:solidFill>
              </a:ln>
              <a:effectLst/>
            </c:spPr>
            <c:extLst>
              <c:ext xmlns:c16="http://schemas.microsoft.com/office/drawing/2014/chart" uri="{C3380CC4-5D6E-409C-BE32-E72D297353CC}">
                <c16:uniqueId val="{00000021-4843-43D6-9412-0E1209D39B5F}"/>
              </c:ext>
            </c:extLst>
          </c:dPt>
          <c:dPt>
            <c:idx val="21"/>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15-B47B-47D3-AA65-6DDB33DE5B95}"/>
              </c:ext>
            </c:extLst>
          </c:dPt>
          <c:dPt>
            <c:idx val="22"/>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7-B47B-47D3-AA65-6DDB33DE5B95}"/>
              </c:ext>
            </c:extLst>
          </c:dPt>
          <c:dPt>
            <c:idx val="24"/>
            <c:invertIfNegative val="0"/>
            <c:bubble3D val="0"/>
            <c:spPr>
              <a:solidFill>
                <a:srgbClr val="0070C0"/>
              </a:solidFill>
              <a:ln>
                <a:solidFill>
                  <a:srgbClr val="0070C0"/>
                </a:solidFill>
              </a:ln>
              <a:effectLst/>
            </c:spPr>
            <c:extLst>
              <c:ext xmlns:c16="http://schemas.microsoft.com/office/drawing/2014/chart" uri="{C3380CC4-5D6E-409C-BE32-E72D297353CC}">
                <c16:uniqueId val="{00000022-4843-43D6-9412-0E1209D39B5F}"/>
              </c:ext>
            </c:extLst>
          </c:dPt>
          <c:dPt>
            <c:idx val="25"/>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19-B47B-47D3-AA65-6DDB33DE5B95}"/>
              </c:ext>
            </c:extLst>
          </c:dPt>
          <c:dPt>
            <c:idx val="26"/>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B-B47B-47D3-AA65-6DDB33DE5B95}"/>
              </c:ext>
            </c:extLst>
          </c:dPt>
          <c:dLbls>
            <c:dLbl>
              <c:idx val="2"/>
              <c:layout>
                <c:manualLayout>
                  <c:x val="0"/>
                  <c:y val="-4.911700495931686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7B-47D3-AA65-6DDB33DE5B95}"/>
                </c:ext>
              </c:extLst>
            </c:dLbl>
            <c:dLbl>
              <c:idx val="14"/>
              <c:layout>
                <c:manualLayout>
                  <c:x val="0"/>
                  <c:y val="1.14691958172628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47B-47D3-AA65-6DDB33DE5B95}"/>
                </c:ext>
              </c:extLst>
            </c:dLbl>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 Baseline 5-14'!$E$14:$E$40</c:f>
              <c:strCache>
                <c:ptCount val="25"/>
                <c:pt idx="0">
                  <c:v>% children with Ambulatory Sensitive Hospitalisations over a 3 year period</c:v>
                </c:pt>
                <c:pt idx="3">
                  <c:v> </c:v>
                </c:pt>
                <c:pt idx="4">
                  <c:v>% children with injury-related ED contact over a 3 year period</c:v>
                </c:pt>
                <c:pt idx="7">
                  <c:v> </c:v>
                </c:pt>
                <c:pt idx="8">
                  <c:v>% children with mental health related hospital or community provider service contact</c:v>
                </c:pt>
                <c:pt idx="12">
                  <c:v>% children with standdown spells over a 3 year period</c:v>
                </c:pt>
                <c:pt idx="15">
                  <c:v> </c:v>
                </c:pt>
                <c:pt idx="16">
                  <c:v>% children involved in Oranga Tamariki reports of concern over a 3 year period</c:v>
                </c:pt>
                <c:pt idx="19">
                  <c:v> </c:v>
                </c:pt>
                <c:pt idx="20">
                  <c:v>% children with parent/caregiver(s) with employment income for at least one year over a 3 year period</c:v>
                </c:pt>
                <c:pt idx="23">
                  <c:v> </c:v>
                </c:pt>
                <c:pt idx="24">
                  <c:v>% children whose parent/caregiver drew on tertiary MSD support payments over a 3 year period</c:v>
                </c:pt>
              </c:strCache>
            </c:strRef>
          </c:cat>
          <c:val>
            <c:numRef>
              <c:f>'MC Baseline 5-14'!$G$14:$G$40</c:f>
              <c:numCache>
                <c:formatCode>0%</c:formatCode>
                <c:ptCount val="27"/>
                <c:pt idx="0">
                  <c:v>0.21186440677966101</c:v>
                </c:pt>
                <c:pt idx="1">
                  <c:v>0.17381772627622924</c:v>
                </c:pt>
                <c:pt idx="2">
                  <c:v>3.5343834037648868E-2</c:v>
                </c:pt>
                <c:pt idx="4">
                  <c:v>0.20338983050847459</c:v>
                </c:pt>
                <c:pt idx="5">
                  <c:v>0.18979016598809897</c:v>
                </c:pt>
                <c:pt idx="6">
                  <c:v>0.16711486746062235</c:v>
                </c:pt>
                <c:pt idx="8">
                  <c:v>0.39830508474576271</c:v>
                </c:pt>
                <c:pt idx="9">
                  <c:v>0.32445975571562796</c:v>
                </c:pt>
                <c:pt idx="10">
                  <c:v>8.4773978742476636E-2</c:v>
                </c:pt>
                <c:pt idx="12">
                  <c:v>0.14035087719298245</c:v>
                </c:pt>
                <c:pt idx="13">
                  <c:v>8.7955868832362852E-2</c:v>
                </c:pt>
                <c:pt idx="14">
                  <c:v>5.2339513179467778E-2</c:v>
                </c:pt>
                <c:pt idx="16">
                  <c:v>0.32456140350877194</c:v>
                </c:pt>
                <c:pt idx="17">
                  <c:v>0.20717131474103587</c:v>
                </c:pt>
                <c:pt idx="18">
                  <c:v>0.12258796821793416</c:v>
                </c:pt>
                <c:pt idx="20">
                  <c:v>0.64912280701754388</c:v>
                </c:pt>
                <c:pt idx="21">
                  <c:v>0.75114924915721726</c:v>
                </c:pt>
                <c:pt idx="22">
                  <c:v>0.86606129398410892</c:v>
                </c:pt>
                <c:pt idx="24">
                  <c:v>0.43859649122807015</c:v>
                </c:pt>
                <c:pt idx="25">
                  <c:v>0.33987128409439166</c:v>
                </c:pt>
                <c:pt idx="26">
                  <c:v>0.27746247950561231</c:v>
                </c:pt>
              </c:numCache>
            </c:numRef>
          </c:val>
          <c:extLst>
            <c:ext xmlns:c16="http://schemas.microsoft.com/office/drawing/2014/chart" uri="{C3380CC4-5D6E-409C-BE32-E72D297353CC}">
              <c16:uniqueId val="{0000001C-B47B-47D3-AA65-6DDB33DE5B95}"/>
            </c:ext>
          </c:extLst>
        </c:ser>
        <c:dLbls>
          <c:showLegendKey val="0"/>
          <c:showVal val="0"/>
          <c:showCatName val="0"/>
          <c:showSerName val="0"/>
          <c:showPercent val="0"/>
          <c:showBubbleSize val="0"/>
        </c:dLbls>
        <c:gapWidth val="10"/>
        <c:overlap val="-10"/>
        <c:axId val="634760136"/>
        <c:axId val="493018296"/>
      </c:barChart>
      <c:lineChart>
        <c:grouping val="standard"/>
        <c:varyColors val="0"/>
        <c:ser>
          <c:idx val="1"/>
          <c:order val="1"/>
          <c:tx>
            <c:strRef>
              <c:f>'MC Baseline 5-14'!$H$13</c:f>
              <c:strCache>
                <c:ptCount val="1"/>
                <c:pt idx="0">
                  <c:v>CI upper</c:v>
                </c:pt>
              </c:strCache>
            </c:strRef>
          </c:tx>
          <c:spPr>
            <a:ln w="28575" cap="rnd">
              <a:noFill/>
              <a:round/>
            </a:ln>
            <a:effectLst/>
          </c:spPr>
          <c:marker>
            <c:symbol val="dash"/>
            <c:size val="10"/>
            <c:spPr>
              <a:solidFill>
                <a:schemeClr val="tx1">
                  <a:lumMod val="95000"/>
                  <a:lumOff val="5000"/>
                </a:schemeClr>
              </a:solidFill>
              <a:ln w="9525">
                <a:noFill/>
              </a:ln>
              <a:effectLst/>
            </c:spPr>
          </c:marker>
          <c:cat>
            <c:strRef>
              <c:f>'MC Baseline 5-14'!$E$14:$E$40</c:f>
              <c:strCache>
                <c:ptCount val="25"/>
                <c:pt idx="0">
                  <c:v>% children with Ambulatory Sensitive Hospitalisations over a 3 year period</c:v>
                </c:pt>
                <c:pt idx="3">
                  <c:v> </c:v>
                </c:pt>
                <c:pt idx="4">
                  <c:v>% children with injury-related ED contact over a 3 year period</c:v>
                </c:pt>
                <c:pt idx="7">
                  <c:v> </c:v>
                </c:pt>
                <c:pt idx="8">
                  <c:v>% children with mental health related hospital or community provider service contact</c:v>
                </c:pt>
                <c:pt idx="12">
                  <c:v>% children with standdown spells over a 3 year period</c:v>
                </c:pt>
                <c:pt idx="15">
                  <c:v> </c:v>
                </c:pt>
                <c:pt idx="16">
                  <c:v>% children involved in Oranga Tamariki reports of concern over a 3 year period</c:v>
                </c:pt>
                <c:pt idx="19">
                  <c:v> </c:v>
                </c:pt>
                <c:pt idx="20">
                  <c:v>% children with parent/caregiver(s) with employment income for at least one year over a 3 year period</c:v>
                </c:pt>
                <c:pt idx="23">
                  <c:v> </c:v>
                </c:pt>
                <c:pt idx="24">
                  <c:v>% children whose parent/caregiver drew on tertiary MSD support payments over a 3 year period</c:v>
                </c:pt>
              </c:strCache>
            </c:strRef>
          </c:cat>
          <c:val>
            <c:numRef>
              <c:f>'MC Baseline 5-14'!$H$14:$H$40</c:f>
              <c:numCache>
                <c:formatCode>0%</c:formatCode>
                <c:ptCount val="27"/>
                <c:pt idx="0">
                  <c:v>0.25443168983437903</c:v>
                </c:pt>
                <c:pt idx="1">
                  <c:v>0.18140652392966267</c:v>
                </c:pt>
                <c:pt idx="2">
                  <c:v>3.770829884389508E-2</c:v>
                </c:pt>
                <c:pt idx="4">
                  <c:v>0.24532071276331474</c:v>
                </c:pt>
                <c:pt idx="5">
                  <c:v>0.1976429492730245</c:v>
                </c:pt>
                <c:pt idx="6">
                  <c:v>0.17189224816962281</c:v>
                </c:pt>
                <c:pt idx="8">
                  <c:v>0.4493018413733329</c:v>
                </c:pt>
                <c:pt idx="9">
                  <c:v>0.33383524703627687</c:v>
                </c:pt>
                <c:pt idx="10">
                  <c:v>8.8340831775098036E-2</c:v>
                </c:pt>
                <c:pt idx="12">
                  <c:v>0.17716404714750744</c:v>
                </c:pt>
                <c:pt idx="13">
                  <c:v>9.3566597472361568E-2</c:v>
                </c:pt>
                <c:pt idx="14">
                  <c:v>5.5169728519828987E-2</c:v>
                </c:pt>
                <c:pt idx="16">
                  <c:v>0.37418364880902416</c:v>
                </c:pt>
                <c:pt idx="17">
                  <c:v>0.21519979632130098</c:v>
                </c:pt>
                <c:pt idx="18">
                  <c:v>0.12675574039427606</c:v>
                </c:pt>
                <c:pt idx="20">
                  <c:v>0.69970248291774872</c:v>
                </c:pt>
                <c:pt idx="21">
                  <c:v>0.75971393669172504</c:v>
                </c:pt>
                <c:pt idx="22">
                  <c:v>0.87038947702448999</c:v>
                </c:pt>
                <c:pt idx="24">
                  <c:v>0.49118673402024871</c:v>
                </c:pt>
                <c:pt idx="25">
                  <c:v>0.34925447334036136</c:v>
                </c:pt>
                <c:pt idx="26">
                  <c:v>0.2831524575213023</c:v>
                </c:pt>
              </c:numCache>
            </c:numRef>
          </c:val>
          <c:smooth val="0"/>
          <c:extLst>
            <c:ext xmlns:c16="http://schemas.microsoft.com/office/drawing/2014/chart" uri="{C3380CC4-5D6E-409C-BE32-E72D297353CC}">
              <c16:uniqueId val="{0000001D-B47B-47D3-AA65-6DDB33DE5B95}"/>
            </c:ext>
          </c:extLst>
        </c:ser>
        <c:ser>
          <c:idx val="2"/>
          <c:order val="2"/>
          <c:tx>
            <c:strRef>
              <c:f>'MC Baseline 5-14'!$I$13</c:f>
              <c:strCache>
                <c:ptCount val="1"/>
                <c:pt idx="0">
                  <c:v>CI lower</c:v>
                </c:pt>
              </c:strCache>
            </c:strRef>
          </c:tx>
          <c:spPr>
            <a:ln w="28575" cap="rnd">
              <a:noFill/>
              <a:round/>
            </a:ln>
            <a:effectLst/>
          </c:spPr>
          <c:marker>
            <c:symbol val="dash"/>
            <c:size val="10"/>
            <c:spPr>
              <a:solidFill>
                <a:schemeClr val="tx1">
                  <a:lumMod val="95000"/>
                  <a:lumOff val="5000"/>
                </a:schemeClr>
              </a:solidFill>
              <a:ln w="9525">
                <a:noFill/>
              </a:ln>
              <a:effectLst/>
            </c:spPr>
          </c:marker>
          <c:cat>
            <c:strRef>
              <c:f>'MC Baseline 5-14'!$E$14:$E$40</c:f>
              <c:strCache>
                <c:ptCount val="25"/>
                <c:pt idx="0">
                  <c:v>% children with Ambulatory Sensitive Hospitalisations over a 3 year period</c:v>
                </c:pt>
                <c:pt idx="3">
                  <c:v> </c:v>
                </c:pt>
                <c:pt idx="4">
                  <c:v>% children with injury-related ED contact over a 3 year period</c:v>
                </c:pt>
                <c:pt idx="7">
                  <c:v> </c:v>
                </c:pt>
                <c:pt idx="8">
                  <c:v>% children with mental health related hospital or community provider service contact</c:v>
                </c:pt>
                <c:pt idx="12">
                  <c:v>% children with standdown spells over a 3 year period</c:v>
                </c:pt>
                <c:pt idx="15">
                  <c:v> </c:v>
                </c:pt>
                <c:pt idx="16">
                  <c:v>% children involved in Oranga Tamariki reports of concern over a 3 year period</c:v>
                </c:pt>
                <c:pt idx="19">
                  <c:v> </c:v>
                </c:pt>
                <c:pt idx="20">
                  <c:v>% children with parent/caregiver(s) with employment income for at least one year over a 3 year period</c:v>
                </c:pt>
                <c:pt idx="23">
                  <c:v> </c:v>
                </c:pt>
                <c:pt idx="24">
                  <c:v>% children whose parent/caregiver drew on tertiary MSD support payments over a 3 year period</c:v>
                </c:pt>
              </c:strCache>
            </c:strRef>
          </c:cat>
          <c:val>
            <c:numRef>
              <c:f>'MC Baseline 5-14'!$I$14:$I$40</c:f>
              <c:numCache>
                <c:formatCode>0%</c:formatCode>
                <c:ptCount val="27"/>
                <c:pt idx="0">
                  <c:v>0.16929712372494299</c:v>
                </c:pt>
                <c:pt idx="1">
                  <c:v>0.16622892862279581</c:v>
                </c:pt>
                <c:pt idx="2">
                  <c:v>3.2979369231402655E-2</c:v>
                </c:pt>
                <c:pt idx="4">
                  <c:v>0.16145894825363444</c:v>
                </c:pt>
                <c:pt idx="5">
                  <c:v>0.18193738270317344</c:v>
                </c:pt>
                <c:pt idx="6">
                  <c:v>0.16233748675162188</c:v>
                </c:pt>
                <c:pt idx="8">
                  <c:v>0.34730832811819251</c:v>
                </c:pt>
                <c:pt idx="9">
                  <c:v>0.31508426439497905</c:v>
                </c:pt>
                <c:pt idx="10">
                  <c:v>8.1207125709855235E-2</c:v>
                </c:pt>
                <c:pt idx="12">
                  <c:v>0.10353770723845745</c:v>
                </c:pt>
                <c:pt idx="13">
                  <c:v>8.2345140192364136E-2</c:v>
                </c:pt>
                <c:pt idx="14">
                  <c:v>4.950929783910657E-2</c:v>
                </c:pt>
                <c:pt idx="16">
                  <c:v>0.27493915820851972</c:v>
                </c:pt>
                <c:pt idx="17">
                  <c:v>0.19914283316077075</c:v>
                </c:pt>
                <c:pt idx="18">
                  <c:v>0.11842019604159228</c:v>
                </c:pt>
                <c:pt idx="20">
                  <c:v>0.59854313111733903</c:v>
                </c:pt>
                <c:pt idx="21">
                  <c:v>0.74258456162270947</c:v>
                </c:pt>
                <c:pt idx="22">
                  <c:v>0.86173311094372784</c:v>
                </c:pt>
                <c:pt idx="24">
                  <c:v>0.3860062484358916</c:v>
                </c:pt>
                <c:pt idx="25">
                  <c:v>0.33048809484842195</c:v>
                </c:pt>
                <c:pt idx="26">
                  <c:v>0.27177250148992232</c:v>
                </c:pt>
              </c:numCache>
            </c:numRef>
          </c:val>
          <c:smooth val="0"/>
          <c:extLst>
            <c:ext xmlns:c16="http://schemas.microsoft.com/office/drawing/2014/chart" uri="{C3380CC4-5D6E-409C-BE32-E72D297353CC}">
              <c16:uniqueId val="{0000001E-B47B-47D3-AA65-6DDB33DE5B95}"/>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634760136"/>
        <c:axId val="493018296"/>
      </c:lineChart>
      <c:catAx>
        <c:axId val="634760136"/>
        <c:scaling>
          <c:orientation val="minMax"/>
        </c:scaling>
        <c:delete val="1"/>
        <c:axPos val="b"/>
        <c:numFmt formatCode="General" sourceLinked="1"/>
        <c:majorTickMark val="none"/>
        <c:minorTickMark val="none"/>
        <c:tickLblPos val="nextTo"/>
        <c:crossAx val="493018296"/>
        <c:crosses val="autoZero"/>
        <c:auto val="1"/>
        <c:lblAlgn val="ctr"/>
        <c:lblOffset val="100"/>
        <c:noMultiLvlLbl val="0"/>
      </c:catAx>
      <c:valAx>
        <c:axId val="493018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4760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'MC Baseline 15-24'!$G$13</c:f>
              <c:strCache>
                <c:ptCount val="1"/>
                <c:pt idx="0">
                  <c:v>Average</c:v>
                </c:pt>
              </c:strCache>
            </c:strRef>
          </c:tx>
          <c:spPr>
            <a:solidFill>
              <a:srgbClr val="0070C0"/>
            </a:solidFill>
            <a:ln>
              <a:noFill/>
            </a:ln>
            <a:effectLst/>
          </c:spPr>
          <c:invertIfNegative val="0"/>
          <c:dPt>
            <c:idx val="0"/>
            <c:invertIfNegative val="0"/>
            <c:bubble3D val="0"/>
            <c:spPr>
              <a:solidFill>
                <a:srgbClr val="0070C0"/>
              </a:solidFill>
              <a:ln>
                <a:solidFill>
                  <a:srgbClr val="0070C0"/>
                </a:solidFill>
              </a:ln>
              <a:effectLst/>
            </c:spPr>
            <c:extLst>
              <c:ext xmlns:c16="http://schemas.microsoft.com/office/drawing/2014/chart" uri="{C3380CC4-5D6E-409C-BE32-E72D297353CC}">
                <c16:uniqueId val="{0000001E-E701-4C1E-AA6D-2195A338CACA}"/>
              </c:ext>
            </c:extLst>
          </c:dPt>
          <c:dPt>
            <c:idx val="1"/>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01-A33F-4208-B7E7-186DD6525B05}"/>
              </c:ext>
            </c:extLst>
          </c:dPt>
          <c:dPt>
            <c:idx val="2"/>
            <c:invertIfNegative val="0"/>
            <c:bubble3D val="0"/>
            <c:spPr>
              <a:solidFill>
                <a:schemeClr val="bg1">
                  <a:lumMod val="50000"/>
                </a:schemeClr>
              </a:solidFill>
              <a:ln>
                <a:noFill/>
              </a:ln>
              <a:effectLst/>
            </c:spPr>
            <c:extLst>
              <c:ext xmlns:c16="http://schemas.microsoft.com/office/drawing/2014/chart" uri="{C3380CC4-5D6E-409C-BE32-E72D297353CC}">
                <c16:uniqueId val="{00000003-A33F-4208-B7E7-186DD6525B05}"/>
              </c:ext>
            </c:extLst>
          </c:dPt>
          <c:dPt>
            <c:idx val="4"/>
            <c:invertIfNegative val="0"/>
            <c:bubble3D val="0"/>
            <c:spPr>
              <a:solidFill>
                <a:srgbClr val="0070C0"/>
              </a:solidFill>
              <a:ln>
                <a:solidFill>
                  <a:srgbClr val="0070C0"/>
                </a:solidFill>
              </a:ln>
              <a:effectLst/>
            </c:spPr>
            <c:extLst>
              <c:ext xmlns:c16="http://schemas.microsoft.com/office/drawing/2014/chart" uri="{C3380CC4-5D6E-409C-BE32-E72D297353CC}">
                <c16:uniqueId val="{0000001F-E701-4C1E-AA6D-2195A338CACA}"/>
              </c:ext>
            </c:extLst>
          </c:dPt>
          <c:dPt>
            <c:idx val="5"/>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05-A33F-4208-B7E7-186DD6525B05}"/>
              </c:ext>
            </c:extLst>
          </c:dPt>
          <c:dPt>
            <c:idx val="6"/>
            <c:invertIfNegative val="0"/>
            <c:bubble3D val="0"/>
            <c:spPr>
              <a:solidFill>
                <a:schemeClr val="bg1">
                  <a:lumMod val="50000"/>
                </a:schemeClr>
              </a:solidFill>
              <a:ln>
                <a:noFill/>
              </a:ln>
              <a:effectLst/>
            </c:spPr>
            <c:extLst>
              <c:ext xmlns:c16="http://schemas.microsoft.com/office/drawing/2014/chart" uri="{C3380CC4-5D6E-409C-BE32-E72D297353CC}">
                <c16:uniqueId val="{00000007-A33F-4208-B7E7-186DD6525B05}"/>
              </c:ext>
            </c:extLst>
          </c:dPt>
          <c:dPt>
            <c:idx val="8"/>
            <c:invertIfNegative val="0"/>
            <c:bubble3D val="0"/>
            <c:spPr>
              <a:solidFill>
                <a:srgbClr val="0070C0"/>
              </a:solidFill>
              <a:ln>
                <a:solidFill>
                  <a:srgbClr val="0070C0"/>
                </a:solidFill>
              </a:ln>
              <a:effectLst/>
            </c:spPr>
            <c:extLst>
              <c:ext xmlns:c16="http://schemas.microsoft.com/office/drawing/2014/chart" uri="{C3380CC4-5D6E-409C-BE32-E72D297353CC}">
                <c16:uniqueId val="{00000020-E701-4C1E-AA6D-2195A338CACA}"/>
              </c:ext>
            </c:extLst>
          </c:dPt>
          <c:dPt>
            <c:idx val="9"/>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09-A33F-4208-B7E7-186DD6525B05}"/>
              </c:ext>
            </c:extLst>
          </c:dPt>
          <c:dPt>
            <c:idx val="10"/>
            <c:invertIfNegative val="0"/>
            <c:bubble3D val="0"/>
            <c:spPr>
              <a:solidFill>
                <a:schemeClr val="bg1">
                  <a:lumMod val="50000"/>
                </a:schemeClr>
              </a:solidFill>
              <a:ln>
                <a:noFill/>
              </a:ln>
              <a:effectLst/>
            </c:spPr>
            <c:extLst>
              <c:ext xmlns:c16="http://schemas.microsoft.com/office/drawing/2014/chart" uri="{C3380CC4-5D6E-409C-BE32-E72D297353CC}">
                <c16:uniqueId val="{0000000B-A33F-4208-B7E7-186DD6525B05}"/>
              </c:ext>
            </c:extLst>
          </c:dPt>
          <c:dPt>
            <c:idx val="12"/>
            <c:invertIfNegative val="0"/>
            <c:bubble3D val="0"/>
            <c:spPr>
              <a:solidFill>
                <a:srgbClr val="0070C0"/>
              </a:solidFill>
              <a:ln>
                <a:solidFill>
                  <a:srgbClr val="0070C0"/>
                </a:solidFill>
              </a:ln>
              <a:effectLst/>
            </c:spPr>
            <c:extLst>
              <c:ext xmlns:c16="http://schemas.microsoft.com/office/drawing/2014/chart" uri="{C3380CC4-5D6E-409C-BE32-E72D297353CC}">
                <c16:uniqueId val="{0000001D-A33F-4208-B7E7-186DD6525B05}"/>
              </c:ext>
            </c:extLst>
          </c:dPt>
          <c:dPt>
            <c:idx val="13"/>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0D-A33F-4208-B7E7-186DD6525B05}"/>
              </c:ext>
            </c:extLst>
          </c:dPt>
          <c:dPt>
            <c:idx val="14"/>
            <c:invertIfNegative val="0"/>
            <c:bubble3D val="0"/>
            <c:spPr>
              <a:solidFill>
                <a:schemeClr val="bg1">
                  <a:lumMod val="50000"/>
                </a:schemeClr>
              </a:solidFill>
              <a:ln>
                <a:noFill/>
              </a:ln>
              <a:effectLst/>
            </c:spPr>
            <c:extLst>
              <c:ext xmlns:c16="http://schemas.microsoft.com/office/drawing/2014/chart" uri="{C3380CC4-5D6E-409C-BE32-E72D297353CC}">
                <c16:uniqueId val="{0000000F-A33F-4208-B7E7-186DD6525B05}"/>
              </c:ext>
            </c:extLst>
          </c:dPt>
          <c:dPt>
            <c:idx val="16"/>
            <c:invertIfNegative val="0"/>
            <c:bubble3D val="0"/>
            <c:spPr>
              <a:solidFill>
                <a:srgbClr val="0070C0"/>
              </a:solidFill>
              <a:ln>
                <a:solidFill>
                  <a:srgbClr val="0070C0"/>
                </a:solidFill>
              </a:ln>
              <a:effectLst/>
            </c:spPr>
            <c:extLst>
              <c:ext xmlns:c16="http://schemas.microsoft.com/office/drawing/2014/chart" uri="{C3380CC4-5D6E-409C-BE32-E72D297353CC}">
                <c16:uniqueId val="{0000001E-A33F-4208-B7E7-186DD6525B05}"/>
              </c:ext>
            </c:extLst>
          </c:dPt>
          <c:dPt>
            <c:idx val="17"/>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11-A33F-4208-B7E7-186DD6525B05}"/>
              </c:ext>
            </c:extLst>
          </c:dPt>
          <c:dPt>
            <c:idx val="18"/>
            <c:invertIfNegative val="0"/>
            <c:bubble3D val="0"/>
            <c:spPr>
              <a:solidFill>
                <a:schemeClr val="bg1">
                  <a:lumMod val="50000"/>
                </a:schemeClr>
              </a:solidFill>
              <a:ln>
                <a:noFill/>
              </a:ln>
              <a:effectLst/>
            </c:spPr>
            <c:extLst>
              <c:ext xmlns:c16="http://schemas.microsoft.com/office/drawing/2014/chart" uri="{C3380CC4-5D6E-409C-BE32-E72D297353CC}">
                <c16:uniqueId val="{00000013-A33F-4208-B7E7-186DD6525B05}"/>
              </c:ext>
            </c:extLst>
          </c:dPt>
          <c:dPt>
            <c:idx val="20"/>
            <c:invertIfNegative val="0"/>
            <c:bubble3D val="0"/>
            <c:spPr>
              <a:solidFill>
                <a:srgbClr val="0070C0"/>
              </a:solidFill>
              <a:ln>
                <a:solidFill>
                  <a:srgbClr val="0070C0"/>
                </a:solidFill>
              </a:ln>
              <a:effectLst/>
            </c:spPr>
            <c:extLst>
              <c:ext xmlns:c16="http://schemas.microsoft.com/office/drawing/2014/chart" uri="{C3380CC4-5D6E-409C-BE32-E72D297353CC}">
                <c16:uniqueId val="{0000001E-1EE4-4ACB-8368-357E08FDCAC3}"/>
              </c:ext>
            </c:extLst>
          </c:dPt>
          <c:dPt>
            <c:idx val="21"/>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15-A33F-4208-B7E7-186DD6525B05}"/>
              </c:ext>
            </c:extLst>
          </c:dPt>
          <c:dPt>
            <c:idx val="22"/>
            <c:invertIfNegative val="0"/>
            <c:bubble3D val="0"/>
            <c:spPr>
              <a:solidFill>
                <a:schemeClr val="bg1">
                  <a:lumMod val="50000"/>
                </a:schemeClr>
              </a:solidFill>
              <a:ln>
                <a:noFill/>
              </a:ln>
              <a:effectLst/>
            </c:spPr>
            <c:extLst>
              <c:ext xmlns:c16="http://schemas.microsoft.com/office/drawing/2014/chart" uri="{C3380CC4-5D6E-409C-BE32-E72D297353CC}">
                <c16:uniqueId val="{00000017-A33F-4208-B7E7-186DD6525B05}"/>
              </c:ext>
            </c:extLst>
          </c:dPt>
          <c:dPt>
            <c:idx val="24"/>
            <c:invertIfNegative val="0"/>
            <c:bubble3D val="0"/>
            <c:spPr>
              <a:solidFill>
                <a:srgbClr val="0070C0"/>
              </a:solidFill>
              <a:ln>
                <a:solidFill>
                  <a:srgbClr val="0070C0"/>
                </a:solidFill>
              </a:ln>
              <a:effectLst/>
            </c:spPr>
            <c:extLst>
              <c:ext xmlns:c16="http://schemas.microsoft.com/office/drawing/2014/chart" uri="{C3380CC4-5D6E-409C-BE32-E72D297353CC}">
                <c16:uniqueId val="{00000021-E701-4C1E-AA6D-2195A338CACA}"/>
              </c:ext>
            </c:extLst>
          </c:dPt>
          <c:dPt>
            <c:idx val="25"/>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19-A33F-4208-B7E7-186DD6525B05}"/>
              </c:ext>
            </c:extLst>
          </c:dPt>
          <c:dPt>
            <c:idx val="26"/>
            <c:invertIfNegative val="0"/>
            <c:bubble3D val="0"/>
            <c:spPr>
              <a:solidFill>
                <a:schemeClr val="bg1">
                  <a:lumMod val="50000"/>
                </a:schemeClr>
              </a:solidFill>
              <a:ln>
                <a:noFill/>
              </a:ln>
              <a:effectLst/>
            </c:spPr>
            <c:extLst>
              <c:ext xmlns:c16="http://schemas.microsoft.com/office/drawing/2014/chart" uri="{C3380CC4-5D6E-409C-BE32-E72D297353CC}">
                <c16:uniqueId val="{0000001C-8E35-481D-90DF-67686BEB7EE2}"/>
              </c:ext>
            </c:extLst>
          </c:dPt>
          <c:dPt>
            <c:idx val="28"/>
            <c:invertIfNegative val="0"/>
            <c:bubble3D val="0"/>
            <c:spPr>
              <a:solidFill>
                <a:srgbClr val="0070C0"/>
              </a:solidFill>
              <a:ln>
                <a:solidFill>
                  <a:srgbClr val="0070C0"/>
                </a:solidFill>
              </a:ln>
              <a:effectLst/>
            </c:spPr>
            <c:extLst>
              <c:ext xmlns:c16="http://schemas.microsoft.com/office/drawing/2014/chart" uri="{C3380CC4-5D6E-409C-BE32-E72D297353CC}">
                <c16:uniqueId val="{00000022-E701-4C1E-AA6D-2195A338CACA}"/>
              </c:ext>
            </c:extLst>
          </c:dPt>
          <c:dPt>
            <c:idx val="29"/>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1F-A33F-4208-B7E7-186DD6525B05}"/>
              </c:ext>
            </c:extLst>
          </c:dPt>
          <c:dLbls>
            <c:dLbl>
              <c:idx val="2"/>
              <c:layout>
                <c:manualLayout>
                  <c:x val="0"/>
                  <c:y val="9.2808629817369586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3F-4208-B7E7-186DD6525B05}"/>
                </c:ext>
              </c:extLst>
            </c:dLbl>
            <c:dLbl>
              <c:idx val="12"/>
              <c:layout>
                <c:manualLayout>
                  <c:x val="0"/>
                  <c:y val="0.1429786779676178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33F-4208-B7E7-186DD6525B05}"/>
                </c:ext>
              </c:extLst>
            </c:dLbl>
            <c:dLbl>
              <c:idx val="13"/>
              <c:layout>
                <c:manualLayout>
                  <c:x val="-5.2553021492185151E-17"/>
                  <c:y val="0.184447051320344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33F-4208-B7E7-186DD6525B05}"/>
                </c:ext>
              </c:extLst>
            </c:dLbl>
            <c:dLbl>
              <c:idx val="16"/>
              <c:layout>
                <c:manualLayout>
                  <c:x val="-1.051060429843703E-16"/>
                  <c:y val="-2.56121228386858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33F-4208-B7E7-186DD6525B05}"/>
                </c:ext>
              </c:extLst>
            </c:dLbl>
            <c:dLbl>
              <c:idx val="17"/>
              <c:layout>
                <c:manualLayout>
                  <c:x val="-1.051060429843703E-16"/>
                  <c:y val="4.86119828754225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3F-4208-B7E7-186DD6525B05}"/>
                </c:ext>
              </c:extLst>
            </c:dLbl>
            <c:dLbl>
              <c:idx val="20"/>
              <c:layout>
                <c:manualLayout>
                  <c:x val="0"/>
                  <c:y val="-2.00127265565141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EE4-4ACB-8368-357E08FDCAC3}"/>
                </c:ext>
              </c:extLst>
            </c:dLbl>
            <c:dLbl>
              <c:idx val="25"/>
              <c:layout>
                <c:manualLayout>
                  <c:x val="0"/>
                  <c:y val="0.8160533534187829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33F-4208-B7E7-186DD6525B05}"/>
                </c:ext>
              </c:extLst>
            </c:dLbl>
            <c:dLbl>
              <c:idx val="29"/>
              <c:layout>
                <c:manualLayout>
                  <c:x val="0"/>
                  <c:y val="6.084506066758147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33F-4208-B7E7-186DD6525B05}"/>
                </c:ext>
              </c:extLst>
            </c:dLbl>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'MC Baseline 15-24'!$D$14:$E$43</c:f>
              <c:multiLvlStrCache>
                <c:ptCount val="29"/>
                <c:lvl>
                  <c:pt idx="0">
                    <c:v>% young people with Ambulatory Sensitive Hospitalisations over a 3 year period</c:v>
                  </c:pt>
                  <c:pt idx="3">
                    <c:v> </c:v>
                  </c:pt>
                  <c:pt idx="4">
                    <c:v>% young people with injury related ED contact over a 3 year period</c:v>
                  </c:pt>
                  <c:pt idx="7">
                    <c:v> </c:v>
                  </c:pt>
                  <c:pt idx="8">
                    <c:v>% young people with mental health related hospital or community provider service contact</c:v>
                  </c:pt>
                  <c:pt idx="11">
                    <c:v> </c:v>
                  </c:pt>
                  <c:pt idx="12">
                    <c:v>% young people with NCEA Level 2 or above at ages 17-24</c:v>
                  </c:pt>
                  <c:pt idx="15">
                    <c:v> </c:v>
                  </c:pt>
                  <c:pt idx="16">
                    <c:v>% young people with full drivers licenses at ages 20-24</c:v>
                  </c:pt>
                  <c:pt idx="19">
                    <c:v> </c:v>
                  </c:pt>
                  <c:pt idx="20">
                    <c:v>% young people with employment income over $5k for at least one year over a 3 year period</c:v>
                  </c:pt>
                  <c:pt idx="23">
                    <c:v> </c:v>
                  </c:pt>
                  <c:pt idx="24">
                    <c:v>% young people supported by main benefit for some/all of a 3 year period</c:v>
                  </c:pt>
                  <c:pt idx="27">
                    <c:v> </c:v>
                  </c:pt>
                  <c:pt idx="28">
                    <c:v>% young people who transitioned into residential care over a 3 year period</c:v>
                  </c:pt>
                </c:lvl>
                <c:lvl>
                  <c:pt idx="0">
                    <c:v>Happy and well</c:v>
                  </c:pt>
                  <c:pt idx="12">
                    <c:v>Developing and achieving</c:v>
                  </c:pt>
                  <c:pt idx="20">
                    <c:v>Have what they need</c:v>
                  </c:pt>
                  <c:pt idx="28">
                    <c:v>Support services</c:v>
                  </c:pt>
                </c:lvl>
              </c:multiLvlStrCache>
            </c:multiLvlStrRef>
          </c:cat>
          <c:val>
            <c:numRef>
              <c:f>'MC Baseline 15-24'!$G$14:$G$43</c:f>
              <c:numCache>
                <c:formatCode>0%</c:formatCode>
                <c:ptCount val="30"/>
                <c:pt idx="0">
                  <c:v>0.2441860465116279</c:v>
                </c:pt>
                <c:pt idx="1">
                  <c:v>0.14469273743016758</c:v>
                </c:pt>
                <c:pt idx="2">
                  <c:v>2.4928092042186004E-2</c:v>
                </c:pt>
                <c:pt idx="4">
                  <c:v>0.16279069767441862</c:v>
                </c:pt>
                <c:pt idx="5">
                  <c:v>0.17150837988826817</c:v>
                </c:pt>
                <c:pt idx="6">
                  <c:v>0.20961169702780441</c:v>
                </c:pt>
                <c:pt idx="8">
                  <c:v>0.27906976744186046</c:v>
                </c:pt>
                <c:pt idx="9">
                  <c:v>0.2988826815642458</c:v>
                </c:pt>
                <c:pt idx="10">
                  <c:v>9.9952061361457331E-2</c:v>
                </c:pt>
                <c:pt idx="12">
                  <c:v>0.15189873417721519</c:v>
                </c:pt>
                <c:pt idx="13">
                  <c:v>0.19638826185101579</c:v>
                </c:pt>
                <c:pt idx="14">
                  <c:v>0.70814927646610815</c:v>
                </c:pt>
                <c:pt idx="16">
                  <c:v>6.3829787234042548E-2</c:v>
                </c:pt>
                <c:pt idx="17">
                  <c:v>5.3124999999999999E-2</c:v>
                </c:pt>
                <c:pt idx="18">
                  <c:v>0.4353417480352465</c:v>
                </c:pt>
                <c:pt idx="20">
                  <c:v>6.5934065934065936E-2</c:v>
                </c:pt>
                <c:pt idx="21">
                  <c:v>0.12791299844640083</c:v>
                </c:pt>
                <c:pt idx="22">
                  <c:v>0.76604406130268199</c:v>
                </c:pt>
                <c:pt idx="24">
                  <c:v>0.96703296703296704</c:v>
                </c:pt>
                <c:pt idx="25">
                  <c:v>0.88296219575349555</c:v>
                </c:pt>
                <c:pt idx="26">
                  <c:v>0.28412356321839083</c:v>
                </c:pt>
                <c:pt idx="28">
                  <c:v>8.9108910891089105E-2</c:v>
                </c:pt>
                <c:pt idx="29">
                  <c:v>3.8509836751778985E-2</c:v>
                </c:pt>
              </c:numCache>
            </c:numRef>
          </c:val>
          <c:extLst>
            <c:ext xmlns:c16="http://schemas.microsoft.com/office/drawing/2014/chart" uri="{C3380CC4-5D6E-409C-BE32-E72D297353CC}">
              <c16:uniqueId val="{0000001A-A33F-4208-B7E7-186DD6525B05}"/>
            </c:ext>
          </c:extLst>
        </c:ser>
        <c:dLbls>
          <c:showLegendKey val="0"/>
          <c:showVal val="0"/>
          <c:showCatName val="0"/>
          <c:showSerName val="0"/>
          <c:showPercent val="0"/>
          <c:showBubbleSize val="0"/>
        </c:dLbls>
        <c:gapWidth val="10"/>
        <c:overlap val="-10"/>
        <c:axId val="634760136"/>
        <c:axId val="493018296"/>
      </c:barChart>
      <c:lineChart>
        <c:grouping val="standard"/>
        <c:varyColors val="0"/>
        <c:ser>
          <c:idx val="1"/>
          <c:order val="1"/>
          <c:tx>
            <c:strRef>
              <c:f>'MC Baseline 15-24'!$H$13</c:f>
              <c:strCache>
                <c:ptCount val="1"/>
                <c:pt idx="0">
                  <c:v>CI upper</c:v>
                </c:pt>
              </c:strCache>
            </c:strRef>
          </c:tx>
          <c:spPr>
            <a:ln w="28575" cap="rnd">
              <a:noFill/>
              <a:round/>
            </a:ln>
            <a:effectLst/>
          </c:spPr>
          <c:marker>
            <c:symbol val="dash"/>
            <c:size val="10"/>
            <c:spPr>
              <a:solidFill>
                <a:schemeClr val="bg2"/>
              </a:solidFill>
              <a:ln w="9525">
                <a:noFill/>
              </a:ln>
              <a:effectLst/>
            </c:spPr>
          </c:marker>
          <c:cat>
            <c:multiLvlStrRef>
              <c:f>'MC Baseline 15-24'!$D$14:$E$43</c:f>
              <c:multiLvlStrCache>
                <c:ptCount val="29"/>
                <c:lvl>
                  <c:pt idx="0">
                    <c:v>% young people with Ambulatory Sensitive Hospitalisations over a 3 year period</c:v>
                  </c:pt>
                  <c:pt idx="3">
                    <c:v> </c:v>
                  </c:pt>
                  <c:pt idx="4">
                    <c:v>% young people with injury related ED contact over a 3 year period</c:v>
                  </c:pt>
                  <c:pt idx="7">
                    <c:v> </c:v>
                  </c:pt>
                  <c:pt idx="8">
                    <c:v>% young people with mental health related hospital or community provider service contact</c:v>
                  </c:pt>
                  <c:pt idx="11">
                    <c:v> </c:v>
                  </c:pt>
                  <c:pt idx="12">
                    <c:v>% young people with NCEA Level 2 or above at ages 17-24</c:v>
                  </c:pt>
                  <c:pt idx="15">
                    <c:v> </c:v>
                  </c:pt>
                  <c:pt idx="16">
                    <c:v>% young people with full drivers licenses at ages 20-24</c:v>
                  </c:pt>
                  <c:pt idx="19">
                    <c:v> </c:v>
                  </c:pt>
                  <c:pt idx="20">
                    <c:v>% young people with employment income over $5k for at least one year over a 3 year period</c:v>
                  </c:pt>
                  <c:pt idx="23">
                    <c:v> </c:v>
                  </c:pt>
                  <c:pt idx="24">
                    <c:v>% young people supported by main benefit for some/all of a 3 year period</c:v>
                  </c:pt>
                  <c:pt idx="27">
                    <c:v> </c:v>
                  </c:pt>
                  <c:pt idx="28">
                    <c:v>% young people who transitioned into residential care over a 3 year period</c:v>
                  </c:pt>
                </c:lvl>
                <c:lvl>
                  <c:pt idx="0">
                    <c:v>Happy and well</c:v>
                  </c:pt>
                  <c:pt idx="12">
                    <c:v>Developing and achieving</c:v>
                  </c:pt>
                  <c:pt idx="20">
                    <c:v>Have what they need</c:v>
                  </c:pt>
                  <c:pt idx="28">
                    <c:v>Support services</c:v>
                  </c:pt>
                </c:lvl>
              </c:multiLvlStrCache>
            </c:multiLvlStrRef>
          </c:cat>
          <c:val>
            <c:numRef>
              <c:f>'MC Baseline 15-24'!$H$14:$H$43</c:f>
              <c:numCache>
                <c:formatCode>0%</c:formatCode>
                <c:ptCount val="30"/>
                <c:pt idx="0">
                  <c:v>0.29660714440870706</c:v>
                </c:pt>
                <c:pt idx="1">
                  <c:v>0.15410177915812878</c:v>
                </c:pt>
                <c:pt idx="2">
                  <c:v>2.6859451710398236E-2</c:v>
                </c:pt>
                <c:pt idx="4">
                  <c:v>0.20783813117550937</c:v>
                </c:pt>
                <c:pt idx="5">
                  <c:v>0.18159040280908545</c:v>
                </c:pt>
                <c:pt idx="6">
                  <c:v>0.21465399289492079</c:v>
                </c:pt>
                <c:pt idx="8">
                  <c:v>0.33380175913823446</c:v>
                </c:pt>
                <c:pt idx="9">
                  <c:v>0.31112621216745612</c:v>
                </c:pt>
                <c:pt idx="10">
                  <c:v>0.1036676618760432</c:v>
                </c:pt>
                <c:pt idx="12">
                  <c:v>0.19759438330908488</c:v>
                </c:pt>
                <c:pt idx="13">
                  <c:v>0.20706740735790213</c:v>
                </c:pt>
                <c:pt idx="14">
                  <c:v>0.71449838708128011</c:v>
                </c:pt>
                <c:pt idx="16">
                  <c:v>0.10417831030981389</c:v>
                </c:pt>
                <c:pt idx="17">
                  <c:v>6.0188503084511978E-2</c:v>
                </c:pt>
                <c:pt idx="18">
                  <c:v>0.44399984657666708</c:v>
                </c:pt>
                <c:pt idx="20">
                  <c:v>9.537221250036082E-2</c:v>
                </c:pt>
                <c:pt idx="21">
                  <c:v>0.13651369396770349</c:v>
                </c:pt>
                <c:pt idx="22">
                  <c:v>0.7712859299343473</c:v>
                </c:pt>
                <c:pt idx="24">
                  <c:v>0.98821303447255893</c:v>
                </c:pt>
                <c:pt idx="25">
                  <c:v>0.89124029186173825</c:v>
                </c:pt>
                <c:pt idx="26">
                  <c:v>0.28970781357986042</c:v>
                </c:pt>
                <c:pt idx="28">
                  <c:v>0.12118789241279251</c:v>
                </c:pt>
                <c:pt idx="29">
                  <c:v>4.2964733577154413E-2</c:v>
                </c:pt>
              </c:numCache>
            </c:numRef>
          </c:val>
          <c:smooth val="0"/>
          <c:extLst>
            <c:ext xmlns:c16="http://schemas.microsoft.com/office/drawing/2014/chart" uri="{C3380CC4-5D6E-409C-BE32-E72D297353CC}">
              <c16:uniqueId val="{0000001B-A33F-4208-B7E7-186DD6525B05}"/>
            </c:ext>
          </c:extLst>
        </c:ser>
        <c:ser>
          <c:idx val="2"/>
          <c:order val="2"/>
          <c:tx>
            <c:strRef>
              <c:f>'MC Baseline 15-24'!$I$13</c:f>
              <c:strCache>
                <c:ptCount val="1"/>
                <c:pt idx="0">
                  <c:v>CI lower</c:v>
                </c:pt>
              </c:strCache>
            </c:strRef>
          </c:tx>
          <c:spPr>
            <a:ln w="28575" cap="rnd">
              <a:noFill/>
              <a:round/>
            </a:ln>
            <a:effectLst/>
          </c:spPr>
          <c:marker>
            <c:symbol val="dash"/>
            <c:size val="10"/>
            <c:spPr>
              <a:solidFill>
                <a:schemeClr val="bg2"/>
              </a:solidFill>
              <a:ln w="9525">
                <a:noFill/>
              </a:ln>
              <a:effectLst/>
            </c:spPr>
          </c:marker>
          <c:cat>
            <c:multiLvlStrRef>
              <c:f>'MC Baseline 15-24'!$D$14:$E$43</c:f>
              <c:multiLvlStrCache>
                <c:ptCount val="29"/>
                <c:lvl>
                  <c:pt idx="0">
                    <c:v>% young people with Ambulatory Sensitive Hospitalisations over a 3 year period</c:v>
                  </c:pt>
                  <c:pt idx="3">
                    <c:v> </c:v>
                  </c:pt>
                  <c:pt idx="4">
                    <c:v>% young people with injury related ED contact over a 3 year period</c:v>
                  </c:pt>
                  <c:pt idx="7">
                    <c:v> </c:v>
                  </c:pt>
                  <c:pt idx="8">
                    <c:v>% young people with mental health related hospital or community provider service contact</c:v>
                  </c:pt>
                  <c:pt idx="11">
                    <c:v> </c:v>
                  </c:pt>
                  <c:pt idx="12">
                    <c:v>% young people with NCEA Level 2 or above at ages 17-24</c:v>
                  </c:pt>
                  <c:pt idx="15">
                    <c:v> </c:v>
                  </c:pt>
                  <c:pt idx="16">
                    <c:v>% young people with full drivers licenses at ages 20-24</c:v>
                  </c:pt>
                  <c:pt idx="19">
                    <c:v> </c:v>
                  </c:pt>
                  <c:pt idx="20">
                    <c:v>% young people with employment income over $5k for at least one year over a 3 year period</c:v>
                  </c:pt>
                  <c:pt idx="23">
                    <c:v> </c:v>
                  </c:pt>
                  <c:pt idx="24">
                    <c:v>% young people supported by main benefit for some/all of a 3 year period</c:v>
                  </c:pt>
                  <c:pt idx="27">
                    <c:v> </c:v>
                  </c:pt>
                  <c:pt idx="28">
                    <c:v>% young people who transitioned into residential care over a 3 year period</c:v>
                  </c:pt>
                </c:lvl>
                <c:lvl>
                  <c:pt idx="0">
                    <c:v>Happy and well</c:v>
                  </c:pt>
                  <c:pt idx="12">
                    <c:v>Developing and achieving</c:v>
                  </c:pt>
                  <c:pt idx="20">
                    <c:v>Have what they need</c:v>
                  </c:pt>
                  <c:pt idx="28">
                    <c:v>Support services</c:v>
                  </c:pt>
                </c:lvl>
              </c:multiLvlStrCache>
            </c:multiLvlStrRef>
          </c:cat>
          <c:val>
            <c:numRef>
              <c:f>'MC Baseline 15-24'!$I$14:$I$43</c:f>
              <c:numCache>
                <c:formatCode>0%</c:formatCode>
                <c:ptCount val="30"/>
                <c:pt idx="0">
                  <c:v>0.19176494861454874</c:v>
                </c:pt>
                <c:pt idx="1">
                  <c:v>0.13528369570220639</c:v>
                </c:pt>
                <c:pt idx="2">
                  <c:v>2.2996732373973771E-2</c:v>
                </c:pt>
                <c:pt idx="4">
                  <c:v>0.11774326417332785</c:v>
                </c:pt>
                <c:pt idx="5">
                  <c:v>0.16142635696745089</c:v>
                </c:pt>
                <c:pt idx="6">
                  <c:v>0.20456940116068803</c:v>
                </c:pt>
                <c:pt idx="8">
                  <c:v>0.22433777574548647</c:v>
                </c:pt>
                <c:pt idx="9">
                  <c:v>0.28663915096103548</c:v>
                </c:pt>
                <c:pt idx="10">
                  <c:v>9.6236460846871458E-2</c:v>
                </c:pt>
                <c:pt idx="12">
                  <c:v>0.10620308504534551</c:v>
                </c:pt>
                <c:pt idx="13">
                  <c:v>0.18570911634412945</c:v>
                </c:pt>
                <c:pt idx="14">
                  <c:v>0.70180016585093619</c:v>
                </c:pt>
                <c:pt idx="16">
                  <c:v>2.3481264158271196E-2</c:v>
                </c:pt>
                <c:pt idx="17">
                  <c:v>4.6061496915488019E-2</c:v>
                </c:pt>
                <c:pt idx="18">
                  <c:v>0.42668364949382592</c:v>
                </c:pt>
                <c:pt idx="20">
                  <c:v>3.6495919367771051E-2</c:v>
                </c:pt>
                <c:pt idx="21">
                  <c:v>0.11931230292509817</c:v>
                </c:pt>
                <c:pt idx="22">
                  <c:v>0.76080219267101667</c:v>
                </c:pt>
                <c:pt idx="24">
                  <c:v>0.94585289959337515</c:v>
                </c:pt>
                <c:pt idx="25">
                  <c:v>0.87468409964525284</c:v>
                </c:pt>
                <c:pt idx="26">
                  <c:v>0.27853931285692124</c:v>
                </c:pt>
                <c:pt idx="28">
                  <c:v>5.7029929369385703E-2</c:v>
                </c:pt>
                <c:pt idx="29">
                  <c:v>3.4054939926403557E-2</c:v>
                </c:pt>
              </c:numCache>
            </c:numRef>
          </c:val>
          <c:smooth val="0"/>
          <c:extLst>
            <c:ext xmlns:c16="http://schemas.microsoft.com/office/drawing/2014/chart" uri="{C3380CC4-5D6E-409C-BE32-E72D297353CC}">
              <c16:uniqueId val="{0000001C-A33F-4208-B7E7-186DD6525B05}"/>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634760136"/>
        <c:axId val="493018296"/>
      </c:lineChart>
      <c:catAx>
        <c:axId val="634760136"/>
        <c:scaling>
          <c:orientation val="minMax"/>
        </c:scaling>
        <c:delete val="1"/>
        <c:axPos val="b"/>
        <c:numFmt formatCode="General" sourceLinked="1"/>
        <c:majorTickMark val="none"/>
        <c:minorTickMark val="none"/>
        <c:tickLblPos val="nextTo"/>
        <c:crossAx val="493018296"/>
        <c:crosses val="autoZero"/>
        <c:auto val="1"/>
        <c:lblAlgn val="ctr"/>
        <c:lblOffset val="100"/>
        <c:noMultiLvlLbl val="0"/>
      </c:catAx>
      <c:valAx>
        <c:axId val="4930182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4760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'SOC_EDU (graphs)'!$E$40</c:f>
              <c:strCache>
                <c:ptCount val="1"/>
                <c:pt idx="0">
                  <c:v>Received any employment income over the year</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cat>
            <c:numRef>
              <c:f>'SOC_EDU (graphs)'!$C$53:$C$62</c:f>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f>'SOC_EDU (graphs)'!$E$53:$E$62</c:f>
              <c:numCache>
                <c:formatCode>0%</c:formatCode>
                <c:ptCount val="10"/>
                <c:pt idx="0">
                  <c:v>0</c:v>
                </c:pt>
                <c:pt idx="1">
                  <c:v>6.25E-2</c:v>
                </c:pt>
                <c:pt idx="2">
                  <c:v>8.8235294117647065E-2</c:v>
                </c:pt>
                <c:pt idx="3">
                  <c:v>0.15625</c:v>
                </c:pt>
                <c:pt idx="4">
                  <c:v>0.1875</c:v>
                </c:pt>
                <c:pt idx="5">
                  <c:v>0.13793103448275862</c:v>
                </c:pt>
                <c:pt idx="6">
                  <c:v>0.14814814814814814</c:v>
                </c:pt>
                <c:pt idx="7">
                  <c:v>0.17391304347826086</c:v>
                </c:pt>
                <c:pt idx="8">
                  <c:v>0.2</c:v>
                </c:pt>
                <c:pt idx="9">
                  <c:v>0.14285714285714285</c:v>
                </c:pt>
              </c:numCache>
            </c:numRef>
          </c:val>
          <c:smooth val="0"/>
          <c:extLst>
            <c:ext xmlns:c16="http://schemas.microsoft.com/office/drawing/2014/chart" uri="{C3380CC4-5D6E-409C-BE32-E72D297353CC}">
              <c16:uniqueId val="{00000000-F456-4EBC-A6AB-99831956345A}"/>
            </c:ext>
          </c:extLst>
        </c:ser>
        <c:ser>
          <c:idx val="2"/>
          <c:order val="2"/>
          <c:tx>
            <c:strRef>
              <c:f>'SOC_EDU (graphs)'!$G$40</c:f>
              <c:strCache>
                <c:ptCount val="1"/>
                <c:pt idx="0">
                  <c:v>Supported by main benefit for some/all of the year</c:v>
                </c:pt>
              </c:strCache>
            </c:strRef>
          </c:tx>
          <c:spPr>
            <a:ln w="28575" cap="rnd" cmpd="dbl">
              <a:solidFill>
                <a:schemeClr val="accent6"/>
              </a:solidFill>
              <a:round/>
            </a:ln>
            <a:effectLst/>
          </c:spPr>
          <c:marker>
            <c:symbol val="none"/>
          </c:marker>
          <c:cat>
            <c:numRef>
              <c:f>'SOC_EDU (graphs)'!$C$53:$C$62</c:f>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f>'SOC_EDU (graphs)'!$G$53:$G$62</c:f>
              <c:numCache>
                <c:formatCode>General</c:formatCode>
                <c:ptCount val="10"/>
                <c:pt idx="2" formatCode="0%">
                  <c:v>0.82352941176470584</c:v>
                </c:pt>
                <c:pt idx="3" formatCode="0%">
                  <c:v>0.9375</c:v>
                </c:pt>
                <c:pt idx="4" formatCode="0%">
                  <c:v>0.9375</c:v>
                </c:pt>
                <c:pt idx="5" formatCode="0%">
                  <c:v>0.96551724137931039</c:v>
                </c:pt>
                <c:pt idx="6" formatCode="0%">
                  <c:v>0.96296296296296291</c:v>
                </c:pt>
                <c:pt idx="7" formatCode="0%">
                  <c:v>0.95652173913043481</c:v>
                </c:pt>
                <c:pt idx="8" formatCode="0%">
                  <c:v>1</c:v>
                </c:pt>
                <c:pt idx="9" formatCode="0%">
                  <c:v>1</c:v>
                </c:pt>
              </c:numCache>
            </c:numRef>
          </c:val>
          <c:smooth val="0"/>
          <c:extLst>
            <c:ext xmlns:c16="http://schemas.microsoft.com/office/drawing/2014/chart" uri="{C3380CC4-5D6E-409C-BE32-E72D297353CC}">
              <c16:uniqueId val="{00000001-F456-4EBC-A6AB-99831956345A}"/>
            </c:ext>
          </c:extLst>
        </c:ser>
        <c:ser>
          <c:idx val="4"/>
          <c:order val="4"/>
          <c:tx>
            <c:strRef>
              <c:f>'SOC_EDU (graphs)'!$I$40</c:f>
              <c:strCache>
                <c:ptCount val="1"/>
                <c:pt idx="0">
                  <c:v>School enrolment</c:v>
                </c:pt>
              </c:strCache>
            </c:strRef>
          </c:tx>
          <c:spPr>
            <a:ln w="28575" cap="rnd">
              <a:solidFill>
                <a:schemeClr val="accent3">
                  <a:lumMod val="75000"/>
                </a:schemeClr>
              </a:solidFill>
              <a:prstDash val="sysDash"/>
              <a:round/>
            </a:ln>
            <a:effectLst/>
          </c:spPr>
          <c:marker>
            <c:symbol val="none"/>
          </c:marker>
          <c:cat>
            <c:numRef>
              <c:f>'SOC_EDU (graphs)'!$C$53:$C$62</c:f>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f>'SOC_EDU (graphs)'!$I$53:$I$62</c:f>
              <c:numCache>
                <c:formatCode>0%</c:formatCode>
                <c:ptCount val="10"/>
                <c:pt idx="0">
                  <c:v>0.875</c:v>
                </c:pt>
                <c:pt idx="1">
                  <c:v>0.78125</c:v>
                </c:pt>
                <c:pt idx="2">
                  <c:v>0.67647058823529416</c:v>
                </c:pt>
                <c:pt idx="3">
                  <c:v>0.4375</c:v>
                </c:pt>
                <c:pt idx="4">
                  <c:v>0.3125</c:v>
                </c:pt>
                <c:pt idx="5">
                  <c:v>0.20689655172413793</c:v>
                </c:pt>
                <c:pt idx="6">
                  <c:v>0</c:v>
                </c:pt>
                <c:pt idx="7">
                  <c:v>0</c:v>
                </c:pt>
                <c:pt idx="8">
                  <c:v>0</c:v>
                </c:pt>
                <c:pt idx="9">
                  <c:v>0</c:v>
                </c:pt>
              </c:numCache>
            </c:numRef>
          </c:val>
          <c:smooth val="0"/>
          <c:extLst>
            <c:ext xmlns:c16="http://schemas.microsoft.com/office/drawing/2014/chart" uri="{C3380CC4-5D6E-409C-BE32-E72D297353CC}">
              <c16:uniqueId val="{00000002-F456-4EBC-A6AB-99831956345A}"/>
            </c:ext>
          </c:extLst>
        </c:ser>
        <c:ser>
          <c:idx val="16"/>
          <c:order val="16"/>
          <c:tx>
            <c:strRef>
              <c:f>'SOC_EDU (graphs)'!$U$40</c:f>
              <c:strCache>
                <c:ptCount val="1"/>
                <c:pt idx="0">
                  <c:v>Enrolled in tertiary course for some/all of the year - any type</c:v>
                </c:pt>
              </c:strCache>
            </c:strRef>
          </c:tx>
          <c:spPr>
            <a:ln w="28575" cap="rnd">
              <a:solidFill>
                <a:srgbClr val="7030A0"/>
              </a:solidFill>
              <a:prstDash val="lgDashDot"/>
              <a:round/>
            </a:ln>
            <a:effectLst/>
          </c:spPr>
          <c:marker>
            <c:symbol val="none"/>
          </c:marker>
          <c:cat>
            <c:numRef>
              <c:f>'SOC_EDU (graphs)'!$C$53:$C$62</c:f>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f>'SOC_EDU (graphs)'!$U$53:$U$62</c:f>
              <c:numCache>
                <c:formatCode>0%</c:formatCode>
                <c:ptCount val="10"/>
                <c:pt idx="0">
                  <c:v>9.0909090909090912E-2</c:v>
                </c:pt>
                <c:pt idx="1">
                  <c:v>0.14285714285714285</c:v>
                </c:pt>
                <c:pt idx="2">
                  <c:v>0.16129032258064516</c:v>
                </c:pt>
                <c:pt idx="3">
                  <c:v>0.25806451612903225</c:v>
                </c:pt>
                <c:pt idx="4">
                  <c:v>0.2</c:v>
                </c:pt>
                <c:pt idx="5">
                  <c:v>0.11538461538461539</c:v>
                </c:pt>
                <c:pt idx="6">
                  <c:v>8.6956521739130432E-2</c:v>
                </c:pt>
              </c:numCache>
            </c:numRef>
          </c:val>
          <c:smooth val="0"/>
          <c:extLst>
            <c:ext xmlns:c16="http://schemas.microsoft.com/office/drawing/2014/chart" uri="{C3380CC4-5D6E-409C-BE32-E72D297353CC}">
              <c16:uniqueId val="{00000003-F456-4EBC-A6AB-99831956345A}"/>
            </c:ext>
          </c:extLst>
        </c:ser>
        <c:ser>
          <c:idx val="18"/>
          <c:order val="18"/>
          <c:tx>
            <c:strRef>
              <c:f>'SOC_EDU (graphs)'!$W$40</c:f>
              <c:strCache>
                <c:ptCount val="1"/>
                <c:pt idx="0">
                  <c:v>Enrolled in school, tertiary course, or received any employment income over the year</c:v>
                </c:pt>
              </c:strCache>
            </c:strRef>
          </c:tx>
          <c:spPr>
            <a:ln w="34925" cap="rnd">
              <a:solidFill>
                <a:schemeClr val="bg2"/>
              </a:solidFill>
              <a:round/>
            </a:ln>
            <a:effectLst/>
          </c:spPr>
          <c:marker>
            <c:symbol val="none"/>
          </c:marker>
          <c:cat>
            <c:numRef>
              <c:f>'SOC_EDU (graphs)'!$C$53:$C$62</c:f>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f>'SOC_EDU (graphs)'!$W$53:$W$62</c:f>
              <c:numCache>
                <c:formatCode>0%</c:formatCode>
                <c:ptCount val="10"/>
                <c:pt idx="0">
                  <c:v>0.90909090909090906</c:v>
                </c:pt>
                <c:pt idx="1">
                  <c:v>0.88571428571428568</c:v>
                </c:pt>
                <c:pt idx="2">
                  <c:v>0.87096774193548387</c:v>
                </c:pt>
                <c:pt idx="3">
                  <c:v>0.77419354838709675</c:v>
                </c:pt>
                <c:pt idx="4">
                  <c:v>0.6</c:v>
                </c:pt>
                <c:pt idx="5">
                  <c:v>0.42307692307692307</c:v>
                </c:pt>
                <c:pt idx="6">
                  <c:v>0.2608695652173913</c:v>
                </c:pt>
                <c:pt idx="7">
                  <c:v>0.25</c:v>
                </c:pt>
                <c:pt idx="8">
                  <c:v>0.23809523809523808</c:v>
                </c:pt>
                <c:pt idx="9">
                  <c:v>0.19047619047619047</c:v>
                </c:pt>
              </c:numCache>
            </c:numRef>
          </c:val>
          <c:smooth val="0"/>
          <c:extLst>
            <c:ext xmlns:c16="http://schemas.microsoft.com/office/drawing/2014/chart" uri="{C3380CC4-5D6E-409C-BE32-E72D297353CC}">
              <c16:uniqueId val="{00000004-F456-4EBC-A6AB-99831956345A}"/>
            </c:ext>
          </c:extLst>
        </c:ser>
        <c:dLbls>
          <c:showLegendKey val="0"/>
          <c:showVal val="0"/>
          <c:showCatName val="0"/>
          <c:showSerName val="0"/>
          <c:showPercent val="0"/>
          <c:showBubbleSize val="0"/>
        </c:dLbls>
        <c:marker val="1"/>
        <c:smooth val="0"/>
        <c:axId val="682386352"/>
        <c:axId val="682386680"/>
        <c:extLst>
          <c:ext xmlns:c15="http://schemas.microsoft.com/office/drawing/2012/chart" uri="{02D57815-91ED-43cb-92C2-25804820EDAC}">
            <c15:filteredLineSeries>
              <c15:ser>
                <c:idx val="1"/>
                <c:order val="1"/>
                <c:tx>
                  <c:strRef>
                    <c:extLst>
                      <c:ext uri="{02D57815-91ED-43cb-92C2-25804820EDAC}">
                        <c15:formulaRef>
                          <c15:sqref>'SOC_EDU (graphs)'!$F$40</c15:sqref>
                        </c15:formulaRef>
                      </c:ext>
                    </c:extLst>
                    <c:strCache>
                      <c:ptCount val="1"/>
                      <c:pt idx="0">
                        <c:v>Received employment income &gt;$5k over the year</c:v>
                      </c:pt>
                    </c:strCache>
                  </c:strRef>
                </c:tx>
                <c:spPr>
                  <a:ln w="28575" cap="rnd">
                    <a:solidFill>
                      <a:schemeClr val="accent4"/>
                    </a:solidFill>
                    <a:round/>
                  </a:ln>
                  <a:effectLst/>
                </c:spPr>
                <c:marker>
                  <c:symbol val="none"/>
                </c:marker>
                <c:cat>
                  <c:numRef>
                    <c:extLst>
                      <c:ext uri="{02D57815-91ED-43cb-92C2-25804820EDAC}">
                        <c15:formulaRef>
                          <c15:sqref>'SOC_EDU (graphs)'!$C$53:$C$62</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c:ext uri="{02D57815-91ED-43cb-92C2-25804820EDAC}">
                        <c15:formulaRef>
                          <c15:sqref>'SOC_EDU (graphs)'!$F$53:$F$62</c15:sqref>
                        </c15:formulaRef>
                      </c:ext>
                    </c:extLst>
                    <c:numCache>
                      <c:formatCode>0%</c:formatCode>
                      <c:ptCount val="10"/>
                      <c:pt idx="0">
                        <c:v>0</c:v>
                      </c:pt>
                      <c:pt idx="1">
                        <c:v>0</c:v>
                      </c:pt>
                      <c:pt idx="2">
                        <c:v>0</c:v>
                      </c:pt>
                      <c:pt idx="3">
                        <c:v>0</c:v>
                      </c:pt>
                      <c:pt idx="4">
                        <c:v>0</c:v>
                      </c:pt>
                      <c:pt idx="5">
                        <c:v>0</c:v>
                      </c:pt>
                      <c:pt idx="6">
                        <c:v>7.407407407407407E-2</c:v>
                      </c:pt>
                      <c:pt idx="7">
                        <c:v>0</c:v>
                      </c:pt>
                      <c:pt idx="8">
                        <c:v>0</c:v>
                      </c:pt>
                      <c:pt idx="9">
                        <c:v>0</c:v>
                      </c:pt>
                    </c:numCache>
                  </c:numRef>
                </c:val>
                <c:smooth val="0"/>
                <c:extLst>
                  <c:ext xmlns:c16="http://schemas.microsoft.com/office/drawing/2014/chart" uri="{C3380CC4-5D6E-409C-BE32-E72D297353CC}">
                    <c16:uniqueId val="{00000005-F456-4EBC-A6AB-99831956345A}"/>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'SOC_EDU (graphs)'!$H$40</c15:sqref>
                        </c15:formulaRef>
                      </c:ext>
                    </c:extLst>
                    <c:strCache>
                      <c:ptCount val="1"/>
                      <c:pt idx="0">
                        <c:v>Adult supported by main benefit for some/all of the period - Supported Living Payment</c:v>
                      </c:pt>
                    </c:strCache>
                  </c:strRef>
                </c:tx>
                <c:spPr>
                  <a:ln w="28575" cap="rnd">
                    <a:solidFill>
                      <a:schemeClr val="accent2">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(graphs)'!$C$53:$C$62</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(graphs)'!$H$53:$H$62</c15:sqref>
                        </c15:formulaRef>
                      </c:ext>
                    </c:extLst>
                    <c:numCache>
                      <c:formatCode>0%</c:formatCode>
                      <c:ptCount val="10"/>
                      <c:pt idx="0">
                        <c:v>0.25</c:v>
                      </c:pt>
                      <c:pt idx="1">
                        <c:v>0.46875</c:v>
                      </c:pt>
                      <c:pt idx="2">
                        <c:v>0.79411764705882348</c:v>
                      </c:pt>
                      <c:pt idx="3">
                        <c:v>0.90625</c:v>
                      </c:pt>
                      <c:pt idx="4">
                        <c:v>0.9375</c:v>
                      </c:pt>
                      <c:pt idx="5">
                        <c:v>0.96551724137931039</c:v>
                      </c:pt>
                      <c:pt idx="6">
                        <c:v>0.96296296296296291</c:v>
                      </c:pt>
                      <c:pt idx="7">
                        <c:v>0.95652173913043481</c:v>
                      </c:pt>
                      <c:pt idx="8">
                        <c:v>0.95</c:v>
                      </c:pt>
                      <c:pt idx="9">
                        <c:v>0.95238095238095233</c:v>
                      </c:pt>
                    </c:numCache>
                  </c:numRef>
                </c:val>
                <c:smooth val="0"/>
                <c:extLst xmlns:c15="http://schemas.microsoft.com/office/drawing/2012/chart">
                  <c:ext xmlns:c16="http://schemas.microsoft.com/office/drawing/2014/chart" uri="{C3380CC4-5D6E-409C-BE32-E72D297353CC}">
                    <c16:uniqueId val="{00000006-F456-4EBC-A6AB-99831956345A}"/>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'SOC_EDU (graphs)'!$J$40</c15:sqref>
                        </c15:formulaRef>
                      </c:ext>
                    </c:extLst>
                    <c:strCache>
                      <c:ptCount val="1"/>
                    </c:strCache>
                  </c:strRef>
                </c:tx>
                <c:spPr>
                  <a:ln w="28575" cap="rnd">
                    <a:solidFill>
                      <a:schemeClr val="accent6">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(graphs)'!$C$53:$C$62</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(graphs)'!$J$53:$J$62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7-F456-4EBC-A6AB-99831956345A}"/>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'SOC_EDU (graphs)'!$K$40</c15:sqref>
                        </c15:formulaRef>
                      </c:ext>
                    </c:extLst>
                    <c:strCache>
                      <c:ptCount val="1"/>
                    </c:strCache>
                  </c:strRef>
                </c:tx>
                <c:spPr>
                  <a:ln w="28575" cap="rnd">
                    <a:solidFill>
                      <a:schemeClr val="accent2">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(graphs)'!$C$53:$C$62</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(graphs)'!$K$53:$K$62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F456-4EBC-A6AB-99831956345A}"/>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'SOC_EDU (graphs)'!$L$40</c15:sqref>
                        </c15:formulaRef>
                      </c:ext>
                    </c:extLst>
                    <c:strCache>
                      <c:ptCount val="1"/>
                    </c:strCache>
                  </c:strRef>
                </c:tx>
                <c:spPr>
                  <a:ln w="28575" cap="rnd">
                    <a:solidFill>
                      <a:schemeClr val="accent4">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(graphs)'!$C$53:$C$62</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(graphs)'!$L$53:$L$62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F456-4EBC-A6AB-99831956345A}"/>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'SOC_EDU (graphs)'!$M$40</c15:sqref>
                        </c15:formulaRef>
                      </c:ext>
                    </c:extLst>
                    <c:strCache>
                      <c:ptCount val="1"/>
                    </c:strCache>
                  </c:strRef>
                </c:tx>
                <c:spPr>
                  <a:ln w="28575" cap="rnd">
                    <a:solidFill>
                      <a:schemeClr val="accent6">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(graphs)'!$C$53:$C$62</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(graphs)'!$M$53:$M$62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F456-4EBC-A6AB-99831956345A}"/>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'SOC_EDU (graphs)'!$N$40</c15:sqref>
                        </c15:formulaRef>
                      </c:ext>
                    </c:extLst>
                    <c:strCache>
                      <c:ptCount val="1"/>
                      <c:pt idx="0">
                        <c:v>Enrolled in tertiary course for some/all of the period - bachelor level</c:v>
                      </c:pt>
                    </c:strCache>
                  </c:strRef>
                </c:tx>
                <c:spPr>
                  <a:ln w="28575" cap="rnd">
                    <a:solidFill>
                      <a:schemeClr val="accent2">
                        <a:lumMod val="8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(graphs)'!$C$53:$C$62</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(graphs)'!$N$53:$N$62</c15:sqref>
                        </c15:formulaRef>
                      </c:ext>
                    </c:extLst>
                    <c:numCache>
                      <c:formatCode>0%</c:formatCode>
                      <c:ptCount val="10"/>
                      <c:pt idx="0">
                        <c:v>0</c:v>
                      </c:pt>
                      <c:pt idx="1">
                        <c:v>0</c:v>
                      </c:pt>
                      <c:pt idx="2">
                        <c:v>0</c:v>
                      </c:pt>
                      <c:pt idx="3">
                        <c:v>0</c:v>
                      </c:pt>
                      <c:pt idx="4">
                        <c:v>0</c:v>
                      </c:pt>
                      <c:pt idx="5">
                        <c:v>0</c:v>
                      </c:pt>
                      <c:pt idx="6">
                        <c:v>0</c:v>
                      </c:pt>
                      <c:pt idx="7">
                        <c:v>0</c:v>
                      </c:pt>
                      <c:pt idx="8">
                        <c:v>0</c:v>
                      </c:pt>
                      <c:pt idx="9">
                        <c:v>0</c:v>
                      </c:pt>
                    </c:numCache>
                  </c:numRef>
                </c:val>
                <c:smooth val="0"/>
                <c:extLst xmlns:c15="http://schemas.microsoft.com/office/drawing/2012/chart">
                  <c:ext xmlns:c16="http://schemas.microsoft.com/office/drawing/2014/chart" uri="{C3380CC4-5D6E-409C-BE32-E72D297353CC}">
                    <c16:uniqueId val="{0000000B-F456-4EBC-A6AB-99831956345A}"/>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'SOC_EDU (graphs)'!$O$40</c15:sqref>
                        </c15:formulaRef>
                      </c:ext>
                    </c:extLst>
                    <c:strCache>
                      <c:ptCount val="1"/>
                      <c:pt idx="0">
                        <c:v>Enrolled in tertiary course for some/all of the period - NZQA levels 5-7</c:v>
                      </c:pt>
                    </c:strCache>
                  </c:strRef>
                </c:tx>
                <c:spPr>
                  <a:ln w="28575" cap="rnd">
                    <a:solidFill>
                      <a:schemeClr val="accent4">
                        <a:lumMod val="8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(graphs)'!$C$53:$C$62</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(graphs)'!$O$53:$O$62</c15:sqref>
                        </c15:formulaRef>
                      </c:ext>
                    </c:extLst>
                    <c:numCache>
                      <c:formatCode>0%</c:formatCode>
                      <c:ptCount val="10"/>
                      <c:pt idx="0">
                        <c:v>0</c:v>
                      </c:pt>
                      <c:pt idx="1">
                        <c:v>0</c:v>
                      </c:pt>
                      <c:pt idx="2">
                        <c:v>0</c:v>
                      </c:pt>
                      <c:pt idx="3">
                        <c:v>0</c:v>
                      </c:pt>
                      <c:pt idx="4">
                        <c:v>0</c:v>
                      </c:pt>
                      <c:pt idx="5">
                        <c:v>0</c:v>
                      </c:pt>
                      <c:pt idx="6">
                        <c:v>0</c:v>
                      </c:pt>
                      <c:pt idx="7">
                        <c:v>0</c:v>
                      </c:pt>
                      <c:pt idx="8">
                        <c:v>0</c:v>
                      </c:pt>
                      <c:pt idx="9">
                        <c:v>0</c:v>
                      </c:pt>
                    </c:numCache>
                  </c:numRef>
                </c:val>
                <c:smooth val="0"/>
                <c:extLst xmlns:c15="http://schemas.microsoft.com/office/drawing/2012/chart">
                  <c:ext xmlns:c16="http://schemas.microsoft.com/office/drawing/2014/chart" uri="{C3380CC4-5D6E-409C-BE32-E72D297353CC}">
                    <c16:uniqueId val="{0000000C-F456-4EBC-A6AB-99831956345A}"/>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'SOC_EDU (graphs)'!$P$40</c15:sqref>
                        </c15:formulaRef>
                      </c:ext>
                    </c:extLst>
                    <c:strCache>
                      <c:ptCount val="1"/>
                      <c:pt idx="0">
                        <c:v>Enrolled in tertiary course for some/all of the period - NZQA level 4</c:v>
                      </c:pt>
                    </c:strCache>
                  </c:strRef>
                </c:tx>
                <c:spPr>
                  <a:ln w="28575" cap="rnd">
                    <a:solidFill>
                      <a:schemeClr val="accent6">
                        <a:lumMod val="8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(graphs)'!$C$53:$C$62</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(graphs)'!$P$53:$P$62</c15:sqref>
                        </c15:formulaRef>
                      </c:ext>
                    </c:extLst>
                    <c:numCache>
                      <c:formatCode>0%</c:formatCode>
                      <c:ptCount val="10"/>
                      <c:pt idx="0">
                        <c:v>0</c:v>
                      </c:pt>
                      <c:pt idx="1">
                        <c:v>0</c:v>
                      </c:pt>
                      <c:pt idx="2">
                        <c:v>0</c:v>
                      </c:pt>
                      <c:pt idx="3">
                        <c:v>0</c:v>
                      </c:pt>
                      <c:pt idx="4">
                        <c:v>0</c:v>
                      </c:pt>
                      <c:pt idx="5">
                        <c:v>0</c:v>
                      </c:pt>
                      <c:pt idx="6">
                        <c:v>0</c:v>
                      </c:pt>
                      <c:pt idx="7">
                        <c:v>0</c:v>
                      </c:pt>
                      <c:pt idx="8">
                        <c:v>0</c:v>
                      </c:pt>
                      <c:pt idx="9">
                        <c:v>0</c:v>
                      </c:pt>
                    </c:numCache>
                  </c:numRef>
                </c:val>
                <c:smooth val="0"/>
                <c:extLst xmlns:c15="http://schemas.microsoft.com/office/drawing/2012/chart">
                  <c:ext xmlns:c16="http://schemas.microsoft.com/office/drawing/2014/chart" uri="{C3380CC4-5D6E-409C-BE32-E72D297353CC}">
                    <c16:uniqueId val="{0000000D-F456-4EBC-A6AB-99831956345A}"/>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'SOC_EDU (graphs)'!$Q$40</c15:sqref>
                        </c15:formulaRef>
                      </c:ext>
                    </c:extLst>
                    <c:strCache>
                      <c:ptCount val="1"/>
                      <c:pt idx="0">
                        <c:v>Enrolled in tertiary course for some/all of the period - NZQA levels 1-3</c:v>
                      </c:pt>
                    </c:strCache>
                  </c:strRef>
                </c:tx>
                <c:spPr>
                  <a:ln w="28575" cap="rnd">
                    <a:solidFill>
                      <a:schemeClr val="accent2">
                        <a:lumMod val="60000"/>
                        <a:lumOff val="4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(graphs)'!$C$53:$C$62</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(graphs)'!$Q$53:$Q$62</c15:sqref>
                        </c15:formulaRef>
                      </c:ext>
                    </c:extLst>
                    <c:numCache>
                      <c:formatCode>0%</c:formatCode>
                      <c:ptCount val="10"/>
                      <c:pt idx="0">
                        <c:v>9.0909090909090912E-2</c:v>
                      </c:pt>
                      <c:pt idx="1">
                        <c:v>0.14285714285714285</c:v>
                      </c:pt>
                      <c:pt idx="2">
                        <c:v>0.12903225806451613</c:v>
                      </c:pt>
                      <c:pt idx="3">
                        <c:v>0.19354838709677419</c:v>
                      </c:pt>
                      <c:pt idx="4">
                        <c:v>0.13333333333333333</c:v>
                      </c:pt>
                      <c:pt idx="5">
                        <c:v>7.6923076923076927E-2</c:v>
                      </c:pt>
                      <c:pt idx="6">
                        <c:v>0</c:v>
                      </c:pt>
                      <c:pt idx="7">
                        <c:v>0</c:v>
                      </c:pt>
                      <c:pt idx="8">
                        <c:v>0</c:v>
                      </c:pt>
                      <c:pt idx="9">
                        <c:v>0</c:v>
                      </c:pt>
                    </c:numCache>
                  </c:numRef>
                </c:val>
                <c:smooth val="0"/>
                <c:extLst xmlns:c15="http://schemas.microsoft.com/office/drawing/2012/chart">
                  <c:ext xmlns:c16="http://schemas.microsoft.com/office/drawing/2014/chart" uri="{C3380CC4-5D6E-409C-BE32-E72D297353CC}">
                    <c16:uniqueId val="{0000000E-F456-4EBC-A6AB-99831956345A}"/>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'SOC_EDU (graphs)'!$R$40</c15:sqref>
                        </c15:formulaRef>
                      </c:ext>
                    </c:extLst>
                    <c:strCache>
                      <c:ptCount val="1"/>
                      <c:pt idx="0">
                        <c:v>Enrolled in tertiary course for some/all of the period - NZQA levels Secondary Tertiary Alignment Resource (STAR, usually done while in school)</c:v>
                      </c:pt>
                    </c:strCache>
                  </c:strRef>
                </c:tx>
                <c:spPr>
                  <a:ln w="28575" cap="rnd">
                    <a:solidFill>
                      <a:schemeClr val="accent4">
                        <a:lumMod val="60000"/>
                        <a:lumOff val="4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(graphs)'!$C$53:$C$62</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(graphs)'!$R$53:$R$62</c15:sqref>
                        </c15:formulaRef>
                      </c:ext>
                    </c:extLst>
                    <c:numCache>
                      <c:formatCode>0%</c:formatCode>
                      <c:ptCount val="10"/>
                      <c:pt idx="0">
                        <c:v>0</c:v>
                      </c:pt>
                      <c:pt idx="1">
                        <c:v>0</c:v>
                      </c:pt>
                      <c:pt idx="2">
                        <c:v>0</c:v>
                      </c:pt>
                      <c:pt idx="3">
                        <c:v>0</c:v>
                      </c:pt>
                      <c:pt idx="4">
                        <c:v>0</c:v>
                      </c:pt>
                      <c:pt idx="5">
                        <c:v>0</c:v>
                      </c:pt>
                      <c:pt idx="6">
                        <c:v>0</c:v>
                      </c:pt>
                      <c:pt idx="7">
                        <c:v>0</c:v>
                      </c:pt>
                      <c:pt idx="8">
                        <c:v>0</c:v>
                      </c:pt>
                      <c:pt idx="9">
                        <c:v>0</c:v>
                      </c:pt>
                    </c:numCache>
                  </c:numRef>
                </c:val>
                <c:smooth val="0"/>
                <c:extLst xmlns:c15="http://schemas.microsoft.com/office/drawing/2012/chart">
                  <c:ext xmlns:c16="http://schemas.microsoft.com/office/drawing/2014/chart" uri="{C3380CC4-5D6E-409C-BE32-E72D297353CC}">
                    <c16:uniqueId val="{0000000F-F456-4EBC-A6AB-99831956345A}"/>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'SOC_EDU (graphs)'!$S$40</c15:sqref>
                        </c15:formulaRef>
                      </c:ext>
                    </c:extLst>
                    <c:strCache>
                      <c:ptCount val="1"/>
                      <c:pt idx="0">
                        <c:v>Enrolled in tertiary course for some/all of the period - NZQA levels 1-7</c:v>
                      </c:pt>
                    </c:strCache>
                  </c:strRef>
                </c:tx>
                <c:spPr>
                  <a:ln w="28575" cap="rnd">
                    <a:solidFill>
                      <a:schemeClr val="accent6">
                        <a:lumMod val="60000"/>
                        <a:lumOff val="4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(graphs)'!$C$53:$C$62</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(graphs)'!$S$53:$S$62</c15:sqref>
                        </c15:formulaRef>
                      </c:ext>
                    </c:extLst>
                    <c:numCache>
                      <c:formatCode>0%</c:formatCode>
                      <c:ptCount val="10"/>
                      <c:pt idx="0">
                        <c:v>9.0909090909090912E-2</c:v>
                      </c:pt>
                      <c:pt idx="1">
                        <c:v>0.17142857142857143</c:v>
                      </c:pt>
                      <c:pt idx="2">
                        <c:v>0.12903225806451613</c:v>
                      </c:pt>
                      <c:pt idx="3">
                        <c:v>0.22580645161290322</c:v>
                      </c:pt>
                      <c:pt idx="4">
                        <c:v>0.2</c:v>
                      </c:pt>
                      <c:pt idx="5">
                        <c:v>7.6923076923076927E-2</c:v>
                      </c:pt>
                      <c:pt idx="6">
                        <c:v>0</c:v>
                      </c:pt>
                      <c:pt idx="7">
                        <c:v>0</c:v>
                      </c:pt>
                      <c:pt idx="8">
                        <c:v>0</c:v>
                      </c:pt>
                      <c:pt idx="9">
                        <c:v>0</c:v>
                      </c:pt>
                    </c:numCache>
                  </c:numRef>
                </c:val>
                <c:smooth val="0"/>
                <c:extLst xmlns:c15="http://schemas.microsoft.com/office/drawing/2012/chart">
                  <c:ext xmlns:c16="http://schemas.microsoft.com/office/drawing/2014/chart" uri="{C3380CC4-5D6E-409C-BE32-E72D297353CC}">
                    <c16:uniqueId val="{00000010-F456-4EBC-A6AB-99831956345A}"/>
                  </c:ext>
                </c:extLst>
              </c15:ser>
            </c15:filteredLineSeries>
            <c15:filteredLineSeries>
              <c15:ser>
                <c:idx val="15"/>
                <c:order val="15"/>
                <c:tx>
                  <c:strRef>
                    <c:extLst xmlns:c15="http://schemas.microsoft.com/office/drawing/2012/chart">
                      <c:ext xmlns:c15="http://schemas.microsoft.com/office/drawing/2012/chart" uri="{02D57815-91ED-43cb-92C2-25804820EDAC}">
                        <c15:formulaRef>
                          <c15:sqref>'SOC_EDU (graphs)'!$T$40</c15:sqref>
                        </c15:formulaRef>
                      </c:ext>
                    </c:extLst>
                    <c:strCache>
                      <c:ptCount val="1"/>
                      <c:pt idx="0">
                        <c:v>Enrolled in tertiary course for some/all of the period - TEC IT placement</c:v>
                      </c:pt>
                    </c:strCache>
                  </c:strRef>
                </c:tx>
                <c:spPr>
                  <a:ln w="28575" cap="rnd">
                    <a:solidFill>
                      <a:schemeClr val="accent2">
                        <a:lumMod val="5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(graphs)'!$C$53:$C$62</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(graphs)'!$T$53:$T$62</c15:sqref>
                        </c15:formulaRef>
                      </c:ext>
                    </c:extLst>
                    <c:numCache>
                      <c:formatCode>0%</c:formatCode>
                      <c:ptCount val="10"/>
                      <c:pt idx="0">
                        <c:v>0</c:v>
                      </c:pt>
                      <c:pt idx="1">
                        <c:v>0</c:v>
                      </c:pt>
                      <c:pt idx="2">
                        <c:v>0</c:v>
                      </c:pt>
                      <c:pt idx="3">
                        <c:v>0</c:v>
                      </c:pt>
                      <c:pt idx="4">
                        <c:v>0</c:v>
                      </c:pt>
                      <c:pt idx="5">
                        <c:v>0</c:v>
                      </c:pt>
                      <c:pt idx="6">
                        <c:v>0</c:v>
                      </c:pt>
                      <c:pt idx="7">
                        <c:v>0</c:v>
                      </c:pt>
                      <c:pt idx="8">
                        <c:v>0</c:v>
                      </c:pt>
                      <c:pt idx="9">
                        <c:v>0</c:v>
                      </c:pt>
                    </c:numCache>
                  </c:numRef>
                </c:val>
                <c:smooth val="0"/>
                <c:extLst xmlns:c15="http://schemas.microsoft.com/office/drawing/2012/chart">
                  <c:ext xmlns:c16="http://schemas.microsoft.com/office/drawing/2014/chart" uri="{C3380CC4-5D6E-409C-BE32-E72D297353CC}">
                    <c16:uniqueId val="{00000011-F456-4EBC-A6AB-99831956345A}"/>
                  </c:ext>
                </c:extLst>
              </c15:ser>
            </c15:filteredLineSeries>
            <c15:filteredLineSeries>
              <c15:ser>
                <c:idx val="17"/>
                <c:order val="17"/>
                <c:tx>
                  <c:strRef>
                    <c:extLst xmlns:c15="http://schemas.microsoft.com/office/drawing/2012/chart">
                      <c:ext xmlns:c15="http://schemas.microsoft.com/office/drawing/2012/chart" uri="{02D57815-91ED-43cb-92C2-25804820EDAC}">
                        <c15:formulaRef>
                          <c15:sqref>'SOC_EDU (graphs)'!$V$40</c15:sqref>
                        </c15:formulaRef>
                      </c:ext>
                    </c:extLst>
                    <c:strCache>
                      <c:ptCount val="1"/>
                      <c:pt idx="0">
                        <c:v>Enrolled in school, tertiary course, or received employment income &gt;$5k over the year</c:v>
                      </c:pt>
                    </c:strCache>
                  </c:strRef>
                </c:tx>
                <c:spPr>
                  <a:ln w="28575" cap="rnd">
                    <a:solidFill>
                      <a:schemeClr val="accent6">
                        <a:lumMod val="5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(graphs)'!$C$53:$C$62</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(graphs)'!$V$53:$V$62</c15:sqref>
                        </c15:formulaRef>
                      </c:ext>
                    </c:extLst>
                    <c:numCache>
                      <c:formatCode>0%</c:formatCode>
                      <c:ptCount val="10"/>
                      <c:pt idx="0">
                        <c:v>0.93939393939393945</c:v>
                      </c:pt>
                      <c:pt idx="1">
                        <c:v>0.88571428571428568</c:v>
                      </c:pt>
                      <c:pt idx="2">
                        <c:v>0.83870967741935487</c:v>
                      </c:pt>
                      <c:pt idx="3">
                        <c:v>0.70967741935483875</c:v>
                      </c:pt>
                      <c:pt idx="4">
                        <c:v>0.56666666666666665</c:v>
                      </c:pt>
                      <c:pt idx="5">
                        <c:v>0.34615384615384615</c:v>
                      </c:pt>
                      <c:pt idx="6">
                        <c:v>0.17391304347826086</c:v>
                      </c:pt>
                      <c:pt idx="7">
                        <c:v>0.1</c:v>
                      </c:pt>
                      <c:pt idx="8">
                        <c:v>9.5238095238095233E-2</c:v>
                      </c:pt>
                      <c:pt idx="9">
                        <c:v>9.5238095238095233E-2</c:v>
                      </c:pt>
                    </c:numCache>
                  </c:numRef>
                </c:val>
                <c:smooth val="0"/>
                <c:extLst xmlns:c15="http://schemas.microsoft.com/office/drawing/2012/chart">
                  <c:ext xmlns:c16="http://schemas.microsoft.com/office/drawing/2014/chart" uri="{C3380CC4-5D6E-409C-BE32-E72D297353CC}">
                    <c16:uniqueId val="{00000012-F456-4EBC-A6AB-99831956345A}"/>
                  </c:ext>
                </c:extLst>
              </c15:ser>
            </c15:filteredLineSeries>
            <c15:filteredLineSeries>
              <c15:ser>
                <c:idx val="19"/>
                <c:order val="19"/>
                <c:tx>
                  <c:strRef>
                    <c:extLst xmlns:c15="http://schemas.microsoft.com/office/drawing/2012/chart">
                      <c:ext xmlns:c15="http://schemas.microsoft.com/office/drawing/2012/chart" uri="{02D57815-91ED-43cb-92C2-25804820EDAC}">
                        <c15:formulaRef>
                          <c15:sqref>'SOC_EDU (graphs)'!$X$40</c15:sqref>
                        </c15:formulaRef>
                      </c:ext>
                    </c:extLst>
                    <c:strCache>
                      <c:ptCount val="1"/>
                    </c:strCache>
                  </c:strRef>
                </c:tx>
                <c:spPr>
                  <a:ln w="28575" cap="rnd">
                    <a:solidFill>
                      <a:schemeClr val="accent4">
                        <a:lumMod val="70000"/>
                        <a:lumOff val="3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(graphs)'!$C$53:$C$62</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(graphs)'!$X$53:$X$62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13-F456-4EBC-A6AB-99831956345A}"/>
                  </c:ext>
                </c:extLst>
              </c15:ser>
            </c15:filteredLineSeries>
          </c:ext>
        </c:extLst>
      </c:lineChart>
      <c:catAx>
        <c:axId val="682386352"/>
        <c:scaling>
          <c:orientation val="minMax"/>
        </c:scaling>
        <c:delete val="0"/>
        <c:axPos val="b"/>
        <c:title>
          <c:tx>
            <c:strRef>
              <c:f>'SOC_EDU (graphs)'!$C$41</c:f>
              <c:strCache>
                <c:ptCount val="1"/>
                <c:pt idx="0">
                  <c:v>Age at end of year</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82386680"/>
        <c:crosses val="autoZero"/>
        <c:auto val="1"/>
        <c:lblAlgn val="ctr"/>
        <c:lblOffset val="100"/>
        <c:noMultiLvlLbl val="0"/>
      </c:catAx>
      <c:valAx>
        <c:axId val="6823866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82386352"/>
        <c:crosses val="autoZero"/>
        <c:crossBetween val="between"/>
      </c:valAx>
      <c:spPr>
        <a:noFill/>
        <a:ln>
          <a:noFill/>
        </a:ln>
        <a:effectLst/>
      </c:spPr>
    </c:plotArea>
    <c:legend>
      <c:legendPos val="t"/>
      <c:layout>
        <c:manualLayout>
          <c:xMode val="edge"/>
          <c:yMode val="edge"/>
          <c:x val="2.4001719269549228E-2"/>
          <c:y val="1.7730496453900711E-2"/>
          <c:w val="0.95502892312835408"/>
          <c:h val="0.359715474395487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'MC Baseline 25-64'!$G$13</c:f>
              <c:strCache>
                <c:ptCount val="1"/>
                <c:pt idx="0">
                  <c:v>Average</c:v>
                </c:pt>
              </c:strCache>
            </c:strRef>
          </c:tx>
          <c:spPr>
            <a:solidFill>
              <a:srgbClr val="0070C0"/>
            </a:solidFill>
            <a:ln>
              <a:noFill/>
            </a:ln>
            <a:effectLst/>
          </c:spPr>
          <c:invertIfNegative val="0"/>
          <c:dPt>
            <c:idx val="0"/>
            <c:invertIfNegative val="0"/>
            <c:bubble3D val="0"/>
            <c:spPr>
              <a:solidFill>
                <a:srgbClr val="0070C0"/>
              </a:solidFill>
              <a:ln>
                <a:solidFill>
                  <a:srgbClr val="0070C0"/>
                </a:solidFill>
              </a:ln>
              <a:effectLst/>
            </c:spPr>
            <c:extLst>
              <c:ext xmlns:c16="http://schemas.microsoft.com/office/drawing/2014/chart" uri="{C3380CC4-5D6E-409C-BE32-E72D297353CC}">
                <c16:uniqueId val="{0000001E-2478-4FD0-A8ED-BC3A02C1FD98}"/>
              </c:ext>
            </c:extLst>
          </c:dPt>
          <c:dPt>
            <c:idx val="1"/>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01-3731-4609-9C6E-6058DFACD34C}"/>
              </c:ext>
            </c:extLst>
          </c:dPt>
          <c:dPt>
            <c:idx val="2"/>
            <c:invertIfNegative val="0"/>
            <c:bubble3D val="0"/>
            <c:spPr>
              <a:solidFill>
                <a:schemeClr val="bg1">
                  <a:lumMod val="50000"/>
                </a:schemeClr>
              </a:solidFill>
              <a:ln>
                <a:noFill/>
              </a:ln>
              <a:effectLst/>
            </c:spPr>
            <c:extLst>
              <c:ext xmlns:c16="http://schemas.microsoft.com/office/drawing/2014/chart" uri="{C3380CC4-5D6E-409C-BE32-E72D297353CC}">
                <c16:uniqueId val="{00000003-3731-4609-9C6E-6058DFACD34C}"/>
              </c:ext>
            </c:extLst>
          </c:dPt>
          <c:dPt>
            <c:idx val="4"/>
            <c:invertIfNegative val="0"/>
            <c:bubble3D val="0"/>
            <c:spPr>
              <a:solidFill>
                <a:srgbClr val="0070C0"/>
              </a:solidFill>
              <a:ln>
                <a:solidFill>
                  <a:srgbClr val="0070C0"/>
                </a:solidFill>
              </a:ln>
              <a:effectLst/>
            </c:spPr>
            <c:extLst>
              <c:ext xmlns:c16="http://schemas.microsoft.com/office/drawing/2014/chart" uri="{C3380CC4-5D6E-409C-BE32-E72D297353CC}">
                <c16:uniqueId val="{0000001F-2478-4FD0-A8ED-BC3A02C1FD98}"/>
              </c:ext>
            </c:extLst>
          </c:dPt>
          <c:dPt>
            <c:idx val="5"/>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05-3731-4609-9C6E-6058DFACD34C}"/>
              </c:ext>
            </c:extLst>
          </c:dPt>
          <c:dPt>
            <c:idx val="6"/>
            <c:invertIfNegative val="0"/>
            <c:bubble3D val="0"/>
            <c:spPr>
              <a:solidFill>
                <a:schemeClr val="bg1">
                  <a:lumMod val="50000"/>
                </a:schemeClr>
              </a:solidFill>
              <a:ln>
                <a:noFill/>
              </a:ln>
              <a:effectLst/>
            </c:spPr>
            <c:extLst>
              <c:ext xmlns:c16="http://schemas.microsoft.com/office/drawing/2014/chart" uri="{C3380CC4-5D6E-409C-BE32-E72D297353CC}">
                <c16:uniqueId val="{00000007-3731-4609-9C6E-6058DFACD34C}"/>
              </c:ext>
            </c:extLst>
          </c:dPt>
          <c:dPt>
            <c:idx val="8"/>
            <c:invertIfNegative val="0"/>
            <c:bubble3D val="0"/>
            <c:spPr>
              <a:solidFill>
                <a:srgbClr val="0070C0"/>
              </a:solidFill>
              <a:ln>
                <a:solidFill>
                  <a:srgbClr val="0070C0"/>
                </a:solidFill>
              </a:ln>
              <a:effectLst/>
            </c:spPr>
            <c:extLst>
              <c:ext xmlns:c16="http://schemas.microsoft.com/office/drawing/2014/chart" uri="{C3380CC4-5D6E-409C-BE32-E72D297353CC}">
                <c16:uniqueId val="{00000022-3731-4609-9C6E-6058DFACD34C}"/>
              </c:ext>
            </c:extLst>
          </c:dPt>
          <c:dPt>
            <c:idx val="9"/>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09-3731-4609-9C6E-6058DFACD34C}"/>
              </c:ext>
            </c:extLst>
          </c:dPt>
          <c:dPt>
            <c:idx val="10"/>
            <c:invertIfNegative val="0"/>
            <c:bubble3D val="0"/>
            <c:spPr>
              <a:solidFill>
                <a:schemeClr val="bg1">
                  <a:lumMod val="50000"/>
                </a:schemeClr>
              </a:solidFill>
              <a:ln>
                <a:noFill/>
              </a:ln>
              <a:effectLst/>
            </c:spPr>
            <c:extLst>
              <c:ext xmlns:c16="http://schemas.microsoft.com/office/drawing/2014/chart" uri="{C3380CC4-5D6E-409C-BE32-E72D297353CC}">
                <c16:uniqueId val="{0000000B-3731-4609-9C6E-6058DFACD34C}"/>
              </c:ext>
            </c:extLst>
          </c:dPt>
          <c:dPt>
            <c:idx val="12"/>
            <c:invertIfNegative val="0"/>
            <c:bubble3D val="0"/>
            <c:spPr>
              <a:solidFill>
                <a:srgbClr val="0070C0"/>
              </a:solidFill>
              <a:ln>
                <a:solidFill>
                  <a:srgbClr val="0070C0"/>
                </a:solidFill>
              </a:ln>
              <a:effectLst/>
            </c:spPr>
            <c:extLst>
              <c:ext xmlns:c16="http://schemas.microsoft.com/office/drawing/2014/chart" uri="{C3380CC4-5D6E-409C-BE32-E72D297353CC}">
                <c16:uniqueId val="{00000023-3731-4609-9C6E-6058DFACD34C}"/>
              </c:ext>
            </c:extLst>
          </c:dPt>
          <c:dPt>
            <c:idx val="13"/>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0D-3731-4609-9C6E-6058DFACD34C}"/>
              </c:ext>
            </c:extLst>
          </c:dPt>
          <c:dPt>
            <c:idx val="14"/>
            <c:invertIfNegative val="0"/>
            <c:bubble3D val="0"/>
            <c:spPr>
              <a:solidFill>
                <a:schemeClr val="bg1">
                  <a:lumMod val="50000"/>
                </a:schemeClr>
              </a:solidFill>
              <a:ln>
                <a:noFill/>
              </a:ln>
              <a:effectLst/>
            </c:spPr>
            <c:extLst>
              <c:ext xmlns:c16="http://schemas.microsoft.com/office/drawing/2014/chart" uri="{C3380CC4-5D6E-409C-BE32-E72D297353CC}">
                <c16:uniqueId val="{0000000F-3731-4609-9C6E-6058DFACD34C}"/>
              </c:ext>
            </c:extLst>
          </c:dPt>
          <c:dPt>
            <c:idx val="16"/>
            <c:invertIfNegative val="0"/>
            <c:bubble3D val="0"/>
            <c:spPr>
              <a:solidFill>
                <a:srgbClr val="0070C0"/>
              </a:solidFill>
              <a:ln>
                <a:solidFill>
                  <a:srgbClr val="0070C0"/>
                </a:solidFill>
              </a:ln>
              <a:effectLst/>
            </c:spPr>
            <c:extLst>
              <c:ext xmlns:c16="http://schemas.microsoft.com/office/drawing/2014/chart" uri="{C3380CC4-5D6E-409C-BE32-E72D297353CC}">
                <c16:uniqueId val="{00000020-2478-4FD0-A8ED-BC3A02C1FD98}"/>
              </c:ext>
            </c:extLst>
          </c:dPt>
          <c:dPt>
            <c:idx val="17"/>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11-3731-4609-9C6E-6058DFACD34C}"/>
              </c:ext>
            </c:extLst>
          </c:dPt>
          <c:dPt>
            <c:idx val="18"/>
            <c:invertIfNegative val="0"/>
            <c:bubble3D val="0"/>
            <c:spPr>
              <a:solidFill>
                <a:schemeClr val="bg1">
                  <a:lumMod val="50000"/>
                </a:schemeClr>
              </a:solidFill>
              <a:ln>
                <a:noFill/>
              </a:ln>
              <a:effectLst/>
            </c:spPr>
            <c:extLst>
              <c:ext xmlns:c16="http://schemas.microsoft.com/office/drawing/2014/chart" uri="{C3380CC4-5D6E-409C-BE32-E72D297353CC}">
                <c16:uniqueId val="{00000013-3731-4609-9C6E-6058DFACD34C}"/>
              </c:ext>
            </c:extLst>
          </c:dPt>
          <c:dPt>
            <c:idx val="20"/>
            <c:invertIfNegative val="0"/>
            <c:bubble3D val="0"/>
            <c:spPr>
              <a:solidFill>
                <a:srgbClr val="0070C0"/>
              </a:solidFill>
              <a:ln>
                <a:solidFill>
                  <a:srgbClr val="0070C0"/>
                </a:solidFill>
              </a:ln>
              <a:effectLst/>
            </c:spPr>
            <c:extLst>
              <c:ext xmlns:c16="http://schemas.microsoft.com/office/drawing/2014/chart" uri="{C3380CC4-5D6E-409C-BE32-E72D297353CC}">
                <c16:uniqueId val="{00000021-2478-4FD0-A8ED-BC3A02C1FD98}"/>
              </c:ext>
            </c:extLst>
          </c:dPt>
          <c:dPt>
            <c:idx val="21"/>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15-3731-4609-9C6E-6058DFACD34C}"/>
              </c:ext>
            </c:extLst>
          </c:dPt>
          <c:dPt>
            <c:idx val="22"/>
            <c:invertIfNegative val="0"/>
            <c:bubble3D val="0"/>
            <c:spPr>
              <a:solidFill>
                <a:schemeClr val="bg1">
                  <a:lumMod val="50000"/>
                </a:schemeClr>
              </a:solidFill>
              <a:ln>
                <a:noFill/>
              </a:ln>
              <a:effectLst/>
            </c:spPr>
            <c:extLst>
              <c:ext xmlns:c16="http://schemas.microsoft.com/office/drawing/2014/chart" uri="{C3380CC4-5D6E-409C-BE32-E72D297353CC}">
                <c16:uniqueId val="{00000017-3731-4609-9C6E-6058DFACD34C}"/>
              </c:ext>
            </c:extLst>
          </c:dPt>
          <c:dPt>
            <c:idx val="24"/>
            <c:invertIfNegative val="0"/>
            <c:bubble3D val="0"/>
            <c:spPr>
              <a:solidFill>
                <a:srgbClr val="0070C0"/>
              </a:solidFill>
              <a:ln>
                <a:solidFill>
                  <a:srgbClr val="0070C0"/>
                </a:solidFill>
              </a:ln>
              <a:effectLst/>
            </c:spPr>
            <c:extLst>
              <c:ext xmlns:c16="http://schemas.microsoft.com/office/drawing/2014/chart" uri="{C3380CC4-5D6E-409C-BE32-E72D297353CC}">
                <c16:uniqueId val="{00000022-2478-4FD0-A8ED-BC3A02C1FD98}"/>
              </c:ext>
            </c:extLst>
          </c:dPt>
          <c:dPt>
            <c:idx val="25"/>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19-3731-4609-9C6E-6058DFACD34C}"/>
              </c:ext>
            </c:extLst>
          </c:dPt>
          <c:dPt>
            <c:idx val="26"/>
            <c:invertIfNegative val="0"/>
            <c:bubble3D val="0"/>
            <c:spPr>
              <a:solidFill>
                <a:schemeClr val="bg1">
                  <a:lumMod val="50000"/>
                </a:schemeClr>
              </a:solidFill>
              <a:ln>
                <a:noFill/>
              </a:ln>
              <a:effectLst/>
            </c:spPr>
            <c:extLst>
              <c:ext xmlns:c16="http://schemas.microsoft.com/office/drawing/2014/chart" uri="{C3380CC4-5D6E-409C-BE32-E72D297353CC}">
                <c16:uniqueId val="{0000001B-3731-4609-9C6E-6058DFACD34C}"/>
              </c:ext>
            </c:extLst>
          </c:dPt>
          <c:dPt>
            <c:idx val="28"/>
            <c:invertIfNegative val="0"/>
            <c:bubble3D val="0"/>
            <c:spPr>
              <a:solidFill>
                <a:srgbClr val="0070C0"/>
              </a:solidFill>
              <a:ln>
                <a:solidFill>
                  <a:srgbClr val="0070C0"/>
                </a:solidFill>
              </a:ln>
              <a:effectLst/>
            </c:spPr>
            <c:extLst>
              <c:ext xmlns:c16="http://schemas.microsoft.com/office/drawing/2014/chart" uri="{C3380CC4-5D6E-409C-BE32-E72D297353CC}">
                <c16:uniqueId val="{00000021-3731-4609-9C6E-6058DFACD34C}"/>
              </c:ext>
            </c:extLst>
          </c:dPt>
          <c:dPt>
            <c:idx val="29"/>
            <c:invertIfNegative val="0"/>
            <c:bubble3D val="0"/>
            <c:spPr>
              <a:pattFill prst="dkUpDiag">
                <a:fgClr>
                  <a:srgbClr val="FF9A4F"/>
                </a:fgClr>
                <a:bgClr>
                  <a:schemeClr val="bg1"/>
                </a:bgClr>
              </a:pattFill>
              <a:ln>
                <a:solidFill>
                  <a:srgbClr val="FF9A4F"/>
                </a:solidFill>
              </a:ln>
              <a:effectLst/>
            </c:spPr>
            <c:extLst>
              <c:ext xmlns:c16="http://schemas.microsoft.com/office/drawing/2014/chart" uri="{C3380CC4-5D6E-409C-BE32-E72D297353CC}">
                <c16:uniqueId val="{0000001D-3731-4609-9C6E-6058DFACD34C}"/>
              </c:ext>
            </c:extLst>
          </c:dPt>
          <c:dLbls>
            <c:dLbl>
              <c:idx val="2"/>
              <c:layout>
                <c:manualLayout>
                  <c:x val="0"/>
                  <c:y val="-3.6739635143188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31-4609-9C6E-6058DFACD34C}"/>
                </c:ext>
              </c:extLst>
            </c:dLbl>
            <c:dLbl>
              <c:idx val="6"/>
              <c:layout>
                <c:manualLayout>
                  <c:x val="-5.2553021492185151E-17"/>
                  <c:y val="3.9738023401280449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731-4609-9C6E-6058DFACD34C}"/>
                </c:ext>
              </c:extLst>
            </c:dLbl>
            <c:dLbl>
              <c:idx val="8"/>
              <c:layout>
                <c:manualLayout>
                  <c:x val="0"/>
                  <c:y val="-1.364800537920665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3731-4609-9C6E-6058DFACD34C}"/>
                </c:ext>
              </c:extLst>
            </c:dLbl>
            <c:dLbl>
              <c:idx val="9"/>
              <c:layout>
                <c:manualLayout>
                  <c:x val="0"/>
                  <c:y val="-5.83488086529040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731-4609-9C6E-6058DFACD34C}"/>
                </c:ext>
              </c:extLst>
            </c:dLbl>
            <c:dLbl>
              <c:idx val="10"/>
              <c:layout>
                <c:manualLayout>
                  <c:x val="-5.173367632465267E-17"/>
                  <c:y val="-4.09873037448108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731-4609-9C6E-6058DFACD34C}"/>
                </c:ext>
              </c:extLst>
            </c:dLbl>
            <c:dLbl>
              <c:idx val="12"/>
              <c:layout>
                <c:manualLayout>
                  <c:x val="-1.051060429843703E-16"/>
                  <c:y val="-1.47951269697664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3731-4609-9C6E-6058DFACD34C}"/>
                </c:ext>
              </c:extLst>
            </c:dLbl>
            <c:dLbl>
              <c:idx val="28"/>
              <c:layout>
                <c:manualLayout>
                  <c:x val="0"/>
                  <c:y val="-3.600951750190104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3731-4609-9C6E-6058DFACD34C}"/>
                </c:ext>
              </c:extLst>
            </c:dLbl>
            <c:dLbl>
              <c:idx val="29"/>
              <c:layout>
                <c:manualLayout>
                  <c:x val="0"/>
                  <c:y val="1.21465025777770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731-4609-9C6E-6058DFACD34C}"/>
                </c:ext>
              </c:extLst>
            </c:dLbl>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'MC Baseline 25-64'!$E$14:$E$44</c:f>
              <c:strCache>
                <c:ptCount val="29"/>
                <c:pt idx="0">
                  <c:v>% adults with Ambulatory Sensitive Hospitalisations over a 3 year period</c:v>
                </c:pt>
                <c:pt idx="3">
                  <c:v> </c:v>
                </c:pt>
                <c:pt idx="4">
                  <c:v>% adults with mental health related hospital or community provider service contact</c:v>
                </c:pt>
                <c:pt idx="7">
                  <c:v> </c:v>
                </c:pt>
                <c:pt idx="8">
                  <c:v>% adults with at least 1 of the chronic conditions flagged by the Ministry</c:v>
                </c:pt>
                <c:pt idx="11">
                  <c:v> </c:v>
                </c:pt>
                <c:pt idx="12">
                  <c:v>% adults aged 25-44 enrolled in further education over a 3 year period</c:v>
                </c:pt>
                <c:pt idx="15">
                  <c:v> </c:v>
                </c:pt>
                <c:pt idx="16">
                  <c:v>% adults with full drivers licenses</c:v>
                </c:pt>
                <c:pt idx="19">
                  <c:v> </c:v>
                </c:pt>
                <c:pt idx="20">
                  <c:v>% adults with employment income over $5k for at least one year over a 3 year period</c:v>
                </c:pt>
                <c:pt idx="23">
                  <c:v> </c:v>
                </c:pt>
                <c:pt idx="24">
                  <c:v>% adults supported by main benefit for some/all of a 3 year period</c:v>
                </c:pt>
                <c:pt idx="27">
                  <c:v> </c:v>
                </c:pt>
                <c:pt idx="28">
                  <c:v>% adults who transitioned into residential care over a 3 year period</c:v>
                </c:pt>
              </c:strCache>
            </c:strRef>
          </c:cat>
          <c:val>
            <c:numRef>
              <c:f>'MC Baseline 25-64'!$G$14:$G$44</c:f>
              <c:numCache>
                <c:formatCode>0%</c:formatCode>
                <c:ptCount val="31"/>
                <c:pt idx="0">
                  <c:v>0.29487179487179488</c:v>
                </c:pt>
                <c:pt idx="1">
                  <c:v>0.2219603221371047</c:v>
                </c:pt>
                <c:pt idx="2">
                  <c:v>4.3841263187312234E-2</c:v>
                </c:pt>
                <c:pt idx="4">
                  <c:v>0.18269230769230768</c:v>
                </c:pt>
                <c:pt idx="5">
                  <c:v>0.21213906894519741</c:v>
                </c:pt>
                <c:pt idx="6">
                  <c:v>5.624257667854398E-2</c:v>
                </c:pt>
                <c:pt idx="8">
                  <c:v>6.0897435897435896E-2</c:v>
                </c:pt>
                <c:pt idx="9">
                  <c:v>6.5409546258102538E-2</c:v>
                </c:pt>
                <c:pt idx="10">
                  <c:v>3.116048347655977E-2</c:v>
                </c:pt>
                <c:pt idx="12">
                  <c:v>6.363636363636363E-2</c:v>
                </c:pt>
                <c:pt idx="13">
                  <c:v>9.4867094408799271E-2</c:v>
                </c:pt>
                <c:pt idx="14">
                  <c:v>0.26718716113641294</c:v>
                </c:pt>
                <c:pt idx="16">
                  <c:v>0.20195439739413681</c:v>
                </c:pt>
                <c:pt idx="17">
                  <c:v>0.19780642678468346</c:v>
                </c:pt>
                <c:pt idx="18">
                  <c:v>0.83401674649391822</c:v>
                </c:pt>
                <c:pt idx="20">
                  <c:v>9.0032154340836015E-2</c:v>
                </c:pt>
                <c:pt idx="21">
                  <c:v>0.12041373926619828</c:v>
                </c:pt>
                <c:pt idx="22">
                  <c:v>0.78892661631210592</c:v>
                </c:pt>
                <c:pt idx="24">
                  <c:v>0.86173633440514474</c:v>
                </c:pt>
                <c:pt idx="25">
                  <c:v>0.85167837626854015</c:v>
                </c:pt>
                <c:pt idx="26">
                  <c:v>0.20684637239276557</c:v>
                </c:pt>
                <c:pt idx="28">
                  <c:v>3.5947712418300651E-2</c:v>
                </c:pt>
                <c:pt idx="29">
                  <c:v>4.1185527328714396E-2</c:v>
                </c:pt>
              </c:numCache>
            </c:numRef>
          </c:val>
          <c:extLst>
            <c:ext xmlns:c16="http://schemas.microsoft.com/office/drawing/2014/chart" uri="{C3380CC4-5D6E-409C-BE32-E72D297353CC}">
              <c16:uniqueId val="{0000001E-3731-4609-9C6E-6058DFACD34C}"/>
            </c:ext>
          </c:extLst>
        </c:ser>
        <c:dLbls>
          <c:showLegendKey val="0"/>
          <c:showVal val="0"/>
          <c:showCatName val="0"/>
          <c:showSerName val="0"/>
          <c:showPercent val="0"/>
          <c:showBubbleSize val="0"/>
        </c:dLbls>
        <c:gapWidth val="10"/>
        <c:overlap val="-10"/>
        <c:axId val="634760136"/>
        <c:axId val="493018296"/>
      </c:barChart>
      <c:lineChart>
        <c:grouping val="standard"/>
        <c:varyColors val="0"/>
        <c:ser>
          <c:idx val="1"/>
          <c:order val="1"/>
          <c:tx>
            <c:strRef>
              <c:f>'MC Baseline 25-64'!$H$13</c:f>
              <c:strCache>
                <c:ptCount val="1"/>
                <c:pt idx="0">
                  <c:v>CI upper</c:v>
                </c:pt>
              </c:strCache>
            </c:strRef>
          </c:tx>
          <c:spPr>
            <a:ln w="28575" cap="rnd">
              <a:noFill/>
              <a:round/>
            </a:ln>
            <a:effectLst/>
          </c:spPr>
          <c:marker>
            <c:symbol val="dash"/>
            <c:size val="10"/>
            <c:spPr>
              <a:solidFill>
                <a:schemeClr val="bg2"/>
              </a:solidFill>
              <a:ln w="9525">
                <a:noFill/>
              </a:ln>
              <a:effectLst/>
            </c:spPr>
          </c:marker>
          <c:cat>
            <c:strRef>
              <c:f>'MC Baseline 25-64'!$E$14:$E$44</c:f>
              <c:strCache>
                <c:ptCount val="29"/>
                <c:pt idx="0">
                  <c:v>% adults with Ambulatory Sensitive Hospitalisations over a 3 year period</c:v>
                </c:pt>
                <c:pt idx="3">
                  <c:v> </c:v>
                </c:pt>
                <c:pt idx="4">
                  <c:v>% adults with mental health related hospital or community provider service contact</c:v>
                </c:pt>
                <c:pt idx="7">
                  <c:v> </c:v>
                </c:pt>
                <c:pt idx="8">
                  <c:v>% adults with at least 1 of the chronic conditions flagged by the Ministry</c:v>
                </c:pt>
                <c:pt idx="11">
                  <c:v> </c:v>
                </c:pt>
                <c:pt idx="12">
                  <c:v>% adults aged 25-44 enrolled in further education over a 3 year period</c:v>
                </c:pt>
                <c:pt idx="15">
                  <c:v> </c:v>
                </c:pt>
                <c:pt idx="16">
                  <c:v>% adults with full drivers licenses</c:v>
                </c:pt>
                <c:pt idx="19">
                  <c:v> </c:v>
                </c:pt>
                <c:pt idx="20">
                  <c:v>% adults with employment income over $5k for at least one year over a 3 year period</c:v>
                </c:pt>
                <c:pt idx="23">
                  <c:v> </c:v>
                </c:pt>
                <c:pt idx="24">
                  <c:v>% adults supported by main benefit for some/all of a 3 year period</c:v>
                </c:pt>
                <c:pt idx="27">
                  <c:v> </c:v>
                </c:pt>
                <c:pt idx="28">
                  <c:v>% adults who transitioned into residential care over a 3 year period</c:v>
                </c:pt>
              </c:strCache>
            </c:strRef>
          </c:cat>
          <c:val>
            <c:numRef>
              <c:f>'MC Baseline 25-64'!$H$14:$H$44</c:f>
              <c:numCache>
                <c:formatCode>0%</c:formatCode>
                <c:ptCount val="31"/>
                <c:pt idx="0">
                  <c:v>0.32408376357745261</c:v>
                </c:pt>
                <c:pt idx="1">
                  <c:v>0.22855091465603192</c:v>
                </c:pt>
                <c:pt idx="2">
                  <c:v>4.5210610640757869E-2</c:v>
                </c:pt>
                <c:pt idx="4">
                  <c:v>0.20744731681343498</c:v>
                </c:pt>
                <c:pt idx="5">
                  <c:v>0.21862274080282729</c:v>
                </c:pt>
                <c:pt idx="6">
                  <c:v>5.7783460605634052E-2</c:v>
                </c:pt>
                <c:pt idx="8">
                  <c:v>7.6242308451724444E-2</c:v>
                </c:pt>
                <c:pt idx="9">
                  <c:v>6.9318082485452584E-2</c:v>
                </c:pt>
                <c:pt idx="10">
                  <c:v>3.2317800305351592E-2</c:v>
                </c:pt>
                <c:pt idx="12">
                  <c:v>9.0093885390701622E-2</c:v>
                </c:pt>
                <c:pt idx="13">
                  <c:v>0.10197060160885361</c:v>
                </c:pt>
                <c:pt idx="14">
                  <c:v>0.27144445474501971</c:v>
                </c:pt>
                <c:pt idx="16">
                  <c:v>0.22788178661703934</c:v>
                </c:pt>
                <c:pt idx="17">
                  <c:v>0.20405917431450762</c:v>
                </c:pt>
                <c:pt idx="18">
                  <c:v>0.83648819063531521</c:v>
                </c:pt>
                <c:pt idx="20">
                  <c:v>0.10839834606333627</c:v>
                </c:pt>
                <c:pt idx="21">
                  <c:v>0.12555844030909091</c:v>
                </c:pt>
                <c:pt idx="22">
                  <c:v>0.79164467789806425</c:v>
                </c:pt>
                <c:pt idx="24">
                  <c:v>0.88388504787812594</c:v>
                </c:pt>
                <c:pt idx="25">
                  <c:v>0.85729690943864911</c:v>
                </c:pt>
                <c:pt idx="26">
                  <c:v>0.20954427870543904</c:v>
                </c:pt>
                <c:pt idx="28">
                  <c:v>4.7990102044540787E-2</c:v>
                </c:pt>
                <c:pt idx="29">
                  <c:v>4.4305081261138517E-2</c:v>
                </c:pt>
              </c:numCache>
            </c:numRef>
          </c:val>
          <c:smooth val="0"/>
          <c:extLst>
            <c:ext xmlns:c16="http://schemas.microsoft.com/office/drawing/2014/chart" uri="{C3380CC4-5D6E-409C-BE32-E72D297353CC}">
              <c16:uniqueId val="{0000001F-3731-4609-9C6E-6058DFACD34C}"/>
            </c:ext>
          </c:extLst>
        </c:ser>
        <c:ser>
          <c:idx val="2"/>
          <c:order val="2"/>
          <c:tx>
            <c:strRef>
              <c:f>'MC Baseline 25-64'!$I$13</c:f>
              <c:strCache>
                <c:ptCount val="1"/>
                <c:pt idx="0">
                  <c:v>CI lower</c:v>
                </c:pt>
              </c:strCache>
            </c:strRef>
          </c:tx>
          <c:spPr>
            <a:ln w="28575" cap="rnd">
              <a:noFill/>
              <a:round/>
            </a:ln>
            <a:effectLst/>
          </c:spPr>
          <c:marker>
            <c:symbol val="dash"/>
            <c:size val="10"/>
            <c:spPr>
              <a:solidFill>
                <a:schemeClr val="bg2"/>
              </a:solidFill>
              <a:ln w="9525">
                <a:noFill/>
              </a:ln>
              <a:effectLst/>
            </c:spPr>
          </c:marker>
          <c:cat>
            <c:strRef>
              <c:f>'MC Baseline 25-64'!$E$14:$E$44</c:f>
              <c:strCache>
                <c:ptCount val="29"/>
                <c:pt idx="0">
                  <c:v>% adults with Ambulatory Sensitive Hospitalisations over a 3 year period</c:v>
                </c:pt>
                <c:pt idx="3">
                  <c:v> </c:v>
                </c:pt>
                <c:pt idx="4">
                  <c:v>% adults with mental health related hospital or community provider service contact</c:v>
                </c:pt>
                <c:pt idx="7">
                  <c:v> </c:v>
                </c:pt>
                <c:pt idx="8">
                  <c:v>% adults with at least 1 of the chronic conditions flagged by the Ministry</c:v>
                </c:pt>
                <c:pt idx="11">
                  <c:v> </c:v>
                </c:pt>
                <c:pt idx="12">
                  <c:v>% adults aged 25-44 enrolled in further education over a 3 year period</c:v>
                </c:pt>
                <c:pt idx="15">
                  <c:v> </c:v>
                </c:pt>
                <c:pt idx="16">
                  <c:v>% adults with full drivers licenses</c:v>
                </c:pt>
                <c:pt idx="19">
                  <c:v> </c:v>
                </c:pt>
                <c:pt idx="20">
                  <c:v>% adults with employment income over $5k for at least one year over a 3 year period</c:v>
                </c:pt>
                <c:pt idx="23">
                  <c:v> </c:v>
                </c:pt>
                <c:pt idx="24">
                  <c:v>% adults supported by main benefit for some/all of a 3 year period</c:v>
                </c:pt>
                <c:pt idx="27">
                  <c:v> </c:v>
                </c:pt>
                <c:pt idx="28">
                  <c:v>% adults who transitioned into residential care over a 3 year period</c:v>
                </c:pt>
              </c:strCache>
            </c:strRef>
          </c:cat>
          <c:val>
            <c:numRef>
              <c:f>'MC Baseline 25-64'!$I$14:$I$44</c:f>
              <c:numCache>
                <c:formatCode>0%</c:formatCode>
                <c:ptCount val="31"/>
                <c:pt idx="0">
                  <c:v>0.26565982616613715</c:v>
                </c:pt>
                <c:pt idx="1">
                  <c:v>0.21536972961817749</c:v>
                </c:pt>
                <c:pt idx="2">
                  <c:v>4.2471915733866598E-2</c:v>
                </c:pt>
                <c:pt idx="4">
                  <c:v>0.15793729857118038</c:v>
                </c:pt>
                <c:pt idx="5">
                  <c:v>0.20565539708756753</c:v>
                </c:pt>
                <c:pt idx="6">
                  <c:v>5.4701692751453909E-2</c:v>
                </c:pt>
                <c:pt idx="8">
                  <c:v>4.5552563343147355E-2</c:v>
                </c:pt>
                <c:pt idx="9">
                  <c:v>6.1501010030752493E-2</c:v>
                </c:pt>
                <c:pt idx="10">
                  <c:v>3.0003166647767945E-2</c:v>
                </c:pt>
                <c:pt idx="12">
                  <c:v>3.7178841882025637E-2</c:v>
                </c:pt>
                <c:pt idx="13">
                  <c:v>8.7763587208744928E-2</c:v>
                </c:pt>
                <c:pt idx="14">
                  <c:v>0.26292986752780617</c:v>
                </c:pt>
                <c:pt idx="16">
                  <c:v>0.17602700817123429</c:v>
                </c:pt>
                <c:pt idx="17">
                  <c:v>0.1915536792548593</c:v>
                </c:pt>
                <c:pt idx="18">
                  <c:v>0.83154530235252122</c:v>
                </c:pt>
                <c:pt idx="20">
                  <c:v>7.1665962618335757E-2</c:v>
                </c:pt>
                <c:pt idx="21">
                  <c:v>0.11526903822330563</c:v>
                </c:pt>
                <c:pt idx="22">
                  <c:v>0.78620855472614759</c:v>
                </c:pt>
                <c:pt idx="24">
                  <c:v>0.83958762093216355</c:v>
                </c:pt>
                <c:pt idx="25">
                  <c:v>0.84605984309843119</c:v>
                </c:pt>
                <c:pt idx="26">
                  <c:v>0.2041484660800921</c:v>
                </c:pt>
                <c:pt idx="28">
                  <c:v>2.3905322792060514E-2</c:v>
                </c:pt>
                <c:pt idx="29">
                  <c:v>3.8065973396290274E-2</c:v>
                </c:pt>
              </c:numCache>
            </c:numRef>
          </c:val>
          <c:smooth val="0"/>
          <c:extLst>
            <c:ext xmlns:c16="http://schemas.microsoft.com/office/drawing/2014/chart" uri="{C3380CC4-5D6E-409C-BE32-E72D297353CC}">
              <c16:uniqueId val="{00000020-3731-4609-9C6E-6058DFACD34C}"/>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634760136"/>
        <c:axId val="493018296"/>
      </c:lineChart>
      <c:catAx>
        <c:axId val="634760136"/>
        <c:scaling>
          <c:orientation val="minMax"/>
        </c:scaling>
        <c:delete val="1"/>
        <c:axPos val="b"/>
        <c:numFmt formatCode="General" sourceLinked="1"/>
        <c:majorTickMark val="none"/>
        <c:minorTickMark val="none"/>
        <c:tickLblPos val="nextTo"/>
        <c:crossAx val="493018296"/>
        <c:crosses val="autoZero"/>
        <c:auto val="1"/>
        <c:lblAlgn val="ctr"/>
        <c:lblOffset val="100"/>
        <c:noMultiLvlLbl val="0"/>
      </c:catAx>
      <c:valAx>
        <c:axId val="493018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4760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50947687642153"/>
          <c:y val="0.42962755530663682"/>
          <c:w val="0.85413191811978773"/>
          <c:h val="0.44698963875665088"/>
        </c:manualLayout>
      </c:layout>
      <c:lineChart>
        <c:grouping val="standard"/>
        <c:varyColors val="0"/>
        <c:ser>
          <c:idx val="0"/>
          <c:order val="0"/>
          <c:tx>
            <c:strRef>
              <c:f>'SOC_EDU (graphs)'!$E$40</c:f>
              <c:strCache>
                <c:ptCount val="1"/>
                <c:pt idx="0">
                  <c:v>Received any employment income over the year</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cat>
            <c:numRef>
              <c:f>'SOC_EDU (graphs)'!$C$42:$C$51</c:f>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f>'SOC_EDU (graphs)'!$E$42:$E$51</c:f>
              <c:numCache>
                <c:formatCode>0%</c:formatCode>
                <c:ptCount val="10"/>
                <c:pt idx="0">
                  <c:v>7.7011494252873569E-2</c:v>
                </c:pt>
                <c:pt idx="1">
                  <c:v>0.1206896551724138</c:v>
                </c:pt>
                <c:pt idx="2">
                  <c:v>0.16168478260869565</c:v>
                </c:pt>
                <c:pt idx="3">
                  <c:v>0.165402124430956</c:v>
                </c:pt>
                <c:pt idx="4">
                  <c:v>0.17927631578947367</c:v>
                </c:pt>
                <c:pt idx="5">
                  <c:v>0.18760757314974183</c:v>
                </c:pt>
                <c:pt idx="6">
                  <c:v>0.19705340699815838</c:v>
                </c:pt>
                <c:pt idx="7">
                  <c:v>0.22156862745098038</c:v>
                </c:pt>
                <c:pt idx="8">
                  <c:v>0.21398305084745764</c:v>
                </c:pt>
                <c:pt idx="9">
                  <c:v>0.20842572062084258</c:v>
                </c:pt>
              </c:numCache>
            </c:numRef>
          </c:val>
          <c:smooth val="0"/>
          <c:extLst>
            <c:ext xmlns:c16="http://schemas.microsoft.com/office/drawing/2014/chart" uri="{C3380CC4-5D6E-409C-BE32-E72D297353CC}">
              <c16:uniqueId val="{00000000-32C5-45C3-8E86-877E61485F14}"/>
            </c:ext>
          </c:extLst>
        </c:ser>
        <c:ser>
          <c:idx val="2"/>
          <c:order val="2"/>
          <c:tx>
            <c:strRef>
              <c:f>'SOC_EDU (graphs)'!$G$40</c:f>
              <c:strCache>
                <c:ptCount val="1"/>
                <c:pt idx="0">
                  <c:v>Supported by main benefit for some/all of the year</c:v>
                </c:pt>
              </c:strCache>
            </c:strRef>
          </c:tx>
          <c:spPr>
            <a:ln w="28575" cap="rnd" cmpd="dbl">
              <a:solidFill>
                <a:schemeClr val="accent6"/>
              </a:solidFill>
              <a:round/>
            </a:ln>
            <a:effectLst/>
          </c:spPr>
          <c:marker>
            <c:symbol val="none"/>
          </c:marker>
          <c:cat>
            <c:numRef>
              <c:f>'SOC_EDU (graphs)'!$C$42:$C$51</c:f>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f>'SOC_EDU (graphs)'!$G$42:$G$51</c:f>
              <c:numCache>
                <c:formatCode>General</c:formatCode>
                <c:ptCount val="10"/>
                <c:pt idx="2" formatCode="0%">
                  <c:v>0.68614130434782605</c:v>
                </c:pt>
                <c:pt idx="3" formatCode="0%">
                  <c:v>0.84673748103186641</c:v>
                </c:pt>
                <c:pt idx="4" formatCode="0%">
                  <c:v>0.90131578947368418</c:v>
                </c:pt>
                <c:pt idx="5" formatCode="0%">
                  <c:v>0.91738382099827886</c:v>
                </c:pt>
                <c:pt idx="6" formatCode="0%">
                  <c:v>0.92633517495395945</c:v>
                </c:pt>
                <c:pt idx="7" formatCode="0%">
                  <c:v>0.9274509803921569</c:v>
                </c:pt>
                <c:pt idx="8" formatCode="0%">
                  <c:v>0.93432203389830504</c:v>
                </c:pt>
                <c:pt idx="9" formatCode="0%">
                  <c:v>0.93569844789356982</c:v>
                </c:pt>
              </c:numCache>
            </c:numRef>
          </c:val>
          <c:smooth val="0"/>
          <c:extLst>
            <c:ext xmlns:c16="http://schemas.microsoft.com/office/drawing/2014/chart" uri="{C3380CC4-5D6E-409C-BE32-E72D297353CC}">
              <c16:uniqueId val="{00000001-32C5-45C3-8E86-877E61485F14}"/>
            </c:ext>
          </c:extLst>
        </c:ser>
        <c:ser>
          <c:idx val="4"/>
          <c:order val="4"/>
          <c:tx>
            <c:strRef>
              <c:f>'SOC_EDU (graphs)'!$I$40</c:f>
              <c:strCache>
                <c:ptCount val="1"/>
                <c:pt idx="0">
                  <c:v>School enrolment</c:v>
                </c:pt>
              </c:strCache>
            </c:strRef>
          </c:tx>
          <c:spPr>
            <a:ln w="28575" cap="rnd">
              <a:solidFill>
                <a:srgbClr val="0070C0"/>
              </a:solidFill>
              <a:prstDash val="sysDash"/>
              <a:round/>
            </a:ln>
            <a:effectLst/>
          </c:spPr>
          <c:marker>
            <c:symbol val="none"/>
          </c:marker>
          <c:cat>
            <c:numRef>
              <c:f>'SOC_EDU (graphs)'!$C$42:$C$51</c:f>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f>'SOC_EDU (graphs)'!$I$42:$I$51</c:f>
              <c:numCache>
                <c:formatCode>0%</c:formatCode>
                <c:ptCount val="10"/>
                <c:pt idx="0">
                  <c:v>0.90344827586206899</c:v>
                </c:pt>
                <c:pt idx="1">
                  <c:v>0.78817733990147787</c:v>
                </c:pt>
                <c:pt idx="2">
                  <c:v>0.57880434782608692</c:v>
                </c:pt>
                <c:pt idx="3">
                  <c:v>0.44006069802731412</c:v>
                </c:pt>
                <c:pt idx="4">
                  <c:v>0.37171052631578949</c:v>
                </c:pt>
                <c:pt idx="5">
                  <c:v>0.18072289156626506</c:v>
                </c:pt>
                <c:pt idx="6">
                  <c:v>2.0257826887661142E-2</c:v>
                </c:pt>
                <c:pt idx="7">
                  <c:v>1.7647058823529412E-2</c:v>
                </c:pt>
                <c:pt idx="8">
                  <c:v>1.4830508474576272E-2</c:v>
                </c:pt>
                <c:pt idx="9">
                  <c:v>1.5521064301552107E-2</c:v>
                </c:pt>
              </c:numCache>
            </c:numRef>
          </c:val>
          <c:smooth val="0"/>
          <c:extLst>
            <c:ext xmlns:c16="http://schemas.microsoft.com/office/drawing/2014/chart" uri="{C3380CC4-5D6E-409C-BE32-E72D297353CC}">
              <c16:uniqueId val="{00000002-32C5-45C3-8E86-877E61485F14}"/>
            </c:ext>
          </c:extLst>
        </c:ser>
        <c:ser>
          <c:idx val="16"/>
          <c:order val="16"/>
          <c:tx>
            <c:strRef>
              <c:f>'SOC_EDU (graphs)'!$U$40</c:f>
              <c:strCache>
                <c:ptCount val="1"/>
                <c:pt idx="0">
                  <c:v>Enrolled in tertiary course for some/all of the year - any type</c:v>
                </c:pt>
              </c:strCache>
            </c:strRef>
          </c:tx>
          <c:spPr>
            <a:ln w="28575" cap="rnd">
              <a:solidFill>
                <a:srgbClr val="7030A0"/>
              </a:solidFill>
              <a:prstDash val="lgDashDot"/>
              <a:round/>
            </a:ln>
            <a:effectLst/>
          </c:spPr>
          <c:marker>
            <c:symbol val="none"/>
          </c:marker>
          <c:cat>
            <c:numRef>
              <c:f>'SOC_EDU (graphs)'!$C$42:$C$51</c:f>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f>'SOC_EDU (graphs)'!$U$42:$U$51</c:f>
              <c:numCache>
                <c:formatCode>0%</c:formatCode>
                <c:ptCount val="10"/>
                <c:pt idx="0">
                  <c:v>5.1787916152897656E-2</c:v>
                </c:pt>
                <c:pt idx="1">
                  <c:v>0.13432835820895522</c:v>
                </c:pt>
                <c:pt idx="2">
                  <c:v>0.23520485584218512</c:v>
                </c:pt>
                <c:pt idx="3">
                  <c:v>0.27138157894736842</c:v>
                </c:pt>
                <c:pt idx="4">
                  <c:v>0.25172413793103449</c:v>
                </c:pt>
                <c:pt idx="5">
                  <c:v>0.24264705882352941</c:v>
                </c:pt>
                <c:pt idx="6">
                  <c:v>0.23333333333333334</c:v>
                </c:pt>
                <c:pt idx="7">
                  <c:v>0.19703389830508475</c:v>
                </c:pt>
                <c:pt idx="8">
                  <c:v>0.14634146341463414</c:v>
                </c:pt>
                <c:pt idx="9">
                  <c:v>9.7674418604651161E-2</c:v>
                </c:pt>
              </c:numCache>
            </c:numRef>
          </c:val>
          <c:smooth val="0"/>
          <c:extLst>
            <c:ext xmlns:c16="http://schemas.microsoft.com/office/drawing/2014/chart" uri="{C3380CC4-5D6E-409C-BE32-E72D297353CC}">
              <c16:uniqueId val="{00000003-32C5-45C3-8E86-877E61485F14}"/>
            </c:ext>
          </c:extLst>
        </c:ser>
        <c:ser>
          <c:idx val="18"/>
          <c:order val="18"/>
          <c:tx>
            <c:strRef>
              <c:f>'SOC_EDU (graphs)'!$W$40</c:f>
              <c:strCache>
                <c:ptCount val="1"/>
                <c:pt idx="0">
                  <c:v>Enrolled in school, tertiary course, or received any employment income over the year</c:v>
                </c:pt>
              </c:strCache>
            </c:strRef>
          </c:tx>
          <c:spPr>
            <a:ln w="34925" cap="rnd">
              <a:solidFill>
                <a:schemeClr val="bg2"/>
              </a:solidFill>
              <a:round/>
            </a:ln>
            <a:effectLst/>
          </c:spPr>
          <c:marker>
            <c:symbol val="none"/>
          </c:marker>
          <c:cat>
            <c:numRef>
              <c:f>'SOC_EDU (graphs)'!$C$42:$C$51</c:f>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f>'SOC_EDU (graphs)'!$W$42:$W$51</c:f>
              <c:numCache>
                <c:formatCode>0%</c:formatCode>
                <c:ptCount val="10"/>
                <c:pt idx="0">
                  <c:v>0.92601726263871764</c:v>
                </c:pt>
                <c:pt idx="1">
                  <c:v>0.89145183175033926</c:v>
                </c:pt>
                <c:pt idx="2">
                  <c:v>0.84673748103186641</c:v>
                </c:pt>
                <c:pt idx="3">
                  <c:v>0.75493421052631582</c:v>
                </c:pt>
                <c:pt idx="4">
                  <c:v>0.70344827586206893</c:v>
                </c:pt>
                <c:pt idx="5">
                  <c:v>0.52941176470588236</c:v>
                </c:pt>
                <c:pt idx="6">
                  <c:v>0.39411764705882352</c:v>
                </c:pt>
                <c:pt idx="7">
                  <c:v>0.33898305084745761</c:v>
                </c:pt>
                <c:pt idx="8">
                  <c:v>0.31485587583148561</c:v>
                </c:pt>
                <c:pt idx="9">
                  <c:v>0.2744186046511628</c:v>
                </c:pt>
              </c:numCache>
            </c:numRef>
          </c:val>
          <c:smooth val="0"/>
          <c:extLst>
            <c:ext xmlns:c16="http://schemas.microsoft.com/office/drawing/2014/chart" uri="{C3380CC4-5D6E-409C-BE32-E72D297353CC}">
              <c16:uniqueId val="{00000004-32C5-45C3-8E86-877E61485F14}"/>
            </c:ext>
          </c:extLst>
        </c:ser>
        <c:dLbls>
          <c:showLegendKey val="0"/>
          <c:showVal val="0"/>
          <c:showCatName val="0"/>
          <c:showSerName val="0"/>
          <c:showPercent val="0"/>
          <c:showBubbleSize val="0"/>
        </c:dLbls>
        <c:marker val="1"/>
        <c:smooth val="0"/>
        <c:axId val="682386352"/>
        <c:axId val="682386680"/>
        <c:extLst>
          <c:ext xmlns:c15="http://schemas.microsoft.com/office/drawing/2012/chart" uri="{02D57815-91ED-43cb-92C2-25804820EDAC}">
            <c15:filteredLineSeries>
              <c15:ser>
                <c:idx val="1"/>
                <c:order val="1"/>
                <c:tx>
                  <c:strRef>
                    <c:extLst>
                      <c:ext uri="{02D57815-91ED-43cb-92C2-25804820EDAC}">
                        <c15:formulaRef>
                          <c15:sqref>'SOC_EDU (graphs)'!$F$40</c15:sqref>
                        </c15:formulaRef>
                      </c:ext>
                    </c:extLst>
                    <c:strCache>
                      <c:ptCount val="1"/>
                      <c:pt idx="0">
                        <c:v>Received employment income &gt;$5k over the year</c:v>
                      </c:pt>
                    </c:strCache>
                  </c:strRef>
                </c:tx>
                <c:spPr>
                  <a:ln w="28575" cap="rnd">
                    <a:solidFill>
                      <a:schemeClr val="accent4"/>
                    </a:solidFill>
                    <a:round/>
                  </a:ln>
                  <a:effectLst/>
                </c:spPr>
                <c:marker>
                  <c:symbol val="none"/>
                </c:marker>
                <c:cat>
                  <c:numRef>
                    <c:extLst>
                      <c:ext uri="{02D57815-91ED-43cb-92C2-25804820EDAC}">
                        <c15:formulaRef>
                          <c15:sqref>'SOC_EDU (graphs)'!$C$42:$C$51</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c:ext uri="{02D57815-91ED-43cb-92C2-25804820EDAC}">
                        <c15:formulaRef>
                          <c15:sqref>'SOC_EDU (graphs)'!$F$42:$F$51</c15:sqref>
                        </c15:formulaRef>
                      </c:ext>
                    </c:extLst>
                    <c:numCache>
                      <c:formatCode>0%</c:formatCode>
                      <c:ptCount val="10"/>
                      <c:pt idx="0">
                        <c:v>1.4942528735632184E-2</c:v>
                      </c:pt>
                      <c:pt idx="1">
                        <c:v>3.8177339901477834E-2</c:v>
                      </c:pt>
                      <c:pt idx="2">
                        <c:v>6.9293478260869568E-2</c:v>
                      </c:pt>
                      <c:pt idx="3">
                        <c:v>6.9802731411229141E-2</c:v>
                      </c:pt>
                      <c:pt idx="4">
                        <c:v>8.7171052631578941E-2</c:v>
                      </c:pt>
                      <c:pt idx="5">
                        <c:v>8.6058519793459548E-2</c:v>
                      </c:pt>
                      <c:pt idx="6">
                        <c:v>0.10128913443830571</c:v>
                      </c:pt>
                      <c:pt idx="7">
                        <c:v>0.10588235294117647</c:v>
                      </c:pt>
                      <c:pt idx="8">
                        <c:v>0.11228813559322035</c:v>
                      </c:pt>
                      <c:pt idx="9">
                        <c:v>0.10864745011086474</c:v>
                      </c:pt>
                    </c:numCache>
                  </c:numRef>
                </c:val>
                <c:smooth val="0"/>
                <c:extLst>
                  <c:ext xmlns:c16="http://schemas.microsoft.com/office/drawing/2014/chart" uri="{C3380CC4-5D6E-409C-BE32-E72D297353CC}">
                    <c16:uniqueId val="{00000005-32C5-45C3-8E86-877E61485F14}"/>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'SOC_EDU (graphs)'!$H$40</c15:sqref>
                        </c15:formulaRef>
                      </c:ext>
                    </c:extLst>
                    <c:strCache>
                      <c:ptCount val="1"/>
                      <c:pt idx="0">
                        <c:v>Adult supported by main benefit for some/all of the period - Supported Living Payment</c:v>
                      </c:pt>
                    </c:strCache>
                  </c:strRef>
                </c:tx>
                <c:spPr>
                  <a:ln w="28575" cap="rnd">
                    <a:solidFill>
                      <a:schemeClr val="accent2">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(graphs)'!$C$42:$C$51</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(graphs)'!$H$42:$H$51</c15:sqref>
                        </c15:formulaRef>
                      </c:ext>
                    </c:extLst>
                    <c:numCache>
                      <c:formatCode>0%</c:formatCode>
                      <c:ptCount val="10"/>
                      <c:pt idx="0">
                        <c:v>0.27241379310344827</c:v>
                      </c:pt>
                      <c:pt idx="1">
                        <c:v>0.41748768472906406</c:v>
                      </c:pt>
                      <c:pt idx="2">
                        <c:v>0.62364130434782605</c:v>
                      </c:pt>
                      <c:pt idx="3">
                        <c:v>0.77086494688922613</c:v>
                      </c:pt>
                      <c:pt idx="4">
                        <c:v>0.82730263157894735</c:v>
                      </c:pt>
                      <c:pt idx="5">
                        <c:v>0.8623063683304647</c:v>
                      </c:pt>
                      <c:pt idx="6">
                        <c:v>0.87661141804788212</c:v>
                      </c:pt>
                      <c:pt idx="7">
                        <c:v>0.87647058823529411</c:v>
                      </c:pt>
                      <c:pt idx="8">
                        <c:v>0.87923728813559321</c:v>
                      </c:pt>
                      <c:pt idx="9">
                        <c:v>0.89135254988913526</c:v>
                      </c:pt>
                    </c:numCache>
                  </c:numRef>
                </c:val>
                <c:smooth val="0"/>
                <c:extLst xmlns:c15="http://schemas.microsoft.com/office/drawing/2012/chart">
                  <c:ext xmlns:c16="http://schemas.microsoft.com/office/drawing/2014/chart" uri="{C3380CC4-5D6E-409C-BE32-E72D297353CC}">
                    <c16:uniqueId val="{00000006-32C5-45C3-8E86-877E61485F14}"/>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'SOC_EDU (graphs)'!$J$40</c15:sqref>
                        </c15:formulaRef>
                      </c:ext>
                    </c:extLst>
                    <c:strCache>
                      <c:ptCount val="1"/>
                    </c:strCache>
                  </c:strRef>
                </c:tx>
                <c:spPr>
                  <a:ln w="28575" cap="rnd">
                    <a:solidFill>
                      <a:schemeClr val="accent6">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(graphs)'!$C$42:$C$51</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(graphs)'!$J$42:$J$51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7-32C5-45C3-8E86-877E61485F14}"/>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'SOC_EDU (graphs)'!$K$40</c15:sqref>
                        </c15:formulaRef>
                      </c:ext>
                    </c:extLst>
                    <c:strCache>
                      <c:ptCount val="1"/>
                    </c:strCache>
                  </c:strRef>
                </c:tx>
                <c:spPr>
                  <a:ln w="28575" cap="rnd">
                    <a:solidFill>
                      <a:schemeClr val="accent2">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(graphs)'!$C$42:$C$51</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(graphs)'!$K$42:$K$51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32C5-45C3-8E86-877E61485F14}"/>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'SOC_EDU (graphs)'!$L$40</c15:sqref>
                        </c15:formulaRef>
                      </c:ext>
                    </c:extLst>
                    <c:strCache>
                      <c:ptCount val="1"/>
                    </c:strCache>
                  </c:strRef>
                </c:tx>
                <c:spPr>
                  <a:ln w="28575" cap="rnd">
                    <a:solidFill>
                      <a:schemeClr val="accent4">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(graphs)'!$C$42:$C$51</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(graphs)'!$L$42:$L$51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32C5-45C3-8E86-877E61485F14}"/>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'SOC_EDU (graphs)'!$M$40</c15:sqref>
                        </c15:formulaRef>
                      </c:ext>
                    </c:extLst>
                    <c:strCache>
                      <c:ptCount val="1"/>
                    </c:strCache>
                  </c:strRef>
                </c:tx>
                <c:spPr>
                  <a:ln w="28575" cap="rnd">
                    <a:solidFill>
                      <a:schemeClr val="accent6">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(graphs)'!$C$42:$C$51</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(graphs)'!$M$42:$M$51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32C5-45C3-8E86-877E61485F14}"/>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'SOC_EDU (graphs)'!$N$40</c15:sqref>
                        </c15:formulaRef>
                      </c:ext>
                    </c:extLst>
                    <c:strCache>
                      <c:ptCount val="1"/>
                      <c:pt idx="0">
                        <c:v>Enrolled in tertiary course for some/all of the period - bachelor level</c:v>
                      </c:pt>
                    </c:strCache>
                  </c:strRef>
                </c:tx>
                <c:spPr>
                  <a:ln w="28575" cap="rnd">
                    <a:solidFill>
                      <a:schemeClr val="accent2">
                        <a:lumMod val="8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(graphs)'!$C$42:$C$51</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(graphs)'!$N$42:$N$51</c15:sqref>
                        </c15:formulaRef>
                      </c:ext>
                    </c:extLst>
                    <c:numCache>
                      <c:formatCode>0%</c:formatCode>
                      <c:ptCount val="10"/>
                      <c:pt idx="0">
                        <c:v>0</c:v>
                      </c:pt>
                      <c:pt idx="1">
                        <c:v>2.7137042062415195E-3</c:v>
                      </c:pt>
                      <c:pt idx="2">
                        <c:v>2.7314112291350532E-2</c:v>
                      </c:pt>
                      <c:pt idx="3">
                        <c:v>3.7828947368421052E-2</c:v>
                      </c:pt>
                      <c:pt idx="4">
                        <c:v>3.9655172413793106E-2</c:v>
                      </c:pt>
                      <c:pt idx="5">
                        <c:v>4.2279411764705885E-2</c:v>
                      </c:pt>
                      <c:pt idx="6">
                        <c:v>3.7254901960784313E-2</c:v>
                      </c:pt>
                      <c:pt idx="7">
                        <c:v>3.6016949152542374E-2</c:v>
                      </c:pt>
                      <c:pt idx="8">
                        <c:v>2.4390243902439025E-2</c:v>
                      </c:pt>
                      <c:pt idx="9">
                        <c:v>1.8604651162790697E-2</c:v>
                      </c:pt>
                    </c:numCache>
                  </c:numRef>
                </c:val>
                <c:smooth val="0"/>
                <c:extLst xmlns:c15="http://schemas.microsoft.com/office/drawing/2012/chart">
                  <c:ext xmlns:c16="http://schemas.microsoft.com/office/drawing/2014/chart" uri="{C3380CC4-5D6E-409C-BE32-E72D297353CC}">
                    <c16:uniqueId val="{0000000B-32C5-45C3-8E86-877E61485F14}"/>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'SOC_EDU (graphs)'!$O$40</c15:sqref>
                        </c15:formulaRef>
                      </c:ext>
                    </c:extLst>
                    <c:strCache>
                      <c:ptCount val="1"/>
                      <c:pt idx="0">
                        <c:v>Enrolled in tertiary course for some/all of the period - NZQA levels 5-7</c:v>
                      </c:pt>
                    </c:strCache>
                  </c:strRef>
                </c:tx>
                <c:spPr>
                  <a:ln w="28575" cap="rnd">
                    <a:solidFill>
                      <a:schemeClr val="accent4">
                        <a:lumMod val="8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(graphs)'!$C$42:$C$51</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(graphs)'!$O$42:$O$51</c15:sqref>
                        </c15:formulaRef>
                      </c:ext>
                    </c:extLst>
                    <c:numCache>
                      <c:formatCode>0%</c:formatCode>
                      <c:ptCount val="10"/>
                      <c:pt idx="0">
                        <c:v>0</c:v>
                      </c:pt>
                      <c:pt idx="1">
                        <c:v>4.0705563093622792E-3</c:v>
                      </c:pt>
                      <c:pt idx="2">
                        <c:v>1.5174506828528073E-2</c:v>
                      </c:pt>
                      <c:pt idx="3">
                        <c:v>2.1381578947368422E-2</c:v>
                      </c:pt>
                      <c:pt idx="4">
                        <c:v>2.5862068965517241E-2</c:v>
                      </c:pt>
                      <c:pt idx="5">
                        <c:v>2.2058823529411766E-2</c:v>
                      </c:pt>
                      <c:pt idx="6">
                        <c:v>1.5686274509803921E-2</c:v>
                      </c:pt>
                      <c:pt idx="7">
                        <c:v>1.9067796610169493E-2</c:v>
                      </c:pt>
                      <c:pt idx="8">
                        <c:v>8.869179600886918E-3</c:v>
                      </c:pt>
                      <c:pt idx="9">
                        <c:v>9.3023255813953487E-3</c:v>
                      </c:pt>
                    </c:numCache>
                  </c:numRef>
                </c:val>
                <c:smooth val="0"/>
                <c:extLst xmlns:c15="http://schemas.microsoft.com/office/drawing/2012/chart">
                  <c:ext xmlns:c16="http://schemas.microsoft.com/office/drawing/2014/chart" uri="{C3380CC4-5D6E-409C-BE32-E72D297353CC}">
                    <c16:uniqueId val="{0000000C-32C5-45C3-8E86-877E61485F14}"/>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'SOC_EDU (graphs)'!$P$40</c15:sqref>
                        </c15:formulaRef>
                      </c:ext>
                    </c:extLst>
                    <c:strCache>
                      <c:ptCount val="1"/>
                      <c:pt idx="0">
                        <c:v>Enrolled in tertiary course for some/all of the period - NZQA level 4</c:v>
                      </c:pt>
                    </c:strCache>
                  </c:strRef>
                </c:tx>
                <c:spPr>
                  <a:ln w="28575" cap="rnd">
                    <a:solidFill>
                      <a:schemeClr val="accent6">
                        <a:lumMod val="8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(graphs)'!$C$42:$C$51</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(graphs)'!$P$42:$P$51</c15:sqref>
                        </c15:formulaRef>
                      </c:ext>
                    </c:extLst>
                    <c:numCache>
                      <c:formatCode>0%</c:formatCode>
                      <c:ptCount val="10"/>
                      <c:pt idx="0">
                        <c:v>0</c:v>
                      </c:pt>
                      <c:pt idx="1">
                        <c:v>6.7842605156037995E-3</c:v>
                      </c:pt>
                      <c:pt idx="2">
                        <c:v>2.2761760242792108E-2</c:v>
                      </c:pt>
                      <c:pt idx="3">
                        <c:v>3.453947368421053E-2</c:v>
                      </c:pt>
                      <c:pt idx="4">
                        <c:v>3.4482758620689655E-2</c:v>
                      </c:pt>
                      <c:pt idx="5">
                        <c:v>2.389705882352941E-2</c:v>
                      </c:pt>
                      <c:pt idx="6">
                        <c:v>1.9607843137254902E-2</c:v>
                      </c:pt>
                      <c:pt idx="7">
                        <c:v>1.9067796610169493E-2</c:v>
                      </c:pt>
                      <c:pt idx="8">
                        <c:v>1.5521064301552107E-2</c:v>
                      </c:pt>
                      <c:pt idx="9">
                        <c:v>9.3023255813953487E-3</c:v>
                      </c:pt>
                    </c:numCache>
                  </c:numRef>
                </c:val>
                <c:smooth val="0"/>
                <c:extLst xmlns:c15="http://schemas.microsoft.com/office/drawing/2012/chart">
                  <c:ext xmlns:c16="http://schemas.microsoft.com/office/drawing/2014/chart" uri="{C3380CC4-5D6E-409C-BE32-E72D297353CC}">
                    <c16:uniqueId val="{0000000D-32C5-45C3-8E86-877E61485F14}"/>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'SOC_EDU (graphs)'!$Q$40</c15:sqref>
                        </c15:formulaRef>
                      </c:ext>
                    </c:extLst>
                    <c:strCache>
                      <c:ptCount val="1"/>
                      <c:pt idx="0">
                        <c:v>Enrolled in tertiary course for some/all of the period - NZQA levels 1-3</c:v>
                      </c:pt>
                    </c:strCache>
                  </c:strRef>
                </c:tx>
                <c:spPr>
                  <a:ln w="28575" cap="rnd">
                    <a:solidFill>
                      <a:schemeClr val="accent2">
                        <a:lumMod val="60000"/>
                        <a:lumOff val="4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(graphs)'!$C$42:$C$51</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(graphs)'!$Q$42:$Q$51</c15:sqref>
                        </c15:formulaRef>
                      </c:ext>
                    </c:extLst>
                    <c:numCache>
                      <c:formatCode>0%</c:formatCode>
                      <c:ptCount val="10"/>
                      <c:pt idx="0">
                        <c:v>4.9321824907521579E-2</c:v>
                      </c:pt>
                      <c:pt idx="1">
                        <c:v>0.12211668928086838</c:v>
                      </c:pt>
                      <c:pt idx="2">
                        <c:v>0.17602427921092564</c:v>
                      </c:pt>
                      <c:pt idx="3">
                        <c:v>0.19407894736842105</c:v>
                      </c:pt>
                      <c:pt idx="4">
                        <c:v>0.16896551724137931</c:v>
                      </c:pt>
                      <c:pt idx="5">
                        <c:v>0.16176470588235295</c:v>
                      </c:pt>
                      <c:pt idx="6">
                        <c:v>0.17058823529411765</c:v>
                      </c:pt>
                      <c:pt idx="7">
                        <c:v>0.1271186440677966</c:v>
                      </c:pt>
                      <c:pt idx="8">
                        <c:v>0.10199556541019955</c:v>
                      </c:pt>
                      <c:pt idx="9">
                        <c:v>6.5116279069767441E-2</c:v>
                      </c:pt>
                    </c:numCache>
                  </c:numRef>
                </c:val>
                <c:smooth val="0"/>
                <c:extLst xmlns:c15="http://schemas.microsoft.com/office/drawing/2012/chart">
                  <c:ext xmlns:c16="http://schemas.microsoft.com/office/drawing/2014/chart" uri="{C3380CC4-5D6E-409C-BE32-E72D297353CC}">
                    <c16:uniqueId val="{0000000E-32C5-45C3-8E86-877E61485F14}"/>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'SOC_EDU (graphs)'!$R$40</c15:sqref>
                        </c15:formulaRef>
                      </c:ext>
                    </c:extLst>
                    <c:strCache>
                      <c:ptCount val="1"/>
                      <c:pt idx="0">
                        <c:v>Enrolled in tertiary course for some/all of the period - NZQA levels Secondary Tertiary Alignment Resource (STAR, usually done while in school)</c:v>
                      </c:pt>
                    </c:strCache>
                  </c:strRef>
                </c:tx>
                <c:spPr>
                  <a:ln w="28575" cap="rnd">
                    <a:solidFill>
                      <a:schemeClr val="accent4">
                        <a:lumMod val="60000"/>
                        <a:lumOff val="4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(graphs)'!$C$42:$C$51</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(graphs)'!$R$42:$R$51</c15:sqref>
                        </c15:formulaRef>
                      </c:ext>
                    </c:extLst>
                    <c:numCache>
                      <c:formatCode>0%</c:formatCode>
                      <c:ptCount val="10"/>
                      <c:pt idx="0">
                        <c:v>4.0690505548705305E-2</c:v>
                      </c:pt>
                      <c:pt idx="1">
                        <c:v>6.1058344640434192E-2</c:v>
                      </c:pt>
                      <c:pt idx="2">
                        <c:v>6.2215477996965099E-2</c:v>
                      </c:pt>
                      <c:pt idx="3">
                        <c:v>3.7828947368421052E-2</c:v>
                      </c:pt>
                      <c:pt idx="4">
                        <c:v>3.4482758620689655E-2</c:v>
                      </c:pt>
                      <c:pt idx="5">
                        <c:v>1.8382352941176471E-2</c:v>
                      </c:pt>
                      <c:pt idx="6">
                        <c:v>7.8431372549019607E-3</c:v>
                      </c:pt>
                      <c:pt idx="7">
                        <c:v>0</c:v>
                      </c:pt>
                      <c:pt idx="8">
                        <c:v>0</c:v>
                      </c:pt>
                      <c:pt idx="9">
                        <c:v>0</c:v>
                      </c:pt>
                    </c:numCache>
                  </c:numRef>
                </c:val>
                <c:smooth val="0"/>
                <c:extLst xmlns:c15="http://schemas.microsoft.com/office/drawing/2012/chart">
                  <c:ext xmlns:c16="http://schemas.microsoft.com/office/drawing/2014/chart" uri="{C3380CC4-5D6E-409C-BE32-E72D297353CC}">
                    <c16:uniqueId val="{0000000F-32C5-45C3-8E86-877E61485F14}"/>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'SOC_EDU (graphs)'!$S$40</c15:sqref>
                        </c15:formulaRef>
                      </c:ext>
                    </c:extLst>
                    <c:strCache>
                      <c:ptCount val="1"/>
                      <c:pt idx="0">
                        <c:v>Enrolled in tertiary course for some/all of the period - NZQA levels 1-7</c:v>
                      </c:pt>
                    </c:strCache>
                  </c:strRef>
                </c:tx>
                <c:spPr>
                  <a:ln w="28575" cap="rnd">
                    <a:solidFill>
                      <a:schemeClr val="accent6">
                        <a:lumMod val="60000"/>
                        <a:lumOff val="4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(graphs)'!$C$42:$C$51</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(graphs)'!$S$42:$S$51</c15:sqref>
                        </c15:formulaRef>
                      </c:ext>
                    </c:extLst>
                    <c:numCache>
                      <c:formatCode>0%</c:formatCode>
                      <c:ptCount val="10"/>
                      <c:pt idx="0">
                        <c:v>5.1787916152897656E-2</c:v>
                      </c:pt>
                      <c:pt idx="1">
                        <c:v>0.13025780189959293</c:v>
                      </c:pt>
                      <c:pt idx="2">
                        <c:v>0.20485584218512898</c:v>
                      </c:pt>
                      <c:pt idx="3">
                        <c:v>0.23355263157894737</c:v>
                      </c:pt>
                      <c:pt idx="4">
                        <c:v>0.21551724137931033</c:v>
                      </c:pt>
                      <c:pt idx="5">
                        <c:v>0.20036764705882354</c:v>
                      </c:pt>
                      <c:pt idx="6">
                        <c:v>0.1980392156862745</c:v>
                      </c:pt>
                      <c:pt idx="7">
                        <c:v>0.15677966101694915</c:v>
                      </c:pt>
                      <c:pt idx="8">
                        <c:v>0.11973392461197339</c:v>
                      </c:pt>
                      <c:pt idx="9">
                        <c:v>7.9069767441860464E-2</c:v>
                      </c:pt>
                    </c:numCache>
                  </c:numRef>
                </c:val>
                <c:smooth val="0"/>
                <c:extLst xmlns:c15="http://schemas.microsoft.com/office/drawing/2012/chart">
                  <c:ext xmlns:c16="http://schemas.microsoft.com/office/drawing/2014/chart" uri="{C3380CC4-5D6E-409C-BE32-E72D297353CC}">
                    <c16:uniqueId val="{00000010-32C5-45C3-8E86-877E61485F14}"/>
                  </c:ext>
                </c:extLst>
              </c15:ser>
            </c15:filteredLineSeries>
            <c15:filteredLineSeries>
              <c15:ser>
                <c:idx val="15"/>
                <c:order val="15"/>
                <c:tx>
                  <c:strRef>
                    <c:extLst xmlns:c15="http://schemas.microsoft.com/office/drawing/2012/chart">
                      <c:ext xmlns:c15="http://schemas.microsoft.com/office/drawing/2012/chart" uri="{02D57815-91ED-43cb-92C2-25804820EDAC}">
                        <c15:formulaRef>
                          <c15:sqref>'SOC_EDU (graphs)'!$T$40</c15:sqref>
                        </c15:formulaRef>
                      </c:ext>
                    </c:extLst>
                    <c:strCache>
                      <c:ptCount val="1"/>
                      <c:pt idx="0">
                        <c:v>Enrolled in tertiary course for some/all of the period - TEC IT placement</c:v>
                      </c:pt>
                    </c:strCache>
                  </c:strRef>
                </c:tx>
                <c:spPr>
                  <a:ln w="28575" cap="rnd">
                    <a:solidFill>
                      <a:schemeClr val="accent2">
                        <a:lumMod val="5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(graphs)'!$C$42:$C$51</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(graphs)'!$T$42:$T$51</c15:sqref>
                        </c15:formulaRef>
                      </c:ext>
                    </c:extLst>
                    <c:numCache>
                      <c:formatCode>0%</c:formatCode>
                      <c:ptCount val="10"/>
                      <c:pt idx="0">
                        <c:v>0</c:v>
                      </c:pt>
                      <c:pt idx="1">
                        <c:v>0</c:v>
                      </c:pt>
                      <c:pt idx="2">
                        <c:v>3.0349013657056147E-3</c:v>
                      </c:pt>
                      <c:pt idx="3">
                        <c:v>8.2236842105263153E-3</c:v>
                      </c:pt>
                      <c:pt idx="4">
                        <c:v>6.8965517241379309E-3</c:v>
                      </c:pt>
                      <c:pt idx="5">
                        <c:v>7.3529411764705881E-3</c:v>
                      </c:pt>
                      <c:pt idx="6">
                        <c:v>7.8431372549019607E-3</c:v>
                      </c:pt>
                      <c:pt idx="7">
                        <c:v>8.4745762711864406E-3</c:v>
                      </c:pt>
                      <c:pt idx="8">
                        <c:v>8.869179600886918E-3</c:v>
                      </c:pt>
                      <c:pt idx="9">
                        <c:v>0</c:v>
                      </c:pt>
                    </c:numCache>
                  </c:numRef>
                </c:val>
                <c:smooth val="0"/>
                <c:extLst xmlns:c15="http://schemas.microsoft.com/office/drawing/2012/chart">
                  <c:ext xmlns:c16="http://schemas.microsoft.com/office/drawing/2014/chart" uri="{C3380CC4-5D6E-409C-BE32-E72D297353CC}">
                    <c16:uniqueId val="{00000011-32C5-45C3-8E86-877E61485F14}"/>
                  </c:ext>
                </c:extLst>
              </c15:ser>
            </c15:filteredLineSeries>
            <c15:filteredLineSeries>
              <c15:ser>
                <c:idx val="17"/>
                <c:order val="17"/>
                <c:tx>
                  <c:strRef>
                    <c:extLst xmlns:c15="http://schemas.microsoft.com/office/drawing/2012/chart">
                      <c:ext xmlns:c15="http://schemas.microsoft.com/office/drawing/2012/chart" uri="{02D57815-91ED-43cb-92C2-25804820EDAC}">
                        <c15:formulaRef>
                          <c15:sqref>'SOC_EDU (graphs)'!$V$40</c15:sqref>
                        </c15:formulaRef>
                      </c:ext>
                    </c:extLst>
                    <c:strCache>
                      <c:ptCount val="1"/>
                      <c:pt idx="0">
                        <c:v>Enrolled in school, tertiary course, or received employment income &gt;$5k over the year</c:v>
                      </c:pt>
                    </c:strCache>
                  </c:strRef>
                </c:tx>
                <c:spPr>
                  <a:ln w="28575" cap="rnd">
                    <a:solidFill>
                      <a:schemeClr val="accent6">
                        <a:lumMod val="5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'SOC_EDU (graphs)'!$C$42:$C$51</c15:sqref>
                        </c15:formulaRef>
                      </c:ext>
                    </c:extLst>
                    <c:numCache>
                      <c:formatCode>General</c:formatCode>
                      <c:ptCount val="10"/>
                      <c:pt idx="0">
                        <c:v>16</c:v>
                      </c:pt>
                      <c:pt idx="1">
                        <c:v>17</c:v>
                      </c:pt>
                      <c:pt idx="2">
                        <c:v>18</c:v>
                      </c:pt>
                      <c:pt idx="3">
                        <c:v>19</c:v>
                      </c:pt>
                      <c:pt idx="4">
                        <c:v>20</c:v>
                      </c:pt>
                      <c:pt idx="5">
                        <c:v>21</c:v>
                      </c:pt>
                      <c:pt idx="6">
                        <c:v>22</c:v>
                      </c:pt>
                      <c:pt idx="7">
                        <c:v>23</c:v>
                      </c:pt>
                      <c:pt idx="8">
                        <c:v>24</c:v>
                      </c:pt>
                      <c:pt idx="9">
                        <c:v>25</c:v>
                      </c:pt>
                    </c:numCache>
                  </c:numRef>
                </c:cat>
                <c:val>
                  <c:numRef>
                    <c:extLst xmlns:c15="http://schemas.microsoft.com/office/drawing/2012/chart">
                      <c:ext xmlns:c15="http://schemas.microsoft.com/office/drawing/2012/chart" uri="{02D57815-91ED-43cb-92C2-25804820EDAC}">
                        <c15:formulaRef>
                          <c15:sqref>'SOC_EDU (graphs)'!$V$42:$V$51</c15:sqref>
                        </c15:formulaRef>
                      </c:ext>
                    </c:extLst>
                    <c:numCache>
                      <c:formatCode>0%</c:formatCode>
                      <c:ptCount val="10"/>
                      <c:pt idx="0">
                        <c:v>0.92355117139334153</c:v>
                      </c:pt>
                      <c:pt idx="1">
                        <c:v>0.87788331071913162</c:v>
                      </c:pt>
                      <c:pt idx="2">
                        <c:v>0.83004552352048555</c:v>
                      </c:pt>
                      <c:pt idx="3">
                        <c:v>0.72532894736842102</c:v>
                      </c:pt>
                      <c:pt idx="4">
                        <c:v>0.67068965517241375</c:v>
                      </c:pt>
                      <c:pt idx="5">
                        <c:v>0.48345588235294118</c:v>
                      </c:pt>
                      <c:pt idx="6">
                        <c:v>0.31960784313725488</c:v>
                      </c:pt>
                      <c:pt idx="7">
                        <c:v>0.26694915254237289</c:v>
                      </c:pt>
                      <c:pt idx="8">
                        <c:v>0.24168514412416853</c:v>
                      </c:pt>
                      <c:pt idx="9">
                        <c:v>0.19302325581395349</c:v>
                      </c:pt>
                    </c:numCache>
                  </c:numRef>
                </c:val>
                <c:smooth val="0"/>
                <c:extLst xmlns:c15="http://schemas.microsoft.com/office/drawing/2012/chart">
                  <c:ext xmlns:c16="http://schemas.microsoft.com/office/drawing/2014/chart" uri="{C3380CC4-5D6E-409C-BE32-E72D297353CC}">
                    <c16:uniqueId val="{00000012-32C5-45C3-8E86-877E61485F14}"/>
                  </c:ext>
                </c:extLst>
              </c15:ser>
            </c15:filteredLineSeries>
          </c:ext>
        </c:extLst>
      </c:lineChart>
      <c:catAx>
        <c:axId val="682386352"/>
        <c:scaling>
          <c:orientation val="minMax"/>
        </c:scaling>
        <c:delete val="0"/>
        <c:axPos val="b"/>
        <c:title>
          <c:tx>
            <c:strRef>
              <c:f>'SOC_EDU (graphs)'!$C$41</c:f>
              <c:strCache>
                <c:ptCount val="1"/>
                <c:pt idx="0">
                  <c:v>Age at end of year</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82386680"/>
        <c:crosses val="autoZero"/>
        <c:auto val="1"/>
        <c:lblAlgn val="ctr"/>
        <c:lblOffset val="100"/>
        <c:noMultiLvlLbl val="0"/>
      </c:catAx>
      <c:valAx>
        <c:axId val="6823866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82386352"/>
        <c:crosses val="autoZero"/>
        <c:crossBetween val="between"/>
      </c:valAx>
      <c:spPr>
        <a:noFill/>
        <a:ln>
          <a:noFill/>
        </a:ln>
        <a:effectLst/>
      </c:spPr>
    </c:plotArea>
    <c:legend>
      <c:legendPos val="t"/>
      <c:layout>
        <c:manualLayout>
          <c:xMode val="edge"/>
          <c:yMode val="edge"/>
          <c:x val="3.2341370520496918E-2"/>
          <c:y val="1.893939393939394E-2"/>
          <c:w val="0.9535126229009091"/>
          <c:h val="0.362907454406339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eme1">
  <a:themeElements>
    <a:clrScheme name="EY Color">
      <a:dk1>
        <a:srgbClr val="2E2E38"/>
      </a:dk1>
      <a:lt1>
        <a:sysClr val="window" lastClr="FFFFFF"/>
      </a:lt1>
      <a:dk2>
        <a:srgbClr val="FFE600"/>
      </a:dk2>
      <a:lt2>
        <a:srgbClr val="000000"/>
      </a:lt2>
      <a:accent1>
        <a:srgbClr val="2DB757"/>
      </a:accent1>
      <a:accent2>
        <a:srgbClr val="27ACAA"/>
      </a:accent2>
      <a:accent3>
        <a:srgbClr val="188CE5"/>
      </a:accent3>
      <a:accent4>
        <a:srgbClr val="3D108A"/>
      </a:accent4>
      <a:accent5>
        <a:srgbClr val="FF4136"/>
      </a:accent5>
      <a:accent6>
        <a:srgbClr val="FF6D00"/>
      </a:accent6>
      <a:hlink>
        <a:srgbClr val="0000FF"/>
      </a:hlink>
      <a:folHlink>
        <a:srgbClr val="800080"/>
      </a:folHlink>
    </a:clrScheme>
    <a:fontScheme name="Custom 1">
      <a:majorFont>
        <a:latin typeface="EYInterstate Light"/>
        <a:ea typeface=""/>
        <a:cs typeface=""/>
      </a:majorFont>
      <a:minorFont>
        <a:latin typeface="EYInterstat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accent1"/>
          </a:solidFill>
        </a:ln>
      </a:spPr>
      <a:bodyPr rtlCol="0" anchor="t" anchorCtr="0"/>
      <a:lstStyle>
        <a:defPPr algn="ctr">
          <a:defRPr sz="1200" dirty="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1"/>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36576" rIns="0" bIns="0" rtlCol="0">
        <a:spAutoFit/>
      </a:bodyPr>
      <a:lstStyle>
        <a:defPPr marL="356616" indent="-356616">
          <a:lnSpc>
            <a:spcPct val="85000"/>
          </a:lnSpc>
          <a:spcAft>
            <a:spcPts val="600"/>
          </a:spcAft>
          <a:buClr>
            <a:schemeClr val="accent2"/>
          </a:buClr>
          <a:buSzPct val="70000"/>
          <a:buFont typeface="Arial" pitchFamily="34" charset="0"/>
          <a:buChar char="►"/>
          <a:defRPr sz="1200" dirty="0" err="1" smtClean="0">
            <a:solidFill>
              <a:schemeClr val="bg1"/>
            </a:solidFill>
          </a:defRPr>
        </a:defPPr>
      </a:lstStyle>
    </a:txDef>
  </a:objectDefaults>
  <a:extraClrSchemeLst/>
  <a:extLst>
    <a:ext uri="{05A4C25C-085E-4340-85A3-A5531E510DB2}">
      <thm15:themeFamily xmlns:thm15="http://schemas.microsoft.com/office/thememl/2012/main" name="updated_EY_colours" id="{FBA4415E-FA60-482D-9C8F-D5BAF6EB9B77}" vid="{8C86785D-7E23-4AB2-8810-164084E3362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11" ma:contentTypeDescription="Create a new document." ma:contentTypeScope="" ma:versionID="ef79f1b6e4629b058d51d862ef97bf66">
  <xsd:schema xmlns:xsd="http://www.w3.org/2001/XMLSchema" xmlns:xs="http://www.w3.org/2001/XMLSchema" xmlns:p="http://schemas.microsoft.com/office/2006/metadata/properties" xmlns:ns3="42dc8bab-111a-4e8a-abdf-9c2974aec3da" xmlns:ns4="e8a092c4-6aa9-451b-a11d-551c0e155f3f" targetNamespace="http://schemas.microsoft.com/office/2006/metadata/properties" ma:root="true" ma:fieldsID="a99045482c38bc48e7ea4d851aa44ea4" ns3:_="" ns4:_="">
    <xsd:import namespace="42dc8bab-111a-4e8a-abdf-9c2974aec3da"/>
    <xsd:import namespace="e8a092c4-6aa9-451b-a11d-551c0e155f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092c4-6aa9-451b-a11d-551c0e155f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D2B6-4CF8-4A88-A71C-DBA28133458F}">
  <ds:schemaRefs>
    <ds:schemaRef ds:uri="http://purl.org/dc/terms/"/>
    <ds:schemaRef ds:uri="http://schemas.microsoft.com/office/2006/documentManagement/types"/>
    <ds:schemaRef ds:uri="42dc8bab-111a-4e8a-abdf-9c2974aec3da"/>
    <ds:schemaRef ds:uri="e8a092c4-6aa9-451b-a11d-551c0e155f3f"/>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F39F47B-0861-48A5-8D56-1182AC29A5B9}">
  <ds:schemaRefs>
    <ds:schemaRef ds:uri="http://schemas.microsoft.com/sharepoint/v3/contenttype/forms"/>
  </ds:schemaRefs>
</ds:datastoreItem>
</file>

<file path=customXml/itemProps3.xml><?xml version="1.0" encoding="utf-8"?>
<ds:datastoreItem xmlns:ds="http://schemas.openxmlformats.org/officeDocument/2006/customXml" ds:itemID="{6C43FDBF-F532-4F75-B247-B6347ACD5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e8a092c4-6aa9-451b-a11d-551c0e155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8D2CF-9F30-4460-B4D0-14135A18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AUS_EY_Report_Landscape_Cover_Included</Template>
  <TotalTime>1</TotalTime>
  <Pages>21</Pages>
  <Words>36194</Words>
  <Characters>206306</Characters>
  <Application>Microsoft Office Word</Application>
  <DocSecurity>4</DocSecurity>
  <Lines>1719</Lines>
  <Paragraphs>484</Paragraphs>
  <ScaleCrop>false</ScaleCrop>
  <HeadingPairs>
    <vt:vector size="2" baseType="variant">
      <vt:variant>
        <vt:lpstr>Title</vt:lpstr>
      </vt:variant>
      <vt:variant>
        <vt:i4>1</vt:i4>
      </vt:variant>
    </vt:vector>
  </HeadingPairs>
  <TitlesOfParts>
    <vt:vector size="1" baseType="lpstr">
      <vt:lpstr>Wellbeing and service contact outcomes for disabled people: MidCentral region and New Zealand</vt:lpstr>
    </vt:vector>
  </TitlesOfParts>
  <Company>EY</Company>
  <LinksUpToDate>false</LinksUpToDate>
  <CharactersWithSpaces>242016</CharactersWithSpaces>
  <SharedDoc>false</SharedDoc>
  <HLinks>
    <vt:vector size="24" baseType="variant">
      <vt:variant>
        <vt:i4>1441845</vt:i4>
      </vt:variant>
      <vt:variant>
        <vt:i4>20</vt:i4>
      </vt:variant>
      <vt:variant>
        <vt:i4>0</vt:i4>
      </vt:variant>
      <vt:variant>
        <vt:i4>5</vt:i4>
      </vt:variant>
      <vt:variant>
        <vt:lpwstr/>
      </vt:variant>
      <vt:variant>
        <vt:lpwstr>_Toc212949105</vt:lpwstr>
      </vt:variant>
      <vt:variant>
        <vt:i4>1441845</vt:i4>
      </vt:variant>
      <vt:variant>
        <vt:i4>14</vt:i4>
      </vt:variant>
      <vt:variant>
        <vt:i4>0</vt:i4>
      </vt:variant>
      <vt:variant>
        <vt:i4>5</vt:i4>
      </vt:variant>
      <vt:variant>
        <vt:lpwstr/>
      </vt:variant>
      <vt:variant>
        <vt:lpwstr>_Toc212949104</vt:lpwstr>
      </vt:variant>
      <vt:variant>
        <vt:i4>1441845</vt:i4>
      </vt:variant>
      <vt:variant>
        <vt:i4>8</vt:i4>
      </vt:variant>
      <vt:variant>
        <vt:i4>0</vt:i4>
      </vt:variant>
      <vt:variant>
        <vt:i4>5</vt:i4>
      </vt:variant>
      <vt:variant>
        <vt:lpwstr/>
      </vt:variant>
      <vt:variant>
        <vt:lpwstr>_Toc212949103</vt:lpwstr>
      </vt:variant>
      <vt:variant>
        <vt:i4>1441845</vt:i4>
      </vt:variant>
      <vt:variant>
        <vt:i4>2</vt:i4>
      </vt:variant>
      <vt:variant>
        <vt:i4>0</vt:i4>
      </vt:variant>
      <vt:variant>
        <vt:i4>5</vt:i4>
      </vt:variant>
      <vt:variant>
        <vt:lpwstr/>
      </vt:variant>
      <vt:variant>
        <vt:lpwstr>_Toc212949102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Wellbeing and service contact outcomes for disabled people: MidCentral region and New Zealand</dc:title>
  <dc:subject/>
  <dc:creator>EY526@EYGS.onmicrosoft.com</dc:creator>
  <cp:keywords/>
  <dc:description/>
  <cp:lastModifiedBy>Rhi Galpin</cp:lastModifiedBy>
  <cp:revision>2</cp:revision>
  <cp:lastPrinted>2020-08-01T08:28:00Z</cp:lastPrinted>
  <dcterms:created xsi:type="dcterms:W3CDTF">2020-09-30T20:03:00Z</dcterms:created>
  <dcterms:modified xsi:type="dcterms:W3CDTF">2020-09-30T20:03:00Z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